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F1D68">
      <w:pPr>
        <w:spacing w:before="0" w:after="40"/>
        <w:jc w:val="center"/>
      </w:pPr>
      <w:r>
        <w:rPr>
          <w:rFonts w:ascii="宋体" w:hAnsi="宋体" w:eastAsia="宋体"/>
          <w:b/>
          <w:color w:val="000000"/>
          <w:sz w:val="44"/>
        </w:rPr>
        <w:t>数据库课程设计开发日志</w:t>
      </w:r>
    </w:p>
    <w:p w14:paraId="51D87CED">
      <w:pPr>
        <w:spacing w:before="0" w:after="240"/>
        <w:jc w:val="center"/>
      </w:pPr>
      <w:r>
        <w:rPr>
          <w:rFonts w:ascii="宋体" w:hAnsi="宋体" w:eastAsia="宋体"/>
          <w:b w:val="0"/>
          <w:color w:val="000000"/>
          <w:sz w:val="28"/>
        </w:rPr>
        <w:t>Day4：2026年6月9日 — 前端设计优化与交互体验改进</w:t>
      </w:r>
    </w:p>
    <w:p w14:paraId="5598EA4F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今日工作概述</w:t>
      </w:r>
    </w:p>
    <w:p w14:paraId="2BB9A82C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Day3完成后端核心功能后，今天将重心转移到前端。主要完成了设计系统的建立、配色方案的全面更换、响应式布局修复、表单验证和交互反馈的增强，以及页面代码的清理。到当天结束时，整个前端界面的视觉风格统一了，配色从Vue默认的蓝色系和Element Plus默认主题全面更换为深松绿加琥珀金的组合方案，所有页面适配了手机、平板和桌面三种屏幕尺寸。</w:t>
      </w:r>
    </w:p>
    <w:p w14:paraId="32B34AD5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一、设计系统建立</w:t>
      </w:r>
    </w:p>
    <w:p w14:paraId="2667959F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在前期开发中，前端没有统一的设计规范，颜色、字体等样式散落在各个组件中。无论是按钮颜色、表格边框还是文字大小，每个页面都需要单独设置，维护起来非常麻烦。</w:t>
      </w:r>
    </w:p>
    <w:p w14:paraId="6EB1D8DC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今天首先建立了两个设计文档。PRODUCT.md从产品战略层面明确了用户画像——系统面向体育用品批发行业的管理人员和工作人员，品牌个性定位为专业、可靠、高效，设计原则明确拒绝花哨的电商风格。DESIGN.md从视觉层面记录了颜色的色值用途、字体层级、组件样式和具体使用规范。</w:t>
      </w:r>
    </w:p>
    <w:p w14:paraId="1D81127F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同时引入了Impeccable设计工具对项目进行了自动化诊断扫描，结合人工评审制定了完整的改进计划。改进按照五个步骤推进：从建立设计系统文档开始，到替换配色方案、修复响应式布局、增强表单验证和交互反馈，最后完成代码清理和无障碍优化。</w:t>
      </w:r>
    </w:p>
    <w:p w14:paraId="51A40C2B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颜色方案最终确定为深松绿（#1e3a3a）搭配琥珀金（#c8913a），辅以暖白色背景。这个选择基于两个考虑：一是市面上大部分企业管理系统都在使用蓝色，松绿色能够形成独特的品牌记忆点；二是琥珀金在色环上与绿色形成互补关系，金色本身带有品质感的价值联想，适合在价格显示和选中状态中使用。</w:t>
      </w:r>
    </w:p>
    <w:p w14:paraId="1738050C">
      <w:pPr>
        <w:pStyle w:val="3"/>
        <w:rPr>
          <w:rFonts w:hint="eastAsia" w:ascii="黑体" w:hAnsi="黑体" w:eastAsia="黑体" w:cs="黑体"/>
        </w:rPr>
      </w:pPr>
      <w:r>
        <w:t>二</w:t>
      </w:r>
      <w:r>
        <w:rPr>
          <w:rFonts w:hint="eastAsia" w:ascii="黑体" w:hAnsi="黑体" w:eastAsia="黑体" w:cs="黑体"/>
        </w:rPr>
        <w:t>、CSS变量体系建立</w:t>
      </w:r>
    </w:p>
    <w:p w14:paraId="05CCD5DE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建立设计规范后，在base.css中定义了完整的CSS变量体系。这套变量涵盖了品牌色、中性色、文字色、暗角色、反馈色、阴影、字体大小、间距和圆角等多个维度：</w:t>
      </w:r>
    </w:p>
    <w:p w14:paraId="03C60380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:root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--color-primary: #1e3a3a;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--color-primary-dark: #152a2a;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--color-primary-darker: #0e1e1e;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--color-accent: #c8913a;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--color-accent-dark: #a6752a;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--color-bg: #f5f3ef;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--color-surface: #ffffff;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--color-text: #1a1a1a;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--color-text-2: #4a4a4a;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--color-text-muted: #7a7a7a;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--color-success: #5a8a5a;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--color-warning: #c8913a;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--color-danger: #8a3a3a;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}</w:t>
      </w:r>
    </w:p>
    <w:p w14:paraId="58FEA310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Element Plus的组件主题变量与项目变量进行了映射，实现了一键适配：</w:t>
      </w:r>
    </w:p>
    <w:p w14:paraId="548A5CC3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:root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--el-color-primary: var(--color-primary);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--el-color-success: var(--color-success);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--el-color-warning: var(--color-warning);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--el-color-danger: var(--color-danger);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--el-text-color-primary: var(--color-text);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--el-bg-color: var(--color-bg);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--el-border-radius-base: 4px;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}</w:t>
      </w:r>
    </w:p>
    <w:p w14:paraId="63891F42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后续如果要更换配色，只需要修改变量值即可，无需到每个页面文件中去查找和替换颜色。</w:t>
      </w:r>
    </w:p>
    <w:p w14:paraId="76A6EC7A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三、响应式布局修复</w:t>
      </w:r>
    </w:p>
    <w:p w14:paraId="144E88B6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前端页面在手机上打开时存在较多布局问题。主要进行了以下修复：</w:t>
      </w:r>
    </w:p>
    <w:p w14:paraId="636AE3E4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登录页面和注册页面原本使用了固定的像素宽度，在手机上会出现水平滚动条。将固定宽度改为百分比宽度加最大宽度的组合方式，在不同屏幕尺寸下调整上下边距。</w:t>
      </w:r>
    </w:p>
    <w:p w14:paraId="630AFDD4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商品列表的栅格系统添加了响应式断点参数——手机上每行一列，平板上每行两列，桌面上每行四列：</w:t>
      </w:r>
    </w:p>
    <w:p w14:paraId="1C15FFE8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&lt;el-col :xs="24" :sm="12" :md="8" :lg="6" v-for="p in list"&gt;</w:t>
      </w:r>
    </w:p>
    <w:p w14:paraId="12D79089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侧边栏在平板尺寸下宽度从220px缩小到180px，在手机尺寸下改为横向布局：</w:t>
      </w:r>
    </w:p>
    <w:p w14:paraId="05264A40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@media (max-width: 768px) { .sidebar { width: 180px; } 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@media (max-width: 480px) { .app-layout { flex-direction: column; } }</w:t>
      </w:r>
    </w:p>
    <w:p w14:paraId="5436E173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四、表单验证增强</w:t>
      </w:r>
    </w:p>
    <w:p w14:paraId="32877388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之前的前端页面几乎没有表单验证，用户可以提交空表单或者错误格式的数据。今天对所有表单页面添加了完整的验证规则。</w:t>
      </w:r>
    </w:p>
    <w:p w14:paraId="2B0074A7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注册页面使用了Element Plus的rules验证机制，自定义了手机号和邮箱的格式校验：</w:t>
      </w:r>
    </w:p>
    <w:p w14:paraId="4DB15581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const validatePhone = (rule, value, callback) =&gt;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if (!value) { callback(new Error("请输入手机号码")); return 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if (!/^1\d{10}$/.test(value)) { callback(new Error("手机号格式不正确")); return 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callback()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const rules =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username: [{ required: true, message: "请输入用户名", trigger: "blur" }],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password: [{ required: true, min: 6, message: "密码至少6位", trigger: "blur" }],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phone: [{ required: true, validator: validatePhone, trigger: "blur" }],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}</w:t>
      </w:r>
    </w:p>
    <w:p w14:paraId="38B3D0D9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所有表单的提交按钮绑定了loading属性防止重复提交。搜索功能添加了300毫秒的防抖处理：</w:t>
      </w:r>
    </w:p>
    <w:p w14:paraId="47B1E5FD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let timer = null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const doSearch = () =&gt;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page.value = 1;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clearTimeout(timer);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timer = setTimeout(() =&gt; load(1), 300);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}</w:t>
      </w:r>
    </w:p>
    <w:p w14:paraId="04B37F60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五、代码清理与无障碍优化</w:t>
      </w:r>
    </w:p>
    <w:p w14:paraId="080C4ABB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删除了项目中未使用的计数器功能Store文件（counter.js）。修复了路由守卫中已经废弃的next函数调用，消除了控制台警告。侧边栏菜单的颜色通过CSS变量统一控制，替代了之前在组件属性中硬编码颜色的方式。</w:t>
      </w:r>
    </w:p>
    <w:p w14:paraId="2169038B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添加了对prefers-reduced-motion媒体查询的支持：</w:t>
      </w:r>
    </w:p>
    <w:p w14:paraId="3624FB12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@media (prefers-reduced-motion: reduce)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*, *::before, *::after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animation-duration: 0.01ms !important;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transition-duration: 0.01ms !important;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}</w:t>
      </w:r>
    </w:p>
    <w:p w14:paraId="649A2EC0">
      <w:pPr>
        <w:pStyle w:val="3"/>
        <w:rPr>
          <w:rFonts w:hint="eastAsia" w:ascii="黑体" w:hAnsi="黑体" w:eastAsia="黑体" w:cs="黑体"/>
        </w:rPr>
      </w:pPr>
      <w:r>
        <w:t>六</w:t>
      </w:r>
      <w:r>
        <w:rPr>
          <w:rFonts w:hint="eastAsia" w:ascii="黑体" w:hAnsi="黑体" w:eastAsia="黑体" w:cs="黑体"/>
        </w:rPr>
        <w:t>、遇到的问题与解决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7F8C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643CD0A1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编号</w:t>
            </w:r>
          </w:p>
        </w:tc>
        <w:tc>
          <w:tcPr>
            <w:tcW w:w="2160" w:type="dxa"/>
            <w:shd w:val="clear" w:color="auto" w:fill="D9E2F3"/>
          </w:tcPr>
          <w:p w14:paraId="04B8B805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问题</w:t>
            </w:r>
          </w:p>
        </w:tc>
        <w:tc>
          <w:tcPr>
            <w:tcW w:w="2160" w:type="dxa"/>
            <w:shd w:val="clear" w:color="auto" w:fill="D9E2F3"/>
          </w:tcPr>
          <w:p w14:paraId="72DE997E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原因</w:t>
            </w:r>
          </w:p>
        </w:tc>
        <w:tc>
          <w:tcPr>
            <w:tcW w:w="2160" w:type="dxa"/>
            <w:shd w:val="clear" w:color="auto" w:fill="D9E2F3"/>
          </w:tcPr>
          <w:p w14:paraId="1133DC4C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解决方法</w:t>
            </w:r>
          </w:p>
        </w:tc>
      </w:tr>
      <w:tr w14:paraId="24B06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4C9276">
            <w:r>
              <w:rPr>
                <w:rFonts w:ascii="宋体" w:hAnsi="宋体" w:eastAsia="宋体"/>
                <w:color w:val="000000"/>
                <w:sz w:val="24"/>
              </w:rPr>
              <w:t>1</w:t>
            </w:r>
          </w:p>
        </w:tc>
        <w:tc>
          <w:tcPr>
            <w:tcW w:w="2160" w:type="dxa"/>
          </w:tcPr>
          <w:p w14:paraId="70AA48CF">
            <w:r>
              <w:rPr>
                <w:rFonts w:ascii="宋体" w:hAnsi="宋体" w:eastAsia="宋体"/>
                <w:color w:val="000000"/>
                <w:sz w:val="24"/>
              </w:rPr>
              <w:t>Element Plus组件样式覆盖困难</w:t>
            </w:r>
          </w:p>
        </w:tc>
        <w:tc>
          <w:tcPr>
            <w:tcW w:w="2160" w:type="dxa"/>
          </w:tcPr>
          <w:p w14:paraId="0C1D2422">
            <w:r>
              <w:rPr>
                <w:rFonts w:ascii="宋体" w:hAnsi="宋体" w:eastAsia="宋体"/>
                <w:color w:val="000000"/>
                <w:sz w:val="24"/>
              </w:rPr>
              <w:t>部分组件内部使用了固定色值</w:t>
            </w:r>
          </w:p>
        </w:tc>
        <w:tc>
          <w:tcPr>
            <w:tcW w:w="2160" w:type="dxa"/>
          </w:tcPr>
          <w:p w14:paraId="34D5B78D">
            <w:r>
              <w:rPr>
                <w:rFonts w:ascii="宋体" w:hAnsi="宋体" w:eastAsia="宋体"/>
                <w:color w:val="000000"/>
                <w:sz w:val="24"/>
              </w:rPr>
              <w:t>查看组件源码确认CSS选择器后逐一定制覆盖</w:t>
            </w:r>
          </w:p>
        </w:tc>
      </w:tr>
      <w:tr w14:paraId="43B9C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978F78D">
            <w:r>
              <w:rPr>
                <w:rFonts w:ascii="宋体" w:hAnsi="宋体" w:eastAsia="宋体"/>
                <w:color w:val="000000"/>
                <w:sz w:val="24"/>
              </w:rPr>
              <w:t>2</w:t>
            </w:r>
          </w:p>
        </w:tc>
        <w:tc>
          <w:tcPr>
            <w:tcW w:w="2160" w:type="dxa"/>
          </w:tcPr>
          <w:p w14:paraId="569A564A">
            <w:r>
              <w:rPr>
                <w:rFonts w:ascii="宋体" w:hAnsi="宋体" w:eastAsia="宋体"/>
                <w:color w:val="000000"/>
                <w:sz w:val="24"/>
              </w:rPr>
              <w:t>配色方案选择反复</w:t>
            </w:r>
          </w:p>
        </w:tc>
        <w:tc>
          <w:tcPr>
            <w:tcW w:w="2160" w:type="dxa"/>
          </w:tcPr>
          <w:p w14:paraId="2387A969">
            <w:r>
              <w:rPr>
                <w:rFonts w:ascii="宋体" w:hAnsi="宋体" w:eastAsia="宋体"/>
                <w:color w:val="000000"/>
                <w:sz w:val="24"/>
              </w:rPr>
              <w:t>蓝色系太大众化，无法形成辨识度</w:t>
            </w:r>
          </w:p>
        </w:tc>
        <w:tc>
          <w:tcPr>
            <w:tcW w:w="2160" w:type="dxa"/>
          </w:tcPr>
          <w:p w14:paraId="7A9EF041">
            <w:r>
              <w:rPr>
                <w:rFonts w:ascii="宋体" w:hAnsi="宋体" w:eastAsia="宋体"/>
                <w:color w:val="000000"/>
                <w:sz w:val="24"/>
              </w:rPr>
              <w:t>完全放弃蓝色系，选择深松绿加琥珀金</w:t>
            </w:r>
          </w:p>
        </w:tc>
      </w:tr>
      <w:tr w14:paraId="4D3CD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9A918E">
            <w:r>
              <w:rPr>
                <w:rFonts w:ascii="宋体" w:hAnsi="宋体" w:eastAsia="宋体"/>
                <w:color w:val="000000"/>
                <w:sz w:val="24"/>
              </w:rPr>
              <w:t>3</w:t>
            </w:r>
          </w:p>
        </w:tc>
        <w:tc>
          <w:tcPr>
            <w:tcW w:w="2160" w:type="dxa"/>
          </w:tcPr>
          <w:p w14:paraId="509BAAAA">
            <w:r>
              <w:rPr>
                <w:rFonts w:ascii="宋体" w:hAnsi="宋体" w:eastAsia="宋体"/>
                <w:color w:val="000000"/>
                <w:sz w:val="24"/>
              </w:rPr>
              <w:t>响应式布局中表格溢出</w:t>
            </w:r>
          </w:p>
        </w:tc>
        <w:tc>
          <w:tcPr>
            <w:tcW w:w="2160" w:type="dxa"/>
          </w:tcPr>
          <w:p w14:paraId="1176316D">
            <w:r>
              <w:rPr>
                <w:rFonts w:ascii="宋体" w:hAnsi="宋体" w:eastAsia="宋体"/>
                <w:color w:val="000000"/>
                <w:sz w:val="24"/>
              </w:rPr>
              <w:t>el-table在手机宽度下无法完整显示所有列</w:t>
            </w:r>
          </w:p>
        </w:tc>
        <w:tc>
          <w:tcPr>
            <w:tcW w:w="2160" w:type="dxa"/>
          </w:tcPr>
          <w:p w14:paraId="460B9B2D">
            <w:r>
              <w:rPr>
                <w:rFonts w:ascii="宋体" w:hAnsi="宋体" w:eastAsia="宋体"/>
                <w:color w:val="000000"/>
                <w:sz w:val="24"/>
              </w:rPr>
              <w:t>手机上隐藏部分次要列，或启用横向滚动</w:t>
            </w:r>
          </w:p>
        </w:tc>
      </w:tr>
    </w:tbl>
    <w:p w14:paraId="7D359B7A"/>
    <w:p w14:paraId="6A5E6021">
      <w:pPr>
        <w:pStyle w:val="3"/>
        <w:rPr>
          <w:rFonts w:hint="eastAsia" w:ascii="黑体" w:hAnsi="黑体" w:eastAsia="黑体" w:cs="黑体"/>
        </w:rPr>
      </w:pPr>
      <w:r>
        <w:t>七</w:t>
      </w:r>
      <w:r>
        <w:rPr>
          <w:rFonts w:hint="eastAsia" w:ascii="黑体" w:hAnsi="黑体" w:eastAsia="黑体" w:cs="黑体"/>
        </w:rPr>
        <w:t>、文件改动清单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6"/>
        <w:gridCol w:w="2426"/>
        <w:gridCol w:w="2494"/>
      </w:tblGrid>
      <w:tr w14:paraId="74C86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1CAAC4AC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文件</w:t>
            </w:r>
          </w:p>
        </w:tc>
        <w:tc>
          <w:tcPr>
            <w:tcW w:w="2880" w:type="dxa"/>
            <w:shd w:val="clear" w:color="auto" w:fill="D9E2F3"/>
          </w:tcPr>
          <w:p w14:paraId="2D52FCF6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操作</w:t>
            </w:r>
          </w:p>
        </w:tc>
        <w:tc>
          <w:tcPr>
            <w:tcW w:w="2880" w:type="dxa"/>
            <w:shd w:val="clear" w:color="auto" w:fill="D9E2F3"/>
          </w:tcPr>
          <w:p w14:paraId="361BA14A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说明</w:t>
            </w:r>
          </w:p>
        </w:tc>
      </w:tr>
      <w:tr w14:paraId="50A76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97F5942">
            <w:r>
              <w:rPr>
                <w:rFonts w:ascii="宋体" w:hAnsi="宋体" w:eastAsia="宋体"/>
                <w:color w:val="000000"/>
                <w:sz w:val="24"/>
              </w:rPr>
              <w:t>PRODUCT.md</w:t>
            </w:r>
          </w:p>
        </w:tc>
        <w:tc>
          <w:tcPr>
            <w:tcW w:w="2880" w:type="dxa"/>
          </w:tcPr>
          <w:p w14:paraId="67E11A03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2880" w:type="dxa"/>
          </w:tcPr>
          <w:p w14:paraId="2B779170">
            <w:r>
              <w:rPr>
                <w:rFonts w:ascii="宋体" w:hAnsi="宋体" w:eastAsia="宋体"/>
                <w:color w:val="000000"/>
                <w:sz w:val="24"/>
              </w:rPr>
              <w:t>产品战略文档（35行）</w:t>
            </w:r>
          </w:p>
        </w:tc>
      </w:tr>
      <w:tr w14:paraId="60E4B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CD7789F">
            <w:r>
              <w:rPr>
                <w:rFonts w:ascii="宋体" w:hAnsi="宋体" w:eastAsia="宋体"/>
                <w:color w:val="000000"/>
                <w:sz w:val="24"/>
              </w:rPr>
              <w:t>DESIGN.md</w:t>
            </w:r>
          </w:p>
        </w:tc>
        <w:tc>
          <w:tcPr>
            <w:tcW w:w="2880" w:type="dxa"/>
          </w:tcPr>
          <w:p w14:paraId="1B444CD4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2880" w:type="dxa"/>
          </w:tcPr>
          <w:p w14:paraId="23BAEB70">
            <w:r>
              <w:rPr>
                <w:rFonts w:ascii="宋体" w:hAnsi="宋体" w:eastAsia="宋体"/>
                <w:color w:val="000000"/>
                <w:sz w:val="24"/>
              </w:rPr>
              <w:t>视觉设计规范文档（164行）</w:t>
            </w:r>
          </w:p>
        </w:tc>
      </w:tr>
      <w:tr w14:paraId="68962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A69A47">
            <w:r>
              <w:rPr>
                <w:rFonts w:ascii="宋体" w:hAnsi="宋体" w:eastAsia="宋体"/>
                <w:color w:val="000000"/>
                <w:sz w:val="24"/>
              </w:rPr>
              <w:t>.impeccable/design.json</w:t>
            </w:r>
          </w:p>
        </w:tc>
        <w:tc>
          <w:tcPr>
            <w:tcW w:w="2880" w:type="dxa"/>
          </w:tcPr>
          <w:p w14:paraId="7C90905A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2880" w:type="dxa"/>
          </w:tcPr>
          <w:p w14:paraId="2D2AD6EC">
            <w:r>
              <w:rPr>
                <w:rFonts w:ascii="宋体" w:hAnsi="宋体" w:eastAsia="宋体"/>
                <w:color w:val="000000"/>
                <w:sz w:val="24"/>
              </w:rPr>
              <w:t>设计系统配置文件（105行）</w:t>
            </w:r>
          </w:p>
        </w:tc>
      </w:tr>
      <w:tr w14:paraId="17C1F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614979">
            <w:r>
              <w:rPr>
                <w:rFonts w:ascii="宋体" w:hAnsi="宋体" w:eastAsia="宋体"/>
                <w:color w:val="000000"/>
                <w:sz w:val="24"/>
              </w:rPr>
              <w:t>frontend/src/assets/base.css</w:t>
            </w:r>
          </w:p>
        </w:tc>
        <w:tc>
          <w:tcPr>
            <w:tcW w:w="2880" w:type="dxa"/>
          </w:tcPr>
          <w:p w14:paraId="1DB467FD">
            <w:r>
              <w:rPr>
                <w:rFonts w:ascii="宋体" w:hAnsi="宋体" w:eastAsia="宋体"/>
                <w:color w:val="000000"/>
                <w:sz w:val="24"/>
              </w:rPr>
              <w:t>重写</w:t>
            </w:r>
          </w:p>
        </w:tc>
        <w:tc>
          <w:tcPr>
            <w:tcW w:w="2880" w:type="dxa"/>
          </w:tcPr>
          <w:p w14:paraId="11461496">
            <w:r>
              <w:rPr>
                <w:rFonts w:ascii="宋体" w:hAnsi="宋体" w:eastAsia="宋体"/>
                <w:color w:val="000000"/>
                <w:sz w:val="24"/>
              </w:rPr>
              <w:t>完整CSS变量体系重构（166行）</w:t>
            </w:r>
          </w:p>
        </w:tc>
      </w:tr>
      <w:tr w14:paraId="4A2E3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314D19">
            <w:r>
              <w:rPr>
                <w:rFonts w:ascii="宋体" w:hAnsi="宋体" w:eastAsia="宋体"/>
                <w:color w:val="000000"/>
                <w:sz w:val="24"/>
              </w:rPr>
              <w:t>frontend/src/stores/counter.js</w:t>
            </w:r>
          </w:p>
        </w:tc>
        <w:tc>
          <w:tcPr>
            <w:tcW w:w="2880" w:type="dxa"/>
          </w:tcPr>
          <w:p w14:paraId="11B8E322">
            <w:r>
              <w:rPr>
                <w:rFonts w:ascii="宋体" w:hAnsi="宋体" w:eastAsia="宋体"/>
                <w:color w:val="000000"/>
                <w:sz w:val="24"/>
              </w:rPr>
              <w:t>删除</w:t>
            </w:r>
          </w:p>
        </w:tc>
        <w:tc>
          <w:tcPr>
            <w:tcW w:w="2880" w:type="dxa"/>
          </w:tcPr>
          <w:p w14:paraId="78BAF4E5">
            <w:r>
              <w:rPr>
                <w:rFonts w:ascii="宋体" w:hAnsi="宋体" w:eastAsia="宋体"/>
                <w:color w:val="000000"/>
                <w:sz w:val="24"/>
              </w:rPr>
              <w:t>移除未使用的计数器Store</w:t>
            </w:r>
          </w:p>
        </w:tc>
      </w:tr>
      <w:tr w14:paraId="00814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7B3469F">
            <w:r>
              <w:rPr>
                <w:rFonts w:ascii="宋体" w:hAnsi="宋体" w:eastAsia="宋体"/>
                <w:color w:val="000000"/>
                <w:sz w:val="24"/>
              </w:rPr>
              <w:t>frontend/src/views/Register.vue</w:t>
            </w:r>
          </w:p>
        </w:tc>
        <w:tc>
          <w:tcPr>
            <w:tcW w:w="2880" w:type="dxa"/>
          </w:tcPr>
          <w:p w14:paraId="79935E69">
            <w:r>
              <w:rPr>
                <w:rFonts w:ascii="宋体" w:hAnsi="宋体" w:eastAsia="宋体"/>
                <w:color w:val="000000"/>
                <w:sz w:val="24"/>
              </w:rPr>
              <w:t>修改</w:t>
            </w:r>
          </w:p>
        </w:tc>
        <w:tc>
          <w:tcPr>
            <w:tcW w:w="2880" w:type="dxa"/>
          </w:tcPr>
          <w:p w14:paraId="57623B61">
            <w:r>
              <w:rPr>
                <w:rFonts w:ascii="宋体" w:hAnsi="宋体" w:eastAsia="宋体"/>
                <w:color w:val="000000"/>
                <w:sz w:val="24"/>
              </w:rPr>
              <w:t>添加rules验证规则（+74行）</w:t>
            </w:r>
          </w:p>
        </w:tc>
      </w:tr>
      <w:tr w14:paraId="692D8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2B05CC">
            <w:r>
              <w:rPr>
                <w:rFonts w:ascii="宋体" w:hAnsi="宋体" w:eastAsia="宋体"/>
                <w:color w:val="000000"/>
                <w:sz w:val="24"/>
              </w:rPr>
              <w:t>其他11个vue文件</w:t>
            </w:r>
          </w:p>
        </w:tc>
        <w:tc>
          <w:tcPr>
            <w:tcW w:w="2880" w:type="dxa"/>
          </w:tcPr>
          <w:p w14:paraId="6C451790">
            <w:r>
              <w:rPr>
                <w:rFonts w:ascii="宋体" w:hAnsi="宋体" w:eastAsia="宋体"/>
                <w:color w:val="000000"/>
                <w:sz w:val="24"/>
              </w:rPr>
              <w:t>修改</w:t>
            </w:r>
          </w:p>
        </w:tc>
        <w:tc>
          <w:tcPr>
            <w:tcW w:w="2880" w:type="dxa"/>
          </w:tcPr>
          <w:p w14:paraId="1758141B">
            <w:r>
              <w:rPr>
                <w:rFonts w:ascii="宋体" w:hAnsi="宋体" w:eastAsia="宋体"/>
                <w:color w:val="000000"/>
                <w:sz w:val="24"/>
              </w:rPr>
              <w:t>配色替换和样式微调</w:t>
            </w:r>
          </w:p>
        </w:tc>
      </w:tr>
    </w:tbl>
    <w:p w14:paraId="1E16BFDF"/>
    <w:p w14:paraId="0B643236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八、下一步计划</w:t>
      </w:r>
    </w:p>
    <w:p w14:paraId="314C5480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配色方案和布局框架已经确定下来，后</w:t>
      </w:r>
      <w:bookmarkStart w:id="0" w:name="_GoBack"/>
      <w:bookmarkEnd w:id="0"/>
      <w:r>
        <w:rPr>
          <w:rFonts w:ascii="宋体" w:hAnsi="宋体" w:eastAsia="宋体"/>
          <w:b w:val="0"/>
          <w:color w:val="000000"/>
          <w:sz w:val="24"/>
        </w:rPr>
        <w:t>续可以在现有基础上逐步完善更多页面的细节，交互体验方面继续加固和完善。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27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 w:line="36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36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 w:line="36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1741</Words>
  <Characters>3207</Characters>
  <Lines>0</Lines>
  <Paragraphs>0</Paragraphs>
  <TotalTime>4</TotalTime>
  <ScaleCrop>false</ScaleCrop>
  <LinksUpToDate>false</LinksUpToDate>
  <CharactersWithSpaces>3403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人间萧瑟</cp:lastModifiedBy>
  <dcterms:modified xsi:type="dcterms:W3CDTF">2026-06-16T17:09:44Z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eyJoZGlkIjoiNGMwYWE4ODBlMGRmYTcwNDVlMGJjMTFjY2I0OWY2NjIiLCJ1c2VySWQiOiI4NTI5OTAyODkifQ==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8A6EAC63B45845FF8F302A173D64DFBF_12</vt:lpwstr>
  </property>
</Properties>
</file>