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E325B">
      <w:pPr>
        <w:spacing w:after="80"/>
        <w:jc w:val="center"/>
      </w:pPr>
      <w:r>
        <w:rPr>
          <w:rFonts w:ascii="宋体" w:hAnsi="宋体" w:eastAsia="宋体"/>
          <w:b/>
          <w:color w:val="000000"/>
          <w:sz w:val="44"/>
        </w:rPr>
        <w:t>数据库课程设计开发日志</w:t>
      </w:r>
    </w:p>
    <w:p w14:paraId="7425FA03">
      <w:pPr>
        <w:spacing w:after="80"/>
        <w:jc w:val="center"/>
      </w:pPr>
      <w:r>
        <w:rPr>
          <w:rFonts w:ascii="宋体" w:hAnsi="宋体" w:eastAsia="宋体"/>
          <w:b w:val="0"/>
          <w:color w:val="000000"/>
          <w:sz w:val="28"/>
        </w:rPr>
        <w:t>Day5：2026年6月11日 — 前端全面重构与功能完善</w:t>
      </w:r>
    </w:p>
    <w:p w14:paraId="2E367B7E">
      <w:pPr>
        <w:pStyle w:val="3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今日工作概述</w:t>
      </w:r>
    </w:p>
    <w:p w14:paraId="3F84216B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Day4完成了设计系统和配色方案的建立，今天在此基础上对前端进行了全面重构，同时对后端进行了功能完善。前端方面，所有页面组件的代码都进行了大幅度重写，涉及12个类别共计49项改进。后端方面，新增了横幅管理、评价系统和通知推送三个模块，并对现有模块进行了功能增强。数据库从9张表扩展为15张表，新增了地址、评价、收藏、横幅、通知和操作日志表。</w:t>
      </w:r>
    </w:p>
    <w:p w14:paraId="2EAF2984">
      <w:pPr>
        <w:pStyle w:val="3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一、购物车页面重构</w:t>
      </w:r>
    </w:p>
    <w:p w14:paraId="27435F8C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购物车页面重构为两个清晰的区域：上半部分为商品列表，每行展示商品名称、单价、数量调节器、小计金额和删除按钮；下半部分为结算信息区域，包含收货地址选择、运费计算和发票信息。数量修改后实时刷新小计和总金额。</w:t>
      </w:r>
    </w:p>
    <w:p w14:paraId="54026FD2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&lt;el-table-column label="数量" width="150"&gt;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&lt;template #default="scope"&gt;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&lt;el-input-number v-model="scope.row.quantity" :min="1"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:max="scope.row.stock_quantity || 999" size="small"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@change="updateQty(scope.row)" controls-position="right" /&gt;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&lt;/template&gt;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&lt;/el-table-column&gt;</w:t>
      </w:r>
    </w:p>
    <w:p w14:paraId="71648715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运费计算使用computed属性实现实时预览：</w:t>
      </w:r>
    </w:p>
    <w:p w14:paraId="2C7A12EC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const shippingCost = computed(() =&gt;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const w = parseFloat(info.value.total_weight) || 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(w &lt;= 1) return 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return Math.round((w - 1) * 8 * 100) / 100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})</w:t>
      </w:r>
    </w:p>
    <w:p w14:paraId="6183AE4F">
      <w:pPr>
        <w:pStyle w:val="3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二、侧边栏导航重构</w:t>
      </w:r>
    </w:p>
    <w:p w14:paraId="21AEDE19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侧边栏导航重构为手风琴展开模式。原来使用el-sub-menu组件存在刷新后菜单收起的问题，改用自定义HTML+router-link实现。</w:t>
      </w:r>
    </w:p>
    <w:p w14:paraId="1DC9BDDF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&lt;div class="sb-group"&gt;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&lt;div class="sb-item sb-parent" @click="toggleMenu('orders')"&gt;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我的订单 &lt;span class="sb-arrow"&gt;{{ openMenus.orders ? '▾' : '▸' }}&lt;/span&gt;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&lt;/div&gt;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&lt;div v-show="openMenus.orders" class="sb-sub"&gt;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&lt;router-link to="/orders"&gt;全部订单&lt;/router-link&gt;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&lt;router-link to="/orders?status=PENDING"&gt;待付款&lt;/router-link&gt;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&lt;/div&gt;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&lt;/div&gt;</w:t>
      </w:r>
    </w:p>
    <w:p w14:paraId="552C2841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子菜单展开状态通过reactive对象管理，路由变化时自动展开：</w:t>
      </w:r>
    </w:p>
    <w:p w14:paraId="442DA6E5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const openMenus = reactive({ orders: false, profile: false })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watch(route, () =&gt;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(route.path.startsWith("/orders")) openMenus.orders = true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})</w:t>
      </w:r>
    </w:p>
    <w:p w14:paraId="0052EA4A">
      <w:pPr>
        <w:pStyle w:val="3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三、订单详情页重构</w:t>
      </w:r>
    </w:p>
    <w:p w14:paraId="30076C3D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订单详情页分为四个清晰的区块展示订单信息。区块1使用el-descriptions组件展示订单基本信息和收件信息。区块2使用el-timeline组件按时间顺序展示订单流转过程。区块3为商品明细表格，区块4为付款记录表格。</w:t>
      </w:r>
    </w:p>
    <w:p w14:paraId="5C7B69C0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&lt;!-- 区块2：订单时间轴 --&gt;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&lt;el-card&gt;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&lt;el-timeline&gt;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&lt;el-timeline-item v-for="t in timeline" :key="t.title"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:timestamp="formatTime(t.time)" placement="top"&gt;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&lt;h4&gt;{{ t.title }}&lt;/h4&gt;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&lt;p&gt;{{ t.desc }}&lt;/p&gt;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&lt;/el-timeline-item&gt;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&lt;/el-timeline&gt;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&lt;/el-card&gt;</w:t>
      </w:r>
    </w:p>
    <w:p w14:paraId="66BF8FFA">
      <w:pPr>
        <w:pStyle w:val="3"/>
        <w:rPr>
          <w:rFonts w:hint="eastAsia" w:ascii="黑体" w:hAnsi="黑体" w:eastAsia="黑体" w:cs="黑体"/>
          <w:b/>
          <w:bCs/>
        </w:rPr>
      </w:pPr>
      <w:r>
        <w:t>四</w:t>
      </w:r>
      <w:r>
        <w:rPr>
          <w:rFonts w:hint="eastAsia" w:ascii="黑体" w:hAnsi="黑体" w:eastAsia="黑体" w:cs="黑体"/>
          <w:b/>
          <w:bCs/>
        </w:rPr>
        <w:t>、个人中心页面重构</w:t>
      </w:r>
    </w:p>
    <w:p w14:paraId="5D6BCCE7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个人中心重构为四个标签页：基本信息、修改密码、收货地址、我的收藏。数据按需加载，切换Tab时才发起请求。头像上传限制文件大小2MB，转为Base64存储。</w:t>
      </w:r>
    </w:p>
    <w:p w14:paraId="09332780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const onFileChange = (e) =&gt;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const file = e.target.files[0]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(!file) return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if (file.size &gt; 2 * 1024 * 1024)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ElMessage.warning("图片不能超过2MB")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const reader = new FileReader()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reader.onload = (ev) =&gt; { avatar.value = ev.target.result 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reader.readAsDataURL(file)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15D3DEDF">
      <w:pPr>
        <w:pStyle w:val="3"/>
        <w:rPr>
          <w:rFonts w:hint="eastAsia" w:ascii="黑体" w:hAnsi="黑体" w:eastAsia="黑体" w:cs="黑体"/>
          <w:b/>
          <w:bCs/>
        </w:rPr>
      </w:pPr>
      <w:r>
        <w:t>五</w:t>
      </w:r>
      <w:r>
        <w:rPr>
          <w:rFonts w:hint="eastAsia" w:ascii="黑体" w:hAnsi="黑体" w:eastAsia="黑体" w:cs="黑体"/>
          <w:b/>
          <w:bCs/>
        </w:rPr>
        <w:t>、后端新增模块</w:t>
      </w:r>
    </w:p>
    <w:p w14:paraId="4C2AE1DB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新增了三个后端模块：</w:t>
      </w:r>
    </w:p>
    <w:p w14:paraId="31E68505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横幅模块支持首页轮播图的灵活配置，管理员可以在数据库中管理横幅内容，前端通过API获取启用的横幅列表。</w:t>
      </w:r>
    </w:p>
    <w:p w14:paraId="02A726C9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@router.get("/", response_model=list[BannerResponse])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get_active_banners(db: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db.query(Banner).filter(Banner.is_active == 1).order_by(Banner.sort_order).all()</w:t>
      </w:r>
    </w:p>
    <w:p w14:paraId="744C9EB2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评价模块实现了用户对已购商品的评价功能，支持1-5星评分和文字内容。创建评价时验证订单是否属于当前用户且包含该商品。</w:t>
      </w:r>
    </w:p>
    <w:p w14:paraId="132E5B1B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@router.post("/")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create_review(data: ReviewCreate, 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data.rating &lt; 1 or data.rating &gt; 5: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raise HTTPException(400, detail="评分范围为1-5")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review = Review(order_id=data.order_id, product_id=data.product_id,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        customer_id=data.customer_id, rating=data.rating, content=data.content)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db.add(review); db.commit()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review</w:t>
      </w:r>
    </w:p>
    <w:p w14:paraId="419DEE35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通知模块实现了站内通知，系统在订单状态变更、支付成功等关键节点自动向用户发送通知。</w:t>
      </w:r>
    </w:p>
    <w:p w14:paraId="39E749D1">
      <w:pPr>
        <w:pStyle w:val="3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六、遇到的问题与解决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A2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01EA76F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w="2160" w:type="dxa"/>
            <w:shd w:val="clear" w:color="auto" w:fill="D9E2F3"/>
          </w:tcPr>
          <w:p w14:paraId="40A2491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问题</w:t>
            </w:r>
          </w:p>
        </w:tc>
        <w:tc>
          <w:tcPr>
            <w:tcW w:w="2160" w:type="dxa"/>
            <w:shd w:val="clear" w:color="auto" w:fill="D9E2F3"/>
          </w:tcPr>
          <w:p w14:paraId="06C065C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原因</w:t>
            </w:r>
          </w:p>
        </w:tc>
        <w:tc>
          <w:tcPr>
            <w:tcW w:w="2160" w:type="dxa"/>
            <w:shd w:val="clear" w:color="auto" w:fill="D9E2F3"/>
          </w:tcPr>
          <w:p w14:paraId="030853D7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解决方法</w:t>
            </w:r>
          </w:p>
        </w:tc>
      </w:tr>
      <w:tr w14:paraId="6D9B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880F8D">
            <w:r>
              <w:rPr>
                <w:rFonts w:ascii="宋体" w:hAnsi="宋体" w:eastAsia="宋体"/>
                <w:color w:val="000000"/>
                <w:sz w:val="24"/>
              </w:rPr>
              <w:t>1</w:t>
            </w:r>
          </w:p>
        </w:tc>
        <w:tc>
          <w:tcPr>
            <w:tcW w:w="2160" w:type="dxa"/>
          </w:tcPr>
          <w:p w14:paraId="3F21527B">
            <w:r>
              <w:rPr>
                <w:rFonts w:ascii="宋体" w:hAnsi="宋体" w:eastAsia="宋体"/>
                <w:color w:val="000000"/>
                <w:sz w:val="24"/>
              </w:rPr>
              <w:t>侧边栏子菜单刷新后收起</w:t>
            </w:r>
          </w:p>
        </w:tc>
        <w:tc>
          <w:tcPr>
            <w:tcW w:w="2160" w:type="dxa"/>
          </w:tcPr>
          <w:p w14:paraId="6C07CF0A">
            <w:r>
              <w:rPr>
                <w:rFonts w:ascii="宋体" w:hAnsi="宋体" w:eastAsia="宋体"/>
                <w:color w:val="000000"/>
                <w:sz w:val="24"/>
              </w:rPr>
              <w:t>el-sub-menu组件状态不持久化</w:t>
            </w:r>
          </w:p>
        </w:tc>
        <w:tc>
          <w:tcPr>
            <w:tcW w:w="2160" w:type="dxa"/>
          </w:tcPr>
          <w:p w14:paraId="33A33231">
            <w:r>
              <w:rPr>
                <w:rFonts w:ascii="宋体" w:hAnsi="宋体" w:eastAsia="宋体"/>
                <w:color w:val="000000"/>
                <w:sz w:val="24"/>
              </w:rPr>
              <w:t>使用reactive+watch管理展开状态</w:t>
            </w:r>
          </w:p>
        </w:tc>
      </w:tr>
      <w:tr w14:paraId="6953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7E230C">
            <w:r>
              <w:rPr>
                <w:rFonts w:ascii="宋体" w:hAnsi="宋体" w:eastAsia="宋体"/>
                <w:color w:val="000000"/>
                <w:sz w:val="24"/>
              </w:rPr>
              <w:t>2</w:t>
            </w:r>
          </w:p>
        </w:tc>
        <w:tc>
          <w:tcPr>
            <w:tcW w:w="2160" w:type="dxa"/>
          </w:tcPr>
          <w:p w14:paraId="56A1780B">
            <w:r>
              <w:rPr>
                <w:rFonts w:ascii="宋体" w:hAnsi="宋体" w:eastAsia="宋体"/>
                <w:color w:val="000000"/>
                <w:sz w:val="24"/>
              </w:rPr>
              <w:t>购物车数量修改与库存不同步</w:t>
            </w:r>
          </w:p>
        </w:tc>
        <w:tc>
          <w:tcPr>
            <w:tcW w:w="2160" w:type="dxa"/>
          </w:tcPr>
          <w:p w14:paraId="2D404C91">
            <w:r>
              <w:rPr>
                <w:rFonts w:ascii="宋体" w:hAnsi="宋体" w:eastAsia="宋体"/>
                <w:color w:val="000000"/>
                <w:sz w:val="24"/>
              </w:rPr>
              <w:t>前端未绑定库存上限</w:t>
            </w:r>
          </w:p>
        </w:tc>
        <w:tc>
          <w:tcPr>
            <w:tcW w:w="2160" w:type="dxa"/>
          </w:tcPr>
          <w:p w14:paraId="06503521">
            <w:r>
              <w:rPr>
                <w:rFonts w:ascii="宋体" w:hAnsi="宋体" w:eastAsia="宋体"/>
                <w:color w:val="000000"/>
                <w:sz w:val="24"/>
              </w:rPr>
              <w:t>input-number的max属性绑定当前库存量</w:t>
            </w:r>
          </w:p>
        </w:tc>
      </w:tr>
      <w:tr w14:paraId="06BD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16639C">
            <w:r>
              <w:rPr>
                <w:rFonts w:ascii="宋体" w:hAnsi="宋体" w:eastAsia="宋体"/>
                <w:color w:val="000000"/>
                <w:sz w:val="24"/>
              </w:rPr>
              <w:t>3</w:t>
            </w:r>
          </w:p>
        </w:tc>
        <w:tc>
          <w:tcPr>
            <w:tcW w:w="2160" w:type="dxa"/>
          </w:tcPr>
          <w:p w14:paraId="1C485749">
            <w:r>
              <w:rPr>
                <w:rFonts w:ascii="宋体" w:hAnsi="宋体" w:eastAsia="宋体"/>
                <w:color w:val="000000"/>
                <w:sz w:val="24"/>
              </w:rPr>
              <w:t>个人中心Tab切换数据重复请求</w:t>
            </w:r>
          </w:p>
        </w:tc>
        <w:tc>
          <w:tcPr>
            <w:tcW w:w="2160" w:type="dxa"/>
          </w:tcPr>
          <w:p w14:paraId="201DD7B7">
            <w:r>
              <w:rPr>
                <w:rFonts w:ascii="宋体" w:hAnsi="宋体" w:eastAsia="宋体"/>
                <w:color w:val="000000"/>
                <w:sz w:val="24"/>
              </w:rPr>
              <w:t>页面加载时一次性请求所有接口</w:t>
            </w:r>
          </w:p>
        </w:tc>
        <w:tc>
          <w:tcPr>
            <w:tcW w:w="2160" w:type="dxa"/>
          </w:tcPr>
          <w:p w14:paraId="67DABC6B">
            <w:r>
              <w:rPr>
                <w:rFonts w:ascii="宋体" w:hAnsi="宋体" w:eastAsia="宋体"/>
                <w:color w:val="000000"/>
                <w:sz w:val="24"/>
              </w:rPr>
              <w:t>改为按需加载</w:t>
            </w:r>
          </w:p>
        </w:tc>
      </w:tr>
      <w:tr w14:paraId="69B0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77937C">
            <w:r>
              <w:rPr>
                <w:rFonts w:ascii="宋体" w:hAnsi="宋体" w:eastAsia="宋体"/>
                <w:color w:val="000000"/>
                <w:sz w:val="24"/>
              </w:rPr>
              <w:t>4</w:t>
            </w:r>
          </w:p>
        </w:tc>
        <w:tc>
          <w:tcPr>
            <w:tcW w:w="2160" w:type="dxa"/>
          </w:tcPr>
          <w:p w14:paraId="230E8380">
            <w:r>
              <w:rPr>
                <w:rFonts w:ascii="宋体" w:hAnsi="宋体" w:eastAsia="宋体"/>
                <w:color w:val="000000"/>
                <w:sz w:val="24"/>
              </w:rPr>
              <w:t>评价接口未验证用户身份</w:t>
            </w:r>
          </w:p>
        </w:tc>
        <w:tc>
          <w:tcPr>
            <w:tcW w:w="2160" w:type="dxa"/>
          </w:tcPr>
          <w:p w14:paraId="29719EF9">
            <w:r>
              <w:rPr>
                <w:rFonts w:ascii="宋体" w:hAnsi="宋体" w:eastAsia="宋体"/>
                <w:color w:val="000000"/>
                <w:sz w:val="24"/>
              </w:rPr>
              <w:t>未校验评价人是否与订单关联</w:t>
            </w:r>
          </w:p>
        </w:tc>
        <w:tc>
          <w:tcPr>
            <w:tcW w:w="2160" w:type="dxa"/>
          </w:tcPr>
          <w:p w14:paraId="15D2850D">
            <w:r>
              <w:rPr>
                <w:rFonts w:ascii="宋体" w:hAnsi="宋体" w:eastAsia="宋体"/>
                <w:color w:val="000000"/>
                <w:sz w:val="24"/>
              </w:rPr>
              <w:t>创建评价时验证订单归属</w:t>
            </w:r>
          </w:p>
        </w:tc>
      </w:tr>
    </w:tbl>
    <w:p w14:paraId="0590C05D"/>
    <w:p w14:paraId="747C301E">
      <w:pPr>
        <w:pStyle w:val="3"/>
        <w:rPr>
          <w:rFonts w:hint="eastAsia" w:ascii="黑体" w:hAnsi="黑体" w:eastAsia="黑体" w:cs="黑体"/>
          <w:b/>
          <w:bCs/>
        </w:rPr>
      </w:pPr>
      <w:r>
        <w:t>七</w:t>
      </w:r>
      <w:r>
        <w:rPr>
          <w:rFonts w:hint="eastAsia" w:ascii="黑体" w:hAnsi="黑体" w:eastAsia="黑体" w:cs="黑体"/>
          <w:b/>
          <w:bCs/>
        </w:rPr>
        <w:t>、文件改动清单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2214"/>
        <w:gridCol w:w="2346"/>
      </w:tblGrid>
      <w:tr w14:paraId="00EE2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3678A14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文件</w:t>
            </w:r>
          </w:p>
        </w:tc>
        <w:tc>
          <w:tcPr>
            <w:tcW w:w="2880" w:type="dxa"/>
            <w:shd w:val="clear" w:color="auto" w:fill="D9E2F3"/>
          </w:tcPr>
          <w:p w14:paraId="61E0AAF3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操作</w:t>
            </w:r>
          </w:p>
        </w:tc>
        <w:tc>
          <w:tcPr>
            <w:tcW w:w="2880" w:type="dxa"/>
            <w:shd w:val="clear" w:color="auto" w:fill="D9E2F3"/>
          </w:tcPr>
          <w:p w14:paraId="4F3213B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 w14:paraId="1CAB7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23C70A">
            <w:r>
              <w:rPr>
                <w:rFonts w:ascii="宋体" w:hAnsi="宋体" w:eastAsia="宋体"/>
                <w:color w:val="000000"/>
                <w:sz w:val="24"/>
              </w:rPr>
              <w:t>frontend/src/views/Cart.vue</w:t>
            </w:r>
          </w:p>
        </w:tc>
        <w:tc>
          <w:tcPr>
            <w:tcW w:w="2880" w:type="dxa"/>
          </w:tcPr>
          <w:p w14:paraId="246FF793">
            <w:r>
              <w:rPr>
                <w:rFonts w:ascii="宋体" w:hAnsi="宋体" w:eastAsia="宋体"/>
                <w:color w:val="000000"/>
                <w:sz w:val="24"/>
              </w:rPr>
              <w:t>重写</w:t>
            </w:r>
          </w:p>
        </w:tc>
        <w:tc>
          <w:tcPr>
            <w:tcW w:w="2880" w:type="dxa"/>
          </w:tcPr>
          <w:p w14:paraId="0F550F6A">
            <w:r>
              <w:rPr>
                <w:rFonts w:ascii="宋体" w:hAnsi="宋体" w:eastAsia="宋体"/>
                <w:color w:val="000000"/>
                <w:sz w:val="24"/>
              </w:rPr>
              <w:t>购物车页面重构（+80行）</w:t>
            </w:r>
          </w:p>
        </w:tc>
      </w:tr>
      <w:tr w14:paraId="71F16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6165EF">
            <w:r>
              <w:rPr>
                <w:rFonts w:ascii="宋体" w:hAnsi="宋体" w:eastAsia="宋体"/>
                <w:color w:val="000000"/>
                <w:sz w:val="24"/>
              </w:rPr>
              <w:t>frontend/src/views/Orders.vue</w:t>
            </w:r>
          </w:p>
        </w:tc>
        <w:tc>
          <w:tcPr>
            <w:tcW w:w="2880" w:type="dxa"/>
          </w:tcPr>
          <w:p w14:paraId="27E64F9A">
            <w:r>
              <w:rPr>
                <w:rFonts w:ascii="宋体" w:hAnsi="宋体" w:eastAsia="宋体"/>
                <w:color w:val="000000"/>
                <w:sz w:val="24"/>
              </w:rPr>
              <w:t>重写</w:t>
            </w:r>
          </w:p>
        </w:tc>
        <w:tc>
          <w:tcPr>
            <w:tcW w:w="2880" w:type="dxa"/>
          </w:tcPr>
          <w:p w14:paraId="61C788F0">
            <w:r>
              <w:rPr>
                <w:rFonts w:ascii="宋体" w:hAnsi="宋体" w:eastAsia="宋体"/>
                <w:color w:val="000000"/>
                <w:sz w:val="24"/>
              </w:rPr>
              <w:t>订单列表重构（+159行）</w:t>
            </w:r>
          </w:p>
        </w:tc>
      </w:tr>
      <w:tr w14:paraId="0599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84D1A7">
            <w:r>
              <w:rPr>
                <w:rFonts w:ascii="宋体" w:hAnsi="宋体" w:eastAsia="宋体"/>
                <w:color w:val="000000"/>
                <w:sz w:val="24"/>
              </w:rPr>
              <w:t>frontend/src/views/OrderDetail.vue</w:t>
            </w:r>
          </w:p>
        </w:tc>
        <w:tc>
          <w:tcPr>
            <w:tcW w:w="2880" w:type="dxa"/>
          </w:tcPr>
          <w:p w14:paraId="734296BF">
            <w:r>
              <w:rPr>
                <w:rFonts w:ascii="宋体" w:hAnsi="宋体" w:eastAsia="宋体"/>
                <w:color w:val="000000"/>
                <w:sz w:val="24"/>
              </w:rPr>
              <w:t>重写</w:t>
            </w:r>
          </w:p>
        </w:tc>
        <w:tc>
          <w:tcPr>
            <w:tcW w:w="2880" w:type="dxa"/>
          </w:tcPr>
          <w:p w14:paraId="174C0E8D">
            <w:r>
              <w:rPr>
                <w:rFonts w:ascii="宋体" w:hAnsi="宋体" w:eastAsia="宋体"/>
                <w:color w:val="000000"/>
                <w:sz w:val="24"/>
              </w:rPr>
              <w:t>订单详情四区块（+77行）</w:t>
            </w:r>
          </w:p>
        </w:tc>
      </w:tr>
      <w:tr w14:paraId="696E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EC2AF8">
            <w:r>
              <w:rPr>
                <w:rFonts w:ascii="宋体" w:hAnsi="宋体" w:eastAsia="宋体"/>
                <w:color w:val="000000"/>
                <w:sz w:val="24"/>
              </w:rPr>
              <w:t>frontend/src/views/Profile.vue</w:t>
            </w:r>
          </w:p>
        </w:tc>
        <w:tc>
          <w:tcPr>
            <w:tcW w:w="2880" w:type="dxa"/>
          </w:tcPr>
          <w:p w14:paraId="552BD73A">
            <w:r>
              <w:rPr>
                <w:rFonts w:ascii="宋体" w:hAnsi="宋体" w:eastAsia="宋体"/>
                <w:color w:val="000000"/>
                <w:sz w:val="24"/>
              </w:rPr>
              <w:t>重写</w:t>
            </w:r>
          </w:p>
        </w:tc>
        <w:tc>
          <w:tcPr>
            <w:tcW w:w="2880" w:type="dxa"/>
          </w:tcPr>
          <w:p w14:paraId="052E175C">
            <w:r>
              <w:rPr>
                <w:rFonts w:ascii="宋体" w:hAnsi="宋体" w:eastAsia="宋体"/>
                <w:color w:val="000000"/>
                <w:sz w:val="24"/>
              </w:rPr>
              <w:t>个人中心四标签（+142行）</w:t>
            </w:r>
          </w:p>
        </w:tc>
      </w:tr>
      <w:tr w14:paraId="5CB6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1D30C0">
            <w:r>
              <w:rPr>
                <w:rFonts w:ascii="宋体" w:hAnsi="宋体" w:eastAsia="宋体"/>
                <w:color w:val="000000"/>
                <w:sz w:val="24"/>
              </w:rPr>
              <w:t>frontend/src/App.vue</w:t>
            </w:r>
          </w:p>
        </w:tc>
        <w:tc>
          <w:tcPr>
            <w:tcW w:w="2880" w:type="dxa"/>
          </w:tcPr>
          <w:p w14:paraId="1902ECBA">
            <w:r>
              <w:rPr>
                <w:rFonts w:ascii="宋体" w:hAnsi="宋体" w:eastAsia="宋体"/>
                <w:color w:val="000000"/>
                <w:sz w:val="24"/>
              </w:rPr>
              <w:t>重写</w:t>
            </w:r>
          </w:p>
        </w:tc>
        <w:tc>
          <w:tcPr>
            <w:tcW w:w="2880" w:type="dxa"/>
          </w:tcPr>
          <w:p w14:paraId="23EB680B">
            <w:r>
              <w:rPr>
                <w:rFonts w:ascii="宋体" w:hAnsi="宋体" w:eastAsia="宋体"/>
                <w:color w:val="000000"/>
                <w:sz w:val="24"/>
              </w:rPr>
              <w:t>侧边栏手风琴导航（+117行）</w:t>
            </w:r>
          </w:p>
        </w:tc>
      </w:tr>
      <w:tr w14:paraId="54C1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695561">
            <w:r>
              <w:rPr>
                <w:rFonts w:ascii="宋体" w:hAnsi="宋体" w:eastAsia="宋体"/>
                <w:color w:val="000000"/>
                <w:sz w:val="24"/>
              </w:rPr>
              <w:t>backend/routers/banners.py</w:t>
            </w:r>
          </w:p>
        </w:tc>
        <w:tc>
          <w:tcPr>
            <w:tcW w:w="2880" w:type="dxa"/>
          </w:tcPr>
          <w:p w14:paraId="2C1DD2E6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14954C78">
            <w:r>
              <w:rPr>
                <w:rFonts w:ascii="宋体" w:hAnsi="宋体" w:eastAsia="宋体"/>
                <w:color w:val="000000"/>
                <w:sz w:val="24"/>
              </w:rPr>
              <w:t>横幅管理模块</w:t>
            </w:r>
          </w:p>
        </w:tc>
      </w:tr>
      <w:tr w14:paraId="5874A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C2055B">
            <w:r>
              <w:rPr>
                <w:rFonts w:ascii="宋体" w:hAnsi="宋体" w:eastAsia="宋体"/>
                <w:color w:val="000000"/>
                <w:sz w:val="24"/>
              </w:rPr>
              <w:t>backend/routers/reviews.py</w:t>
            </w:r>
          </w:p>
        </w:tc>
        <w:tc>
          <w:tcPr>
            <w:tcW w:w="2880" w:type="dxa"/>
          </w:tcPr>
          <w:p w14:paraId="42CBE541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251D924C">
            <w:r>
              <w:rPr>
                <w:rFonts w:ascii="宋体" w:hAnsi="宋体" w:eastAsia="宋体"/>
                <w:color w:val="000000"/>
                <w:sz w:val="24"/>
              </w:rPr>
              <w:t>评价管理模块</w:t>
            </w:r>
          </w:p>
        </w:tc>
      </w:tr>
      <w:tr w14:paraId="3DC49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B9F4A6">
            <w:r>
              <w:rPr>
                <w:rFonts w:ascii="宋体" w:hAnsi="宋体" w:eastAsia="宋体"/>
                <w:color w:val="000000"/>
                <w:sz w:val="24"/>
              </w:rPr>
              <w:t>backend/routers/notifications.py</w:t>
            </w:r>
          </w:p>
        </w:tc>
        <w:tc>
          <w:tcPr>
            <w:tcW w:w="2880" w:type="dxa"/>
          </w:tcPr>
          <w:p w14:paraId="0C97140E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07CBBA8F">
            <w:r>
              <w:rPr>
                <w:rFonts w:ascii="宋体" w:hAnsi="宋体" w:eastAsia="宋体"/>
                <w:color w:val="000000"/>
                <w:sz w:val="24"/>
              </w:rPr>
              <w:t>通知推送模块</w:t>
            </w:r>
          </w:p>
        </w:tc>
      </w:tr>
      <w:tr w14:paraId="572A8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26E87E">
            <w:r>
              <w:rPr>
                <w:rFonts w:ascii="宋体" w:hAnsi="宋体" w:eastAsia="宋体"/>
                <w:color w:val="000000"/>
                <w:sz w:val="24"/>
              </w:rPr>
              <w:t>backend/routers/customers.py</w:t>
            </w:r>
          </w:p>
        </w:tc>
        <w:tc>
          <w:tcPr>
            <w:tcW w:w="2880" w:type="dxa"/>
          </w:tcPr>
          <w:p w14:paraId="3EAD110E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1BDB57B3">
            <w:r>
              <w:rPr>
                <w:rFonts w:ascii="宋体" w:hAnsi="宋体" w:eastAsia="宋体"/>
                <w:color w:val="000000"/>
                <w:sz w:val="24"/>
              </w:rPr>
              <w:t>新增地址和收藏接口（+136行）</w:t>
            </w:r>
          </w:p>
        </w:tc>
      </w:tr>
      <w:tr w14:paraId="4DFC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E2AD78">
            <w:r>
              <w:rPr>
                <w:rFonts w:ascii="宋体" w:hAnsi="宋体" w:eastAsia="宋体"/>
                <w:color w:val="000000"/>
                <w:sz w:val="24"/>
              </w:rPr>
              <w:t>backend/models.py</w:t>
            </w:r>
          </w:p>
        </w:tc>
        <w:tc>
          <w:tcPr>
            <w:tcW w:w="2880" w:type="dxa"/>
          </w:tcPr>
          <w:p w14:paraId="6B4A1E2A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1D225ACC">
            <w:r>
              <w:rPr>
                <w:rFonts w:ascii="宋体" w:hAnsi="宋体" w:eastAsia="宋体"/>
                <w:color w:val="000000"/>
                <w:sz w:val="24"/>
              </w:rPr>
              <w:t>新增6个模型（+76行）</w:t>
            </w:r>
          </w:p>
        </w:tc>
      </w:tr>
      <w:tr w14:paraId="100E1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64E256">
            <w:r>
              <w:rPr>
                <w:rFonts w:ascii="宋体" w:hAnsi="宋体" w:eastAsia="宋体"/>
                <w:color w:val="000000"/>
                <w:sz w:val="24"/>
              </w:rPr>
              <w:t>database/init.sql</w:t>
            </w:r>
          </w:p>
        </w:tc>
        <w:tc>
          <w:tcPr>
            <w:tcW w:w="2880" w:type="dxa"/>
          </w:tcPr>
          <w:p w14:paraId="456CA461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700C3307">
            <w:r>
              <w:rPr>
                <w:rFonts w:ascii="宋体" w:hAnsi="宋体" w:eastAsia="宋体"/>
                <w:color w:val="000000"/>
                <w:sz w:val="24"/>
              </w:rPr>
              <w:t>15张表完整建表脚本</w:t>
            </w:r>
          </w:p>
        </w:tc>
      </w:tr>
    </w:tbl>
    <w:p w14:paraId="0EB05B0A"/>
    <w:p w14:paraId="1106884A">
      <w:pPr>
        <w:pStyle w:val="3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八、下一步计划</w:t>
      </w:r>
    </w:p>
    <w:p w14:paraId="6E9775BA"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明天将进行系统的细节优化和Bug修复，重点改进侧边栏交互、个人中心加载体验、购物车校验逻辑和订单时</w:t>
      </w:r>
      <w:bookmarkStart w:id="0" w:name="_GoBack"/>
      <w:bookmarkEnd w:id="0"/>
      <w:r>
        <w:rPr>
          <w:rFonts w:ascii="宋体" w:hAnsi="宋体" w:eastAsia="宋体"/>
          <w:b w:val="0"/>
          <w:color w:val="000000"/>
          <w:sz w:val="24"/>
        </w:rPr>
        <w:t>间轴节点完善。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13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1341</Words>
  <Characters>3301</Characters>
  <Lines>0</Lines>
  <Paragraphs>0</Paragraphs>
  <TotalTime>0</TotalTime>
  <ScaleCrop>false</ScaleCrop>
  <LinksUpToDate>false</LinksUpToDate>
  <CharactersWithSpaces>3587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人间萧瑟</cp:lastModifiedBy>
  <dcterms:modified xsi:type="dcterms:W3CDTF">2026-06-16T17:10:40Z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eyJoZGlkIjoiNGMwYWE4ODBlMGRmYTcwNDVlMGJjMTFjY2I0OWY2NjIiLCJ1c2VySWQiOiI4NTI5OTAyODkifQ==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1C11EFFBA8EB44E6A85DBB709DC764FC_12</vt:lpwstr>
  </property>
</Properties>
</file>