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r>
        <w:rPr>
          <w:rFonts w:ascii="Arial" w:cs="Arial" w:eastAsia="Arial" w:hAnsi="Arial"/>
          <w:b/>
          <w:bCs/>
          <w:caps/>
          <w:color w:val="64748B"/>
          <w:sz w:val="20"/>
          <w:szCs w:val="20"/>
        </w:rPr>
        <w:t xml:space="preserve">THE CASE FOR</w:t>
      </w:r>
    </w:p>
    <w:p>
      <w:pPr>
        <w:spacing w:after="0" w:before="40"/>
      </w:pPr>
      <w:r>
        <w:rPr>
          <w:rFonts w:ascii="Arial" w:cs="Arial" w:eastAsia="Arial" w:hAnsi="Arial"/>
          <w:b/>
          <w:bCs/>
          <w:color w:val="0D1B3E"/>
          <w:sz w:val="72"/>
          <w:szCs w:val="72"/>
        </w:rPr>
        <w:t xml:space="preserve">SportPortal</w:t>
      </w:r>
    </w:p>
    <w:p>
      <w:pPr>
        <w:spacing w:after="0" w:before="40"/>
      </w:pPr>
      <w:r>
        <w:rPr>
          <w:rFonts w:ascii="Arial" w:cs="Arial" w:eastAsia="Arial" w:hAnsi="Arial"/>
          <w:b/>
          <w:bCs/>
          <w:color w:val="1A56DB"/>
          <w:sz w:val="32"/>
          <w:szCs w:val="32"/>
        </w:rPr>
        <w:t xml:space="preserve">Eliminating $8.36 Million in Annual Admin from Victorian School Sport</w:t>
      </w:r>
    </w:p>
    <w:p>
      <w:pPr>
        <w:spacing w:after="0" w:before="120"/>
      </w:pPr>
      <w:r>
        <w:rPr>
          <w:rFonts w:ascii="Arial" w:cs="Arial" w:eastAsia="Arial" w:hAnsi="Arial"/>
          <w:color w:val="64748B"/>
          <w:sz w:val="20"/>
          <w:szCs w:val="20"/>
        </w:rPr>
        <w:t xml:space="preserve">Paddy Gallivan  |  PE Teacher, Williamstown PS  |  Williamstown District Coordinator  |  Hobsons Bay Division Coordinator</w:t>
      </w:r>
    </w:p>
    <w:p>
      <w:pPr>
        <w:pBdr>
          <w:bottom w:val="single" w:color="1A56DB" w:sz="8"/>
        </w:pBdr>
        <w:spacing w:after="80" w:before="80"/>
      </w:pPr>
    </w:p>
    <w:p>
      <w:pPr>
        <w:spacing w:after="0" w:before="200"/>
      </w:pPr>
    </w:p>
    <w:p>
      <w:pPr>
        <w:spacing w:after="120" w:before="0"/>
      </w:pPr>
      <w:r>
        <w:rPr>
          <w:rFonts w:ascii="Arial" w:cs="Arial" w:eastAsia="Arial" w:hAnsi="Arial"/>
          <w:b/>
          <w:bCs/>
          <w:color w:val="0D1B3E"/>
          <w:sz w:val="26"/>
          <w:szCs w:val="26"/>
        </w:rPr>
        <w:t xml:space="preserve">Every school sport coordinator in Victoria is doing the same thing right now — manually drafting the same emails, chasing the same confirmations, re-entering the same student data they entered last year. Not once. Three times a year, at every level of the system.</w:t>
      </w:r>
    </w:p>
    <w:p>
      <w:pPr>
        <w:spacing w:after="120" w:before="0"/>
      </w:pPr>
      <w:r>
        <w:rPr>
          <w:rFonts w:ascii="Arial" w:cs="Arial" w:eastAsia="Arial" w:hAnsi="Arial"/>
          <w:b w:val="false"/>
          <w:bCs w:val="false"/>
          <w:i w:val="false"/>
          <w:iCs w:val="false"/>
          <w:color w:val="0D1B3E"/>
          <w:sz w:val="22"/>
          <w:szCs w:val="22"/>
        </w:rPr>
        <w:t xml:space="preserve">The SSV has 1,600 schools, 232 districts, 55 divisions and 16 regions. Every one of them is running the same manual process. Every year the same $8.36 million in teacher time evaporates into spreadsheets, email chains, and bus booking forms.</w:t>
      </w:r>
    </w:p>
    <w:p>
      <w:pPr>
        <w:spacing w:after="200" w:before="80"/>
      </w:pPr>
      <w:r>
        <w:rPr>
          <w:rFonts w:ascii="Arial" w:cs="Arial" w:eastAsia="Arial" w:hAnsi="Arial"/>
          <w:b/>
          <w:bCs/>
          <w:i w:val="false"/>
          <w:iCs w:val="false"/>
          <w:color w:val="0D1B3E"/>
          <w:sz w:val="24"/>
          <w:szCs w:val="24"/>
        </w:rPr>
        <w:t xml:space="preserve">SportPortal ends that.</w:t>
      </w:r>
    </w:p>
    <w:p>
      <w:pPr>
        <w:spacing w:after="0" w:before="4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48"/>
      </w:tblGrid>
      <w:tr>
        <w:tc>
          <w:tcPr>
            <w:tcW w:type="dxa" w:w="3248"/>
            <w:tcBorders>
              <w:top w:val="none" w:color="FFFFFF" w:sz="0"/>
              <w:left w:val="none" w:color="FFFFFF" w:sz="0"/>
              <w:bottom w:val="none" w:color="FFFFFF" w:sz="0"/>
              <w:right w:val="none" w:color="FFFFFF" w:sz="0"/>
            </w:tcBorders>
            <w:shd w:fill="EFF6FF" w:val="clear"/>
            <w:tcMar>
              <w:top w:type="dxa" w:w="160"/>
              <w:left w:type="dxa" w:w="160"/>
              <w:bottom w:type="dxa" w:w="160"/>
              <w:right w:type="dxa" w:w="160"/>
            </w:tcMar>
            <w:vAlign w:val="center"/>
          </w:tcPr>
          <w:p>
            <w:pPr>
              <w:jc w:val="center"/>
            </w:pPr>
            <w:r>
              <w:rPr>
                <w:rFonts w:ascii="Arial" w:cs="Arial" w:eastAsia="Arial" w:hAnsi="Arial"/>
                <w:b/>
                <w:bCs/>
                <w:color w:val="1A56DB"/>
                <w:sz w:val="52"/>
                <w:szCs w:val="52"/>
              </w:rPr>
              <w:t xml:space="preserve">$8,362,146</w:t>
            </w:r>
          </w:p>
          <w:p>
            <w:pPr>
              <w:jc w:val="center"/>
            </w:pPr>
            <w:r>
              <w:rPr>
                <w:rFonts w:ascii="Arial" w:cs="Arial" w:eastAsia="Arial" w:hAnsi="Arial"/>
                <w:color w:val="64748B"/>
                <w:sz w:val="18"/>
                <w:szCs w:val="18"/>
              </w:rPr>
              <w:t xml:space="preserve">statewide admin cost per year</w:t>
            </w:r>
          </w:p>
        </w:tc>
        <w:tc>
          <w:tcPr>
            <w:tcW w:type="dxa" w:w="3248"/>
            <w:tcBorders>
              <w:top w:val="none" w:color="FFFFFF" w:sz="0"/>
              <w:left w:val="none" w:color="FFFFFF" w:sz="0"/>
              <w:bottom w:val="none" w:color="FFFFFF" w:sz="0"/>
              <w:right w:val="none" w:color="FFFFFF" w:sz="0"/>
            </w:tcBorders>
            <w:shd w:fill="FFFBEB" w:val="clear"/>
            <w:tcMar>
              <w:top w:type="dxa" w:w="160"/>
              <w:left w:type="dxa" w:w="160"/>
              <w:bottom w:type="dxa" w:w="160"/>
              <w:right w:type="dxa" w:w="160"/>
            </w:tcMar>
            <w:vAlign w:val="center"/>
          </w:tcPr>
          <w:p>
            <w:pPr>
              <w:jc w:val="center"/>
            </w:pPr>
            <w:r>
              <w:rPr>
                <w:rFonts w:ascii="Arial" w:cs="Arial" w:eastAsia="Arial" w:hAnsi="Arial"/>
                <w:b/>
                <w:bCs/>
                <w:color w:val="1A56DB"/>
                <w:sz w:val="52"/>
                <w:szCs w:val="52"/>
              </w:rPr>
              <w:t xml:space="preserve">33</w:t>
            </w:r>
          </w:p>
          <w:p>
            <w:pPr>
              <w:jc w:val="center"/>
            </w:pPr>
            <w:r>
              <w:rPr>
                <w:rFonts w:ascii="Arial" w:cs="Arial" w:eastAsia="Arial" w:hAnsi="Arial"/>
                <w:color w:val="64748B"/>
                <w:sz w:val="18"/>
                <w:szCs w:val="18"/>
              </w:rPr>
              <w:t xml:space="preserve">email types per carnival</w:t>
            </w:r>
          </w:p>
        </w:tc>
        <w:tc>
          <w:tcPr>
            <w:tcW w:type="dxa" w:w="3248"/>
            <w:tcBorders>
              <w:top w:val="none" w:color="FFFFFF" w:sz="0"/>
              <w:left w:val="none" w:color="FFFFFF" w:sz="0"/>
              <w:bottom w:val="none" w:color="FFFFFF" w:sz="0"/>
              <w:right w:val="none" w:color="FFFFFF" w:sz="0"/>
            </w:tcBorders>
            <w:shd w:fill="DCFCE7" w:val="clear"/>
            <w:tcMar>
              <w:top w:type="dxa" w:w="160"/>
              <w:left w:type="dxa" w:w="160"/>
              <w:bottom w:type="dxa" w:w="160"/>
              <w:right w:type="dxa" w:w="160"/>
            </w:tcMar>
            <w:vAlign w:val="center"/>
          </w:tcPr>
          <w:p>
            <w:pPr>
              <w:jc w:val="center"/>
            </w:pPr>
            <w:r>
              <w:rPr>
                <w:rFonts w:ascii="Arial" w:cs="Arial" w:eastAsia="Arial" w:hAnsi="Arial"/>
                <w:b/>
                <w:bCs/>
                <w:color w:val="1A56DB"/>
                <w:sz w:val="52"/>
                <w:szCs w:val="52"/>
              </w:rPr>
              <w:t xml:space="preserve">8</w:t>
            </w:r>
          </w:p>
          <w:p>
            <w:pPr>
              <w:jc w:val="center"/>
            </w:pPr>
            <w:r>
              <w:rPr>
                <w:rFonts w:ascii="Arial" w:cs="Arial" w:eastAsia="Arial" w:hAnsi="Arial"/>
                <w:color w:val="64748B"/>
                <w:sz w:val="18"/>
                <w:szCs w:val="18"/>
              </w:rPr>
              <w:t xml:space="preserve">transport docs per school per carnival</w:t>
            </w:r>
          </w:p>
        </w:tc>
      </w:tr>
    </w:tbl>
    <w:p>
      <w:pPr>
        <w:spacing w:after="0" w:before="200"/>
      </w:pPr>
    </w:p>
    <w:p>
      <w:pPr>
        <w:pStyle w:val="Heading1"/>
      </w:pPr>
      <w:r>
        <w:rPr>
          <w:rFonts w:ascii="Arial" w:cs="Arial" w:eastAsia="Arial" w:hAnsi="Arial"/>
          <w:b/>
          <w:bCs/>
          <w:color w:val="0D1B3E"/>
          <w:sz w:val="36"/>
          <w:szCs w:val="36"/>
        </w:rPr>
        <w:t xml:space="preserve">Part 1 — The Admin Burden</w:t>
      </w:r>
    </w:p>
    <w:p>
      <w:pPr>
        <w:pBdr>
          <w:bottom w:val="single" w:color="1A56DB" w:sz="8"/>
        </w:pBdr>
        <w:spacing w:after="80" w:before="80"/>
      </w:pPr>
    </w:p>
    <w:p>
      <w:pPr>
        <w:spacing w:after="0" w:before="80"/>
      </w:pPr>
    </w:p>
    <w:p>
      <w:pPr>
        <w:pStyle w:val="Heading2"/>
      </w:pPr>
      <w:r>
        <w:rPr>
          <w:rFonts w:ascii="Arial" w:cs="Arial" w:eastAsia="Arial" w:hAnsi="Arial"/>
          <w:b/>
          <w:bCs/>
          <w:color w:val="1A56DB"/>
          <w:sz w:val="28"/>
          <w:szCs w:val="28"/>
        </w:rPr>
        <w:t xml:space="preserve">Hours Per Carnival by Role</w:t>
      </w:r>
    </w:p>
    <w:p>
      <w:pPr>
        <w:spacing w:after="0" w:before="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746"/>
      </w:tblGrid>
      <w:tr>
        <w:tc>
          <w:tcPr>
            <w:tcW w:type="dxa" w:w="3400"/>
            <w:tcBorders>
              <w:top w:val="single" w:color="E2E8F0" w:sz="1"/>
              <w:left w:val="single" w:color="E2E8F0" w:sz="1"/>
              <w:bottom w:val="single" w:color="E2E8F0" w:sz="1"/>
              <w:right w:val="single" w:color="E2E8F0" w:sz="1"/>
            </w:tcBorders>
            <w:shd w:fill="0D1B3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Role</w:t>
            </w:r>
          </w:p>
        </w:tc>
        <w:tc>
          <w:tcPr>
            <w:tcW w:type="dxa" w:w="1800"/>
            <w:tcBorders>
              <w:top w:val="single" w:color="E2E8F0" w:sz="1"/>
              <w:left w:val="single" w:color="E2E8F0" w:sz="1"/>
              <w:bottom w:val="single" w:color="E2E8F0" w:sz="1"/>
              <w:right w:val="single" w:color="E2E8F0" w:sz="1"/>
            </w:tcBorders>
            <w:shd w:fill="0D1B3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Hours / Carnival</w:t>
            </w:r>
          </w:p>
        </w:tc>
        <w:tc>
          <w:tcPr>
            <w:tcW w:type="dxa" w:w="1800"/>
            <w:tcBorders>
              <w:top w:val="single" w:color="E2E8F0" w:sz="1"/>
              <w:left w:val="single" w:color="E2E8F0" w:sz="1"/>
              <w:bottom w:val="single" w:color="E2E8F0" w:sz="1"/>
              <w:right w:val="single" w:color="E2E8F0" w:sz="1"/>
            </w:tcBorders>
            <w:shd w:fill="0D1B3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Hours / Year</w:t>
            </w:r>
          </w:p>
        </w:tc>
        <w:tc>
          <w:tcPr>
            <w:tcW w:type="dxa" w:w="2746"/>
            <w:tcBorders>
              <w:top w:val="single" w:color="E2E8F0" w:sz="1"/>
              <w:left w:val="single" w:color="E2E8F0" w:sz="1"/>
              <w:bottom w:val="single" w:color="E2E8F0" w:sz="1"/>
              <w:right w:val="single" w:color="E2E8F0" w:sz="1"/>
            </w:tcBorders>
            <w:shd w:fill="0D1B3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Annual CRT Cost</w:t>
            </w:r>
          </w:p>
        </w:tc>
      </w:tr>
      <w:tr>
        <w:tc>
          <w:tcPr>
            <w:tcW w:type="dxa" w:w="3400"/>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PE Teacher</w:t>
            </w:r>
          </w:p>
        </w:tc>
        <w:tc>
          <w:tcPr>
            <w:tcW w:type="dxa" w:w="1800"/>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17 hrs</w:t>
            </w:r>
          </w:p>
        </w:tc>
        <w:tc>
          <w:tcPr>
            <w:tcW w:type="dxa" w:w="1800"/>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51 hrs</w:t>
            </w:r>
          </w:p>
        </w:tc>
        <w:tc>
          <w:tcPr>
            <w:tcW w:type="dxa" w:w="2746"/>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right"/>
            </w:pPr>
            <w:r>
              <w:rPr>
                <w:rFonts w:ascii="Arial" w:cs="Arial" w:eastAsia="Arial" w:hAnsi="Arial"/>
                <w:b w:val="false"/>
                <w:bCs w:val="false"/>
                <w:i w:val="false"/>
                <w:iCs w:val="false"/>
                <w:color w:val="0D1B3E"/>
                <w:sz w:val="20"/>
                <w:szCs w:val="20"/>
              </w:rPr>
              <w:t xml:space="preserve">$3,620</w:t>
            </w:r>
          </w:p>
        </w:tc>
      </w:tr>
      <w:tr>
        <w:tc>
          <w:tcPr>
            <w:tcW w:type="dxa" w:w="34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District Coordinator</w:t>
            </w:r>
          </w:p>
        </w:tc>
        <w:tc>
          <w:tcPr>
            <w:tcW w:type="dxa" w:w="18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37.5 hrs</w:t>
            </w:r>
          </w:p>
        </w:tc>
        <w:tc>
          <w:tcPr>
            <w:tcW w:type="dxa" w:w="18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112.5 hrs</w:t>
            </w:r>
          </w:p>
        </w:tc>
        <w:tc>
          <w:tcPr>
            <w:tcW w:type="dxa" w:w="2746"/>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vAlign w:val="top"/>
          </w:tcPr>
          <w:p>
            <w:pPr>
              <w:jc w:val="right"/>
            </w:pPr>
            <w:r>
              <w:rPr>
                <w:rFonts w:ascii="Arial" w:cs="Arial" w:eastAsia="Arial" w:hAnsi="Arial"/>
                <w:b w:val="false"/>
                <w:bCs w:val="false"/>
                <w:i w:val="false"/>
                <w:iCs w:val="false"/>
                <w:color w:val="0D1B3E"/>
                <w:sz w:val="20"/>
                <w:szCs w:val="20"/>
              </w:rPr>
              <w:t xml:space="preserve">$7,984</w:t>
            </w:r>
          </w:p>
        </w:tc>
      </w:tr>
      <w:tr>
        <w:tc>
          <w:tcPr>
            <w:tcW w:type="dxa" w:w="3400"/>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Division Coordinator</w:t>
            </w:r>
          </w:p>
        </w:tc>
        <w:tc>
          <w:tcPr>
            <w:tcW w:type="dxa" w:w="1800"/>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44.5 hrs</w:t>
            </w:r>
          </w:p>
        </w:tc>
        <w:tc>
          <w:tcPr>
            <w:tcW w:type="dxa" w:w="1800"/>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133.5 hrs</w:t>
            </w:r>
          </w:p>
        </w:tc>
        <w:tc>
          <w:tcPr>
            <w:tcW w:type="dxa" w:w="2746"/>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right"/>
            </w:pPr>
            <w:r>
              <w:rPr>
                <w:rFonts w:ascii="Arial" w:cs="Arial" w:eastAsia="Arial" w:hAnsi="Arial"/>
                <w:b w:val="false"/>
                <w:bCs w:val="false"/>
                <w:i w:val="false"/>
                <w:iCs w:val="false"/>
                <w:color w:val="0D1B3E"/>
                <w:sz w:val="20"/>
                <w:szCs w:val="20"/>
              </w:rPr>
              <w:t xml:space="preserve">$9,475</w:t>
            </w:r>
          </w:p>
        </w:tc>
      </w:tr>
      <w:tr>
        <w:tc>
          <w:tcPr>
            <w:tcW w:type="dxa" w:w="34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Region Coordinator</w:t>
            </w:r>
          </w:p>
        </w:tc>
        <w:tc>
          <w:tcPr>
            <w:tcW w:type="dxa" w:w="18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58 hrs</w:t>
            </w:r>
          </w:p>
        </w:tc>
        <w:tc>
          <w:tcPr>
            <w:tcW w:type="dxa" w:w="18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174 hrs</w:t>
            </w:r>
          </w:p>
        </w:tc>
        <w:tc>
          <w:tcPr>
            <w:tcW w:type="dxa" w:w="2746"/>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vAlign w:val="top"/>
          </w:tcPr>
          <w:p>
            <w:pPr>
              <w:jc w:val="right"/>
            </w:pPr>
            <w:r>
              <w:rPr>
                <w:rFonts w:ascii="Arial" w:cs="Arial" w:eastAsia="Arial" w:hAnsi="Arial"/>
                <w:b w:val="false"/>
                <w:bCs w:val="false"/>
                <w:i w:val="false"/>
                <w:iCs w:val="false"/>
                <w:color w:val="0D1B3E"/>
                <w:sz w:val="20"/>
                <w:szCs w:val="20"/>
              </w:rPr>
              <w:t xml:space="preserve">$12,349</w:t>
            </w:r>
          </w:p>
        </w:tc>
      </w:tr>
    </w:tbl>
    <w:p>
      <w:pPr>
        <w:spacing w:after="0" w:before="80"/>
      </w:pPr>
    </w:p>
    <w:p>
      <w:pPr>
        <w:spacing w:after="80" w:before="80"/>
      </w:pPr>
      <w:r>
        <w:rPr>
          <w:rFonts w:ascii="Arial" w:cs="Arial" w:eastAsia="Arial" w:hAnsi="Arial"/>
          <w:b w:val="false"/>
          <w:bCs w:val="false"/>
          <w:i/>
          <w:iCs/>
          <w:color w:val="64748B"/>
          <w:sz w:val="18"/>
          <w:szCs w:val="18"/>
        </w:rPr>
        <w:t xml:space="preserve">CRT rate: $70.97/hr, $425.80/day (DET Victoria, July 2025). Three carnivals per level per year.</w:t>
      </w:r>
    </w:p>
    <w:p>
      <w:pPr>
        <w:spacing w:after="0" w:before="120"/>
      </w:pPr>
    </w:p>
    <w:p>
      <w:pPr>
        <w:pStyle w:val="Heading2"/>
      </w:pPr>
      <w:r>
        <w:rPr>
          <w:rFonts w:ascii="Arial" w:cs="Arial" w:eastAsia="Arial" w:hAnsi="Arial"/>
          <w:b/>
          <w:bCs/>
          <w:color w:val="1A56DB"/>
          <w:sz w:val="28"/>
          <w:szCs w:val="28"/>
        </w:rPr>
        <w:t xml:space="preserve">Statewide Annual Cost</w:t>
      </w:r>
    </w:p>
    <w:p>
      <w:pPr>
        <w:spacing w:after="0" w:before="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2000"/>
        <w:gridCol w:w="3146"/>
      </w:tblGrid>
      <w:tr>
        <w:tc>
          <w:tcPr>
            <w:tcW w:type="dxa" w:w="3400"/>
            <w:tcBorders>
              <w:top w:val="single" w:color="E2E8F0" w:sz="1"/>
              <w:left w:val="single" w:color="E2E8F0" w:sz="1"/>
              <w:bottom w:val="single" w:color="E2E8F0" w:sz="1"/>
              <w:right w:val="single" w:color="E2E8F0" w:sz="1"/>
            </w:tcBorders>
            <w:shd w:fill="0D1B3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Level</w:t>
            </w:r>
          </w:p>
        </w:tc>
        <w:tc>
          <w:tcPr>
            <w:tcW w:type="dxa" w:w="1200"/>
            <w:tcBorders>
              <w:top w:val="single" w:color="E2E8F0" w:sz="1"/>
              <w:left w:val="single" w:color="E2E8F0" w:sz="1"/>
              <w:bottom w:val="single" w:color="E2E8F0" w:sz="1"/>
              <w:right w:val="single" w:color="E2E8F0" w:sz="1"/>
            </w:tcBorders>
            <w:shd w:fill="0D1B3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Count</w:t>
            </w:r>
          </w:p>
        </w:tc>
        <w:tc>
          <w:tcPr>
            <w:tcW w:type="dxa" w:w="2000"/>
            <w:tcBorders>
              <w:top w:val="single" w:color="E2E8F0" w:sz="1"/>
              <w:left w:val="single" w:color="E2E8F0" w:sz="1"/>
              <w:bottom w:val="single" w:color="E2E8F0" w:sz="1"/>
              <w:right w:val="single" w:color="E2E8F0" w:sz="1"/>
            </w:tcBorders>
            <w:shd w:fill="0D1B3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Cost Per Year</w:t>
            </w:r>
          </w:p>
        </w:tc>
        <w:tc>
          <w:tcPr>
            <w:tcW w:type="dxa" w:w="3146"/>
            <w:tcBorders>
              <w:top w:val="single" w:color="E2E8F0" w:sz="1"/>
              <w:left w:val="single" w:color="E2E8F0" w:sz="1"/>
              <w:bottom w:val="single" w:color="E2E8F0" w:sz="1"/>
              <w:right w:val="single" w:color="E2E8F0" w:sz="1"/>
            </w:tcBorders>
            <w:shd w:fill="0D1B3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Statewide Total</w:t>
            </w:r>
          </w:p>
        </w:tc>
      </w:tr>
      <w:tr>
        <w:tc>
          <w:tcPr>
            <w:tcW w:type="dxa" w:w="3400"/>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PE Teachers</w:t>
            </w:r>
          </w:p>
        </w:tc>
        <w:tc>
          <w:tcPr>
            <w:tcW w:type="dxa" w:w="1200"/>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right"/>
            </w:pPr>
            <w:r>
              <w:rPr>
                <w:rFonts w:ascii="Arial" w:cs="Arial" w:eastAsia="Arial" w:hAnsi="Arial"/>
                <w:b w:val="false"/>
                <w:bCs w:val="false"/>
                <w:i w:val="false"/>
                <w:iCs w:val="false"/>
                <w:color w:val="0D1B3E"/>
                <w:sz w:val="20"/>
                <w:szCs w:val="20"/>
              </w:rPr>
              <w:t xml:space="preserve">1,600</w:t>
            </w:r>
          </w:p>
        </w:tc>
        <w:tc>
          <w:tcPr>
            <w:tcW w:type="dxa" w:w="2000"/>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right"/>
            </w:pPr>
            <w:r>
              <w:rPr>
                <w:rFonts w:ascii="Arial" w:cs="Arial" w:eastAsia="Arial" w:hAnsi="Arial"/>
                <w:b w:val="false"/>
                <w:bCs w:val="false"/>
                <w:i w:val="false"/>
                <w:iCs w:val="false"/>
                <w:color w:val="0D1B3E"/>
                <w:sz w:val="20"/>
                <w:szCs w:val="20"/>
              </w:rPr>
              <w:t xml:space="preserve">$3,620</w:t>
            </w:r>
          </w:p>
        </w:tc>
        <w:tc>
          <w:tcPr>
            <w:tcW w:type="dxa" w:w="3146"/>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right"/>
            </w:pPr>
            <w:r>
              <w:rPr>
                <w:rFonts w:ascii="Arial" w:cs="Arial" w:eastAsia="Arial" w:hAnsi="Arial"/>
                <w:b w:val="false"/>
                <w:bCs w:val="false"/>
                <w:i w:val="false"/>
                <w:iCs w:val="false"/>
                <w:color w:val="0D1B3E"/>
                <w:sz w:val="20"/>
                <w:szCs w:val="20"/>
              </w:rPr>
              <w:t xml:space="preserve">$5,792,000</w:t>
            </w:r>
          </w:p>
        </w:tc>
      </w:tr>
      <w:tr>
        <w:tc>
          <w:tcPr>
            <w:tcW w:type="dxa" w:w="34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District Coordinators</w:t>
            </w:r>
          </w:p>
        </w:tc>
        <w:tc>
          <w:tcPr>
            <w:tcW w:type="dxa" w:w="12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232</w:t>
            </w:r>
          </w:p>
        </w:tc>
        <w:tc>
          <w:tcPr>
            <w:tcW w:type="dxa" w:w="20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vAlign w:val="top"/>
          </w:tcPr>
          <w:p>
            <w:pPr>
              <w:jc w:val="right"/>
            </w:pPr>
            <w:r>
              <w:rPr>
                <w:rFonts w:ascii="Arial" w:cs="Arial" w:eastAsia="Arial" w:hAnsi="Arial"/>
                <w:b w:val="false"/>
                <w:bCs w:val="false"/>
                <w:i w:val="false"/>
                <w:iCs w:val="false"/>
                <w:color w:val="0D1B3E"/>
                <w:sz w:val="20"/>
                <w:szCs w:val="20"/>
              </w:rPr>
              <w:t xml:space="preserve">$7,984</w:t>
            </w:r>
          </w:p>
        </w:tc>
        <w:tc>
          <w:tcPr>
            <w:tcW w:type="dxa" w:w="3146"/>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vAlign w:val="top"/>
          </w:tcPr>
          <w:p>
            <w:pPr>
              <w:jc w:val="right"/>
            </w:pPr>
            <w:r>
              <w:rPr>
                <w:rFonts w:ascii="Arial" w:cs="Arial" w:eastAsia="Arial" w:hAnsi="Arial"/>
                <w:b w:val="false"/>
                <w:bCs w:val="false"/>
                <w:i w:val="false"/>
                <w:iCs w:val="false"/>
                <w:color w:val="0D1B3E"/>
                <w:sz w:val="20"/>
                <w:szCs w:val="20"/>
              </w:rPr>
              <w:t xml:space="preserve">$1,852,288</w:t>
            </w:r>
          </w:p>
        </w:tc>
      </w:tr>
      <w:tr>
        <w:tc>
          <w:tcPr>
            <w:tcW w:type="dxa" w:w="3400"/>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Division Coordinators</w:t>
            </w:r>
          </w:p>
        </w:tc>
        <w:tc>
          <w:tcPr>
            <w:tcW w:type="dxa" w:w="1200"/>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55</w:t>
            </w:r>
          </w:p>
        </w:tc>
        <w:tc>
          <w:tcPr>
            <w:tcW w:type="dxa" w:w="2000"/>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right"/>
            </w:pPr>
            <w:r>
              <w:rPr>
                <w:rFonts w:ascii="Arial" w:cs="Arial" w:eastAsia="Arial" w:hAnsi="Arial"/>
                <w:b w:val="false"/>
                <w:bCs w:val="false"/>
                <w:i w:val="false"/>
                <w:iCs w:val="false"/>
                <w:color w:val="0D1B3E"/>
                <w:sz w:val="20"/>
                <w:szCs w:val="20"/>
              </w:rPr>
              <w:t xml:space="preserve">$9,475</w:t>
            </w:r>
          </w:p>
        </w:tc>
        <w:tc>
          <w:tcPr>
            <w:tcW w:type="dxa" w:w="3146"/>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right"/>
            </w:pPr>
            <w:r>
              <w:rPr>
                <w:rFonts w:ascii="Arial" w:cs="Arial" w:eastAsia="Arial" w:hAnsi="Arial"/>
                <w:b w:val="false"/>
                <w:bCs w:val="false"/>
                <w:i w:val="false"/>
                <w:iCs w:val="false"/>
                <w:color w:val="0D1B3E"/>
                <w:sz w:val="20"/>
                <w:szCs w:val="20"/>
              </w:rPr>
              <w:t xml:space="preserve">$521,125</w:t>
            </w:r>
          </w:p>
        </w:tc>
      </w:tr>
      <w:tr>
        <w:tc>
          <w:tcPr>
            <w:tcW w:type="dxa" w:w="34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Region Coordinators</w:t>
            </w:r>
          </w:p>
        </w:tc>
        <w:tc>
          <w:tcPr>
            <w:tcW w:type="dxa" w:w="12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16</w:t>
            </w:r>
          </w:p>
        </w:tc>
        <w:tc>
          <w:tcPr>
            <w:tcW w:type="dxa" w:w="20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vAlign w:val="top"/>
          </w:tcPr>
          <w:p>
            <w:pPr>
              <w:jc w:val="right"/>
            </w:pPr>
            <w:r>
              <w:rPr>
                <w:rFonts w:ascii="Arial" w:cs="Arial" w:eastAsia="Arial" w:hAnsi="Arial"/>
                <w:b w:val="false"/>
                <w:bCs w:val="false"/>
                <w:i w:val="false"/>
                <w:iCs w:val="false"/>
                <w:color w:val="0D1B3E"/>
                <w:sz w:val="20"/>
                <w:szCs w:val="20"/>
              </w:rPr>
              <w:t xml:space="preserve">$12,349</w:t>
            </w:r>
          </w:p>
        </w:tc>
        <w:tc>
          <w:tcPr>
            <w:tcW w:type="dxa" w:w="3146"/>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vAlign w:val="top"/>
          </w:tcPr>
          <w:p>
            <w:pPr>
              <w:jc w:val="right"/>
            </w:pPr>
            <w:r>
              <w:rPr>
                <w:rFonts w:ascii="Arial" w:cs="Arial" w:eastAsia="Arial" w:hAnsi="Arial"/>
                <w:b w:val="false"/>
                <w:bCs w:val="false"/>
                <w:i w:val="false"/>
                <w:iCs w:val="false"/>
                <w:color w:val="0D1B3E"/>
                <w:sz w:val="20"/>
                <w:szCs w:val="20"/>
              </w:rPr>
              <w:t xml:space="preserve">$197,584</w:t>
            </w:r>
          </w:p>
        </w:tc>
      </w:tr>
    </w:tbl>
    <w:p>
      <w:pPr>
        <w:spacing w:after="0" w:before="80"/>
      </w:pPr>
    </w:p>
    <w:p>
      <w:pPr>
        <w:spacing w:after="80" w:before="80"/>
      </w:pPr>
      <w:r>
        <w:rPr>
          <w:rFonts w:ascii="Arial" w:cs="Arial" w:eastAsia="Arial" w:hAnsi="Arial"/>
          <w:b w:val="false"/>
          <w:bCs w:val="false"/>
          <w:i/>
          <w:iCs/>
          <w:color w:val="64748B"/>
          <w:sz w:val="18"/>
          <w:szCs w:val="18"/>
        </w:rPr>
        <w:t xml:space="preserve">* State SSV staff costs (~$50,000/yr estimated) are excluded from the $8,362,146 figure above, which covers the four calculated tiers only.</w:t>
      </w:r>
    </w:p>
    <w:p>
      <w:pPr>
        <w:spacing w:after="0" w:before="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A56DB" w:sz="8"/>
              <w:left w:val="single" w:color="1A56DB" w:sz="8"/>
              <w:bottom w:val="single" w:color="E2E8F0" w:sz="1"/>
              <w:right w:val="single" w:color="E2E8F0" w:sz="1"/>
            </w:tcBorders>
            <w:shd w:fill="EFF6FF" w:val="clear"/>
            <w:tcMar>
              <w:top w:type="dxa" w:w="140"/>
              <w:left w:type="dxa" w:w="200"/>
              <w:bottom w:type="dxa" w:w="140"/>
              <w:right w:type="dxa" w:w="200"/>
            </w:tcMar>
          </w:tcPr>
          <w:p>
            <w:r>
              <w:rPr>
                <w:rFonts w:ascii="Arial" w:cs="Arial" w:eastAsia="Arial" w:hAnsi="Arial"/>
                <w:b/>
                <w:bCs/>
                <w:color w:val="1A56DB"/>
                <w:sz w:val="20"/>
                <w:szCs w:val="20"/>
              </w:rPr>
              <w:t xml:space="preserve">STATEWIDE ANNUAL ADMIN COST: $8,362,146</w:t>
            </w:r>
          </w:p>
          <w:p>
            <w:pPr>
              <w:spacing w:after="0" w:before="40"/>
            </w:pPr>
            <w:r>
              <w:rPr>
                <w:rFonts w:ascii="Arial" w:cs="Arial" w:eastAsia="Arial" w:hAnsi="Arial"/>
                <w:color w:val="0D1B3E"/>
                <w:sz w:val="21"/>
                <w:szCs w:val="21"/>
              </w:rPr>
              <w:t xml:space="preserve">In CRT-equivalent teacher time, based on 1,600 schools, 232 districts, 55 divisions and 16 regions each running 3 carnivals per year at the confirmed CRT rate of $70.97/hr (DET Victoria, July 2025).</w:t>
            </w:r>
          </w:p>
        </w:tc>
      </w:tr>
    </w:tbl>
    <w:p>
      <w:pPr>
        <w:spacing w:after="0" w:before="200"/>
      </w:pPr>
    </w:p>
    <w:p>
      <w:r>
        <w:br w:type="page"/>
      </w:r>
    </w:p>
    <w:p>
      <w:pPr>
        <w:pStyle w:val="Heading1"/>
      </w:pPr>
      <w:r>
        <w:rPr>
          <w:rFonts w:ascii="Arial" w:cs="Arial" w:eastAsia="Arial" w:hAnsi="Arial"/>
          <w:b/>
          <w:bCs/>
          <w:color w:val="0D1B3E"/>
          <w:sz w:val="36"/>
          <w:szCs w:val="36"/>
        </w:rPr>
        <w:t xml:space="preserve">Part 2 — What the Admin Actually Looks Like</w:t>
      </w:r>
    </w:p>
    <w:p>
      <w:pPr>
        <w:pBdr>
          <w:bottom w:val="single" w:color="1A56DB" w:sz="8"/>
        </w:pBdr>
        <w:spacing w:after="80" w:before="80"/>
      </w:pPr>
    </w:p>
    <w:p>
      <w:pPr>
        <w:spacing w:after="0" w:before="80"/>
      </w:pPr>
    </w:p>
    <w:p>
      <w:pPr>
        <w:pStyle w:val="Heading2"/>
      </w:pPr>
      <w:r>
        <w:rPr>
          <w:rFonts w:ascii="Arial" w:cs="Arial" w:eastAsia="Arial" w:hAnsi="Arial"/>
          <w:b/>
          <w:bCs/>
          <w:color w:val="1A56DB"/>
          <w:sz w:val="28"/>
          <w:szCs w:val="28"/>
        </w:rPr>
        <w:t xml:space="preserve">33 Email Types. Every Carnival. Every Level.</w:t>
      </w:r>
    </w:p>
    <w:p>
      <w:pPr>
        <w:spacing w:after="100" w:before="0"/>
      </w:pPr>
      <w:r>
        <w:rPr>
          <w:rFonts w:ascii="Arial" w:cs="Arial" w:eastAsia="Arial" w:hAnsi="Arial"/>
          <w:b w:val="false"/>
          <w:bCs w:val="false"/>
          <w:i w:val="false"/>
          <w:iCs w:val="false"/>
          <w:color w:val="0D1B3E"/>
          <w:sz w:val="22"/>
          <w:szCs w:val="22"/>
        </w:rPr>
        <w:t xml:space="preserve">33 distinct email types were catalogued across 9 categories from real coordinator inbox evidence — all sent manually, all re-sent each carnival season, all automatable.</w:t>
      </w:r>
    </w:p>
    <w:p>
      <w:pPr>
        <w:spacing w:after="0" w:before="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6146"/>
      </w:tblGrid>
      <w:tr>
        <w:tc>
          <w:tcPr>
            <w:tcW w:type="dxa" w:w="2800"/>
            <w:tcBorders>
              <w:top w:val="single" w:color="E2E8F0" w:sz="1"/>
              <w:left w:val="single" w:color="E2E8F0" w:sz="1"/>
              <w:bottom w:val="single" w:color="E2E8F0" w:sz="1"/>
              <w:right w:val="single" w:color="E2E8F0" w:sz="1"/>
            </w:tcBorders>
            <w:shd w:fill="0D1B3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Category</w:t>
            </w:r>
          </w:p>
        </w:tc>
        <w:tc>
          <w:tcPr>
            <w:tcW w:type="dxa" w:w="800"/>
            <w:tcBorders>
              <w:top w:val="single" w:color="E2E8F0" w:sz="1"/>
              <w:left w:val="single" w:color="E2E8F0" w:sz="1"/>
              <w:bottom w:val="single" w:color="E2E8F0" w:sz="1"/>
              <w:right w:val="single" w:color="E2E8F0" w:sz="1"/>
            </w:tcBorders>
            <w:shd w:fill="0D1B3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Types</w:t>
            </w:r>
          </w:p>
        </w:tc>
        <w:tc>
          <w:tcPr>
            <w:tcW w:type="dxa" w:w="6146"/>
            <w:tcBorders>
              <w:top w:val="single" w:color="E2E8F0" w:sz="1"/>
              <w:left w:val="single" w:color="E2E8F0" w:sz="1"/>
              <w:bottom w:val="single" w:color="E2E8F0" w:sz="1"/>
              <w:right w:val="single" w:color="E2E8F0" w:sz="1"/>
            </w:tcBorders>
            <w:shd w:fill="0D1B3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Examples</w:t>
            </w:r>
          </w:p>
        </w:tc>
      </w:tr>
      <w:tr>
        <w:tc>
          <w:tcPr>
            <w:tcW w:type="dxa" w:w="2800"/>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Entries</w:t>
            </w:r>
          </w:p>
        </w:tc>
        <w:tc>
          <w:tcPr>
            <w:tcW w:type="dxa" w:w="800"/>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5</w:t>
            </w:r>
          </w:p>
        </w:tc>
        <w:tc>
          <w:tcPr>
            <w:tcW w:type="dxa" w:w="6146"/>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Form distribution, corrections, late entries, final confirmation</w:t>
            </w:r>
          </w:p>
        </w:tc>
      </w:tr>
      <w:tr>
        <w:tc>
          <w:tcPr>
            <w:tcW w:type="dxa" w:w="28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Program &amp; Draw</w:t>
            </w:r>
          </w:p>
        </w:tc>
        <w:tc>
          <w:tcPr>
            <w:tcW w:type="dxa" w:w="8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4</w:t>
            </w:r>
          </w:p>
        </w:tc>
        <w:tc>
          <w:tcPr>
            <w:tcW w:type="dxa" w:w="6146"/>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Draw notification, heat sheet, program distribution, schedule changes</w:t>
            </w:r>
          </w:p>
        </w:tc>
      </w:tr>
      <w:tr>
        <w:tc>
          <w:tcPr>
            <w:tcW w:type="dxa" w:w="2800"/>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Venue &amp; Logistics</w:t>
            </w:r>
          </w:p>
        </w:tc>
        <w:tc>
          <w:tcPr>
            <w:tcW w:type="dxa" w:w="800"/>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4</w:t>
            </w:r>
          </w:p>
        </w:tc>
        <w:tc>
          <w:tcPr>
            <w:tcW w:type="dxa" w:w="6146"/>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Venue booking, confirmation, access/parking info, wet weather</w:t>
            </w:r>
          </w:p>
        </w:tc>
      </w:tr>
      <w:tr>
        <w:tc>
          <w:tcPr>
            <w:tcW w:type="dxa" w:w="28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Transport</w:t>
            </w:r>
          </w:p>
        </w:tc>
        <w:tc>
          <w:tcPr>
            <w:tcW w:type="dxa" w:w="8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5</w:t>
            </w:r>
          </w:p>
        </w:tc>
        <w:tc>
          <w:tcPr>
            <w:tcW w:type="dxa" w:w="6146"/>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Bus booking, student manifest, return time, last-minute changes</w:t>
            </w:r>
          </w:p>
        </w:tc>
      </w:tr>
      <w:tr>
        <w:tc>
          <w:tcPr>
            <w:tcW w:type="dxa" w:w="2800"/>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First Aid &amp; Officials</w:t>
            </w:r>
          </w:p>
        </w:tc>
        <w:tc>
          <w:tcPr>
            <w:tcW w:type="dxa" w:w="800"/>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4</w:t>
            </w:r>
          </w:p>
        </w:tc>
        <w:tc>
          <w:tcPr>
            <w:tcW w:type="dxa" w:w="6146"/>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Engagement, invitation, confirmation, briefing notes</w:t>
            </w:r>
          </w:p>
        </w:tc>
      </w:tr>
      <w:tr>
        <w:tc>
          <w:tcPr>
            <w:tcW w:type="dxa" w:w="28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Parent Communication</w:t>
            </w:r>
          </w:p>
        </w:tc>
        <w:tc>
          <w:tcPr>
            <w:tcW w:type="dxa" w:w="8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4</w:t>
            </w:r>
          </w:p>
        </w:tc>
        <w:tc>
          <w:tcPr>
            <w:tcW w:type="dxa" w:w="6146"/>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Notification, permission/medical reminder, volunteer call, results</w:t>
            </w:r>
          </w:p>
        </w:tc>
      </w:tr>
      <w:tr>
        <w:tc>
          <w:tcPr>
            <w:tcW w:type="dxa" w:w="2800"/>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Results &amp; Records</w:t>
            </w:r>
          </w:p>
        </w:tc>
        <w:tc>
          <w:tcPr>
            <w:tcW w:type="dxa" w:w="800"/>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3</w:t>
            </w:r>
          </w:p>
        </w:tc>
        <w:tc>
          <w:tcPr>
            <w:tcW w:type="dxa" w:w="6146"/>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Preliminary results, finals, records broken</w:t>
            </w:r>
          </w:p>
        </w:tc>
      </w:tr>
      <w:tr>
        <w:tc>
          <w:tcPr>
            <w:tcW w:type="dxa" w:w="28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Incident &amp; Compliance</w:t>
            </w:r>
          </w:p>
        </w:tc>
        <w:tc>
          <w:tcPr>
            <w:tcW w:type="dxa" w:w="8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2</w:t>
            </w:r>
          </w:p>
        </w:tc>
        <w:tc>
          <w:tcPr>
            <w:tcW w:type="dxa" w:w="6146"/>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Incident report, duty of care confirmation</w:t>
            </w:r>
          </w:p>
        </w:tc>
      </w:tr>
      <w:tr>
        <w:tc>
          <w:tcPr>
            <w:tcW w:type="dxa" w:w="2800"/>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Administration</w:t>
            </w:r>
          </w:p>
        </w:tc>
        <w:tc>
          <w:tcPr>
            <w:tcW w:type="dxa" w:w="800"/>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2</w:t>
            </w:r>
          </w:p>
        </w:tc>
        <w:tc>
          <w:tcPr>
            <w:tcW w:type="dxa" w:w="6146"/>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Meeting agenda/minutes, funding acquittal</w:t>
            </w:r>
          </w:p>
        </w:tc>
      </w:tr>
    </w:tbl>
    <w:p>
      <w:pPr>
        <w:spacing w:after="0" w:before="120"/>
      </w:pPr>
    </w:p>
    <w:p>
      <w:pPr>
        <w:pStyle w:val="Heading2"/>
      </w:pPr>
      <w:r>
        <w:rPr>
          <w:rFonts w:ascii="Arial" w:cs="Arial" w:eastAsia="Arial" w:hAnsi="Arial"/>
          <w:b/>
          <w:bCs/>
          <w:color w:val="1A56DB"/>
          <w:sz w:val="28"/>
          <w:szCs w:val="28"/>
        </w:rPr>
        <w:t xml:space="preserve">The External Stakeholder Chain</w:t>
      </w:r>
    </w:p>
    <w:p>
      <w:pPr>
        <w:spacing w:after="100" w:before="0"/>
      </w:pPr>
      <w:r>
        <w:rPr>
          <w:rFonts w:ascii="Arial" w:cs="Arial" w:eastAsia="Arial" w:hAnsi="Arial"/>
          <w:b w:val="false"/>
          <w:bCs w:val="false"/>
          <w:i w:val="false"/>
          <w:iCs w:val="false"/>
          <w:color w:val="0D1B3E"/>
          <w:sz w:val="22"/>
          <w:szCs w:val="22"/>
        </w:rPr>
        <w:t xml:space="preserve">Every carnival triggers parallel manual coordination with six external stakeholder categories — none automated today:</w:t>
      </w:r>
    </w:p>
    <w:p>
      <w:pPr>
        <w:pStyle w:val="ListParagraph"/>
        <w:numPr>
          <w:ilvl w:val="0"/>
          <w:numId w:val="2"/>
        </w:numPr>
      </w:pPr>
      <w:r>
        <w:rPr>
          <w:rFonts w:ascii="Arial" w:cs="Arial" w:eastAsia="Arial" w:hAnsi="Arial"/>
          <w:color w:val="0D1B3E"/>
          <w:sz w:val="22"/>
          <w:szCs w:val="22"/>
        </w:rPr>
        <w:t xml:space="preserve">Council venue bookings — confirmed booking references #BP8995 (Wyndham Council) and #14811 (Maribyrnong Council)</w:t>
      </w:r>
    </w:p>
    <w:p>
      <w:pPr>
        <w:pStyle w:val="ListParagraph"/>
        <w:numPr>
          <w:ilvl w:val="0"/>
          <w:numId w:val="2"/>
        </w:numPr>
      </w:pPr>
      <w:r>
        <w:rPr>
          <w:rFonts w:ascii="Arial" w:cs="Arial" w:eastAsia="Arial" w:hAnsi="Arial"/>
          <w:color w:val="0D1B3E"/>
          <w:sz w:val="22"/>
          <w:szCs w:val="22"/>
        </w:rPr>
        <w:t xml:space="preserve">Aquatic venues — WynActive pool hire, manual email re-sent each carnival including lane configuration and lifeguard requirements</w:t>
      </w:r>
    </w:p>
    <w:p>
      <w:pPr>
        <w:pStyle w:val="ListParagraph"/>
        <w:numPr>
          <w:ilvl w:val="0"/>
          <w:numId w:val="2"/>
        </w:numPr>
      </w:pPr>
      <w:r>
        <w:rPr>
          <w:rFonts w:ascii="Arial" w:cs="Arial" w:eastAsia="Arial" w:hAnsi="Arial"/>
          <w:color w:val="0D1B3E"/>
          <w:sz w:val="22"/>
          <w:szCs w:val="22"/>
        </w:rPr>
        <w:t xml:space="preserve">First Aid providers — Sports Aid PDF specification (15MB) manually re-sent to each provider every single carnival</w:t>
      </w:r>
    </w:p>
    <w:p>
      <w:pPr>
        <w:pStyle w:val="ListParagraph"/>
        <w:numPr>
          <w:ilvl w:val="0"/>
          <w:numId w:val="2"/>
        </w:numPr>
      </w:pPr>
      <w:r>
        <w:rPr>
          <w:rFonts w:ascii="Arial" w:cs="Arial" w:eastAsia="Arial" w:hAnsi="Arial"/>
          <w:color w:val="0D1B3E"/>
          <w:sz w:val="22"/>
          <w:szCs w:val="22"/>
        </w:rPr>
        <w:t xml:space="preserve">Officials — per-official invitation and confirmation emails for umpires, timekeepers and track referees</w:t>
      </w:r>
    </w:p>
    <w:p>
      <w:pPr>
        <w:pStyle w:val="ListParagraph"/>
        <w:numPr>
          <w:ilvl w:val="0"/>
          <w:numId w:val="2"/>
        </w:numPr>
      </w:pPr>
      <w:r>
        <w:rPr>
          <w:rFonts w:ascii="Arial" w:cs="Arial" w:eastAsia="Arial" w:hAnsi="Arial"/>
          <w:color w:val="0D1B3E"/>
          <w:sz w:val="22"/>
          <w:szCs w:val="22"/>
        </w:rPr>
        <w:t xml:space="preserve">Parent volunteers — phone and email recruitment, role assignment, printed briefing notes</w:t>
      </w:r>
    </w:p>
    <w:p>
      <w:pPr>
        <w:pStyle w:val="ListParagraph"/>
        <w:numPr>
          <w:ilvl w:val="0"/>
          <w:numId w:val="2"/>
        </w:numPr>
      </w:pPr>
      <w:r>
        <w:rPr>
          <w:rFonts w:ascii="Arial" w:cs="Arial" w:eastAsia="Arial" w:hAnsi="Arial"/>
          <w:color w:val="0D1B3E"/>
          <w:sz w:val="22"/>
          <w:szCs w:val="22"/>
        </w:rPr>
        <w:t xml:space="preserve">Transport — bus companies receive manual booking emails plus 8 separate documents per school</w:t>
      </w:r>
    </w:p>
    <w:p>
      <w:pPr>
        <w:spacing w:after="0" w:before="200"/>
      </w:pPr>
    </w:p>
    <w:p>
      <w:pPr>
        <w:pStyle w:val="Heading1"/>
      </w:pPr>
      <w:r>
        <w:rPr>
          <w:rFonts w:ascii="Arial" w:cs="Arial" w:eastAsia="Arial" w:hAnsi="Arial"/>
          <w:b/>
          <w:bCs/>
          <w:color w:val="0D1B3E"/>
          <w:sz w:val="36"/>
          <w:szCs w:val="36"/>
        </w:rPr>
        <w:t xml:space="preserve">Part 3 — The Transport Problem</w:t>
      </w:r>
    </w:p>
    <w:p>
      <w:pPr>
        <w:pBdr>
          <w:bottom w:val="single" w:color="B45309" w:sz="8"/>
        </w:pBdr>
        <w:spacing w:after="80" w:before="80"/>
      </w:pPr>
    </w:p>
    <w:p>
      <w:pPr>
        <w:spacing w:after="0" w:before="80"/>
      </w:pPr>
    </w:p>
    <w:p>
      <w:pPr>
        <w:pStyle w:val="Heading2"/>
      </w:pPr>
      <w:r>
        <w:rPr>
          <w:rFonts w:ascii="Arial" w:cs="Arial" w:eastAsia="Arial" w:hAnsi="Arial"/>
          <w:b/>
          <w:bCs/>
          <w:color w:val="B45309"/>
          <w:sz w:val="28"/>
          <w:szCs w:val="28"/>
        </w:rPr>
        <w:t xml:space="preserve">Why Transport is Always Last</w:t>
      </w:r>
    </w:p>
    <w:p>
      <w:pPr>
        <w:spacing w:after="120" w:before="0"/>
      </w:pPr>
      <w:r>
        <w:rPr>
          <w:rFonts w:ascii="Arial" w:cs="Arial" w:eastAsia="Arial" w:hAnsi="Arial"/>
          <w:b w:val="false"/>
          <w:bCs w:val="false"/>
          <w:i w:val="false"/>
          <w:iCs w:val="false"/>
          <w:color w:val="0D1B3E"/>
          <w:sz w:val="22"/>
          <w:szCs w:val="22"/>
        </w:rPr>
        <w:t xml:space="preserve">Bus booking cannot happen until the program is finalised — the driver needs a return time. Return time is only known once the program is set. Program requires the draw. Draw requires entries to close. This cascade makes transport structurally the last task in every carnival preparation cycle.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309" w:sz="8"/>
              <w:left w:val="single" w:color="B45309" w:sz="8"/>
              <w:bottom w:val="single" w:color="E2E8F0" w:sz="1"/>
              <w:right w:val="single" w:color="E2E8F0" w:sz="1"/>
            </w:tcBorders>
            <w:shd w:fill="FFFBEB" w:val="clear"/>
            <w:tcMar>
              <w:top w:type="dxa" w:w="140"/>
              <w:left w:type="dxa" w:w="200"/>
              <w:bottom w:type="dxa" w:w="140"/>
              <w:right w:type="dxa" w:w="200"/>
            </w:tcMar>
          </w:tcPr>
          <w:p>
            <w:r>
              <w:rPr>
                <w:rFonts w:ascii="Arial" w:cs="Arial" w:eastAsia="Arial" w:hAnsi="Arial"/>
                <w:b/>
                <w:bCs/>
                <w:color w:val="B45309"/>
                <w:sz w:val="20"/>
                <w:szCs w:val="20"/>
              </w:rPr>
              <w:t xml:space="preserve">THE TRANSPORT CASCADE</w:t>
            </w:r>
          </w:p>
          <w:p>
            <w:pPr>
              <w:spacing w:after="0" w:before="40"/>
            </w:pPr>
            <w:r>
              <w:rPr>
                <w:rFonts w:ascii="Arial" w:cs="Arial" w:eastAsia="Arial" w:hAnsi="Arial"/>
                <w:color w:val="0D1B3E"/>
                <w:sz w:val="21"/>
                <w:szCs w:val="21"/>
              </w:rPr>
              <w:t xml:space="preserve">Entries close  →  Draw completed  →  Program finalised  →  Return time confirmed  →  Bus can be booked
SportPortal auto-generates the program from the draw. Return time is calculated automatically. Transport booking is unlocked days earlier, without manual intervention.</w:t>
            </w:r>
          </w:p>
        </w:tc>
      </w:tr>
    </w:tbl>
    <w:p>
      <w:pPr>
        <w:spacing w:after="0" w:before="120"/>
      </w:pPr>
    </w:p>
    <w:p>
      <w:pPr>
        <w:pStyle w:val="Heading2"/>
      </w:pPr>
      <w:r>
        <w:rPr>
          <w:rFonts w:ascii="Arial" w:cs="Arial" w:eastAsia="Arial" w:hAnsi="Arial"/>
          <w:b/>
          <w:bCs/>
          <w:color w:val="B45309"/>
          <w:sz w:val="28"/>
          <w:szCs w:val="28"/>
        </w:rPr>
        <w:t xml:space="preserve">8 Documents Per School Per Carnival</w:t>
      </w:r>
    </w:p>
    <w:p>
      <w:pPr>
        <w:spacing w:after="80" w:before="0"/>
      </w:pPr>
      <w:r>
        <w:rPr>
          <w:rFonts w:ascii="Arial" w:cs="Arial" w:eastAsia="Arial" w:hAnsi="Arial"/>
          <w:b w:val="false"/>
          <w:bCs w:val="false"/>
          <w:i w:val="false"/>
          <w:iCs w:val="false"/>
          <w:color w:val="0D1B3E"/>
          <w:sz w:val="22"/>
          <w:szCs w:val="22"/>
        </w:rPr>
        <w:t xml:space="preserve">Every school manually generates these 8 transport documents from scratch each time:</w:t>
      </w:r>
    </w:p>
    <w:p>
      <w:pPr>
        <w:spacing w:after="0" w:before="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60"/>
        <w:gridCol w:w="5200"/>
        <w:gridCol w:w="2986"/>
      </w:tblGrid>
      <w:tr>
        <w:tc>
          <w:tcPr>
            <w:tcW w:type="dxa" w:w="560"/>
            <w:tcBorders>
              <w:top w:val="single" w:color="E2E8F0" w:sz="1"/>
              <w:left w:val="single" w:color="E2E8F0" w:sz="1"/>
              <w:bottom w:val="single" w:color="E2E8F0" w:sz="1"/>
              <w:right w:val="single" w:color="E2E8F0" w:sz="1"/>
            </w:tcBorders>
            <w:shd w:fill="0D1B3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t>
            </w:r>
          </w:p>
        </w:tc>
        <w:tc>
          <w:tcPr>
            <w:tcW w:type="dxa" w:w="5200"/>
            <w:tcBorders>
              <w:top w:val="single" w:color="E2E8F0" w:sz="1"/>
              <w:left w:val="single" w:color="E2E8F0" w:sz="1"/>
              <w:bottom w:val="single" w:color="E2E8F0" w:sz="1"/>
              <w:right w:val="single" w:color="E2E8F0" w:sz="1"/>
            </w:tcBorders>
            <w:shd w:fill="0D1B3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Document</w:t>
            </w:r>
          </w:p>
        </w:tc>
        <w:tc>
          <w:tcPr>
            <w:tcW w:type="dxa" w:w="2986"/>
            <w:tcBorders>
              <w:top w:val="single" w:color="E2E8F0" w:sz="1"/>
              <w:left w:val="single" w:color="E2E8F0" w:sz="1"/>
              <w:bottom w:val="single" w:color="E2E8F0" w:sz="1"/>
              <w:right w:val="single" w:color="E2E8F0" w:sz="1"/>
            </w:tcBorders>
            <w:shd w:fill="0D1B3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Estimated Time</w:t>
            </w:r>
          </w:p>
        </w:tc>
      </w:tr>
      <w:tr>
        <w:tc>
          <w:tcPr>
            <w:tcW w:type="dxa" w:w="560"/>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1</w:t>
            </w:r>
          </w:p>
        </w:tc>
        <w:tc>
          <w:tcPr>
            <w:tcW w:type="dxa" w:w="5200"/>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Bus booking request email</w:t>
            </w:r>
          </w:p>
        </w:tc>
        <w:tc>
          <w:tcPr>
            <w:tcW w:type="dxa" w:w="2986"/>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15 min</w:t>
            </w:r>
          </w:p>
        </w:tc>
      </w:tr>
      <w:tr>
        <w:tc>
          <w:tcPr>
            <w:tcW w:type="dxa" w:w="56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2</w:t>
            </w:r>
          </w:p>
        </w:tc>
        <w:tc>
          <w:tcPr>
            <w:tcW w:type="dxa" w:w="52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Bus confirmation (save and file)</w:t>
            </w:r>
          </w:p>
        </w:tc>
        <w:tc>
          <w:tcPr>
            <w:tcW w:type="dxa" w:w="2986"/>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5 min</w:t>
            </w:r>
          </w:p>
        </w:tc>
      </w:tr>
      <w:tr>
        <w:tc>
          <w:tcPr>
            <w:tcW w:type="dxa" w:w="560"/>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3</w:t>
            </w:r>
          </w:p>
        </w:tc>
        <w:tc>
          <w:tcPr>
            <w:tcW w:type="dxa" w:w="5200"/>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Student travel list (filtered from entry list)</w:t>
            </w:r>
          </w:p>
        </w:tc>
        <w:tc>
          <w:tcPr>
            <w:tcW w:type="dxa" w:w="2986"/>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20 min</w:t>
            </w:r>
          </w:p>
        </w:tc>
      </w:tr>
      <w:tr>
        <w:tc>
          <w:tcPr>
            <w:tcW w:type="dxa" w:w="56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4</w:t>
            </w:r>
          </w:p>
        </w:tc>
        <w:tc>
          <w:tcPr>
            <w:tcW w:type="dxa" w:w="52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Parent permission and medical note</w:t>
            </w:r>
          </w:p>
        </w:tc>
        <w:tc>
          <w:tcPr>
            <w:tcW w:type="dxa" w:w="2986"/>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15 min</w:t>
            </w:r>
          </w:p>
        </w:tc>
      </w:tr>
      <w:tr>
        <w:tc>
          <w:tcPr>
            <w:tcW w:type="dxa" w:w="560"/>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5</w:t>
            </w:r>
          </w:p>
        </w:tc>
        <w:tc>
          <w:tcPr>
            <w:tcW w:type="dxa" w:w="5200"/>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Medical register extract (bus students only)</w:t>
            </w:r>
          </w:p>
        </w:tc>
        <w:tc>
          <w:tcPr>
            <w:tcW w:type="dxa" w:w="2986"/>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15 min</w:t>
            </w:r>
          </w:p>
        </w:tc>
      </w:tr>
      <w:tr>
        <w:tc>
          <w:tcPr>
            <w:tcW w:type="dxa" w:w="56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6</w:t>
            </w:r>
          </w:p>
        </w:tc>
        <w:tc>
          <w:tcPr>
            <w:tcW w:type="dxa" w:w="52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Emergency contact sheet (bus-specific)</w:t>
            </w:r>
          </w:p>
        </w:tc>
        <w:tc>
          <w:tcPr>
            <w:tcW w:type="dxa" w:w="2986"/>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10 min</w:t>
            </w:r>
          </w:p>
        </w:tc>
      </w:tr>
      <w:tr>
        <w:tc>
          <w:tcPr>
            <w:tcW w:type="dxa" w:w="560"/>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7</w:t>
            </w:r>
          </w:p>
        </w:tc>
        <w:tc>
          <w:tcPr>
            <w:tcW w:type="dxa" w:w="5200"/>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Return time notification to parents and school office</w:t>
            </w:r>
          </w:p>
        </w:tc>
        <w:tc>
          <w:tcPr>
            <w:tcW w:type="dxa" w:w="2986"/>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10 min</w:t>
            </w:r>
          </w:p>
        </w:tc>
      </w:tr>
      <w:tr>
        <w:tc>
          <w:tcPr>
            <w:tcW w:type="dxa" w:w="56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8</w:t>
            </w:r>
          </w:p>
        </w:tc>
        <w:tc>
          <w:tcPr>
            <w:tcW w:type="dxa" w:w="52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Attendance roll for bus check-in on the day</w:t>
            </w:r>
          </w:p>
        </w:tc>
        <w:tc>
          <w:tcPr>
            <w:tcW w:type="dxa" w:w="2986"/>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10 min</w:t>
            </w:r>
          </w:p>
        </w:tc>
      </w:tr>
    </w:tbl>
    <w:p>
      <w:pPr>
        <w:spacing w:after="0" w:before="80"/>
      </w:pPr>
    </w:p>
    <w:p>
      <w:pPr>
        <w:spacing w:after="80" w:before="80"/>
      </w:pPr>
      <w:r>
        <w:rPr>
          <w:rFonts w:ascii="Arial" w:cs="Arial" w:eastAsia="Arial" w:hAnsi="Arial"/>
          <w:b w:val="false"/>
          <w:bCs w:val="false"/>
          <w:i w:val="false"/>
          <w:iCs w:val="false"/>
          <w:color w:val="0D1B3E"/>
          <w:sz w:val="22"/>
          <w:szCs w:val="22"/>
        </w:rPr>
        <w:t xml:space="preserve">100 minutes per school per carnival in transport documentation alone. Across 1,600 schools and 3 carnivals: over 8,000 hours of annual bus paperwork statewide.</w:t>
      </w:r>
    </w:p>
    <w:p>
      <w:pPr>
        <w:spacing w:after="0" w:before="200"/>
      </w:pPr>
    </w:p>
    <w:p>
      <w:r>
        <w:br w:type="page"/>
      </w:r>
    </w:p>
    <w:p>
      <w:pPr>
        <w:pStyle w:val="Heading1"/>
      </w:pPr>
      <w:r>
        <w:rPr>
          <w:rFonts w:ascii="Arial" w:cs="Arial" w:eastAsia="Arial" w:hAnsi="Arial"/>
          <w:b/>
          <w:bCs/>
          <w:color w:val="0D1B3E"/>
          <w:sz w:val="36"/>
          <w:szCs w:val="36"/>
        </w:rPr>
        <w:t xml:space="preserve">Part 4 — What SportPortal Does</w:t>
      </w:r>
    </w:p>
    <w:p>
      <w:pPr>
        <w:pBdr>
          <w:bottom w:val="single" w:color="1A56DB" w:sz="8"/>
        </w:pBdr>
        <w:spacing w:after="80" w:before="80"/>
      </w:pPr>
    </w:p>
    <w:p>
      <w:pPr>
        <w:spacing w:after="0" w:before="80"/>
      </w:pPr>
    </w:p>
    <w:p>
      <w:pPr>
        <w:pStyle w:val="Heading2"/>
      </w:pPr>
      <w:r>
        <w:rPr>
          <w:rFonts w:ascii="Arial" w:cs="Arial" w:eastAsia="Arial" w:hAnsi="Arial"/>
          <w:b/>
          <w:bCs/>
          <w:color w:val="1A56DB"/>
          <w:sz w:val="28"/>
          <w:szCs w:val="28"/>
        </w:rPr>
        <w:t xml:space="preserve">Four Tools, One Login</w:t>
      </w:r>
    </w:p>
    <w:p>
      <w:pPr>
        <w:spacing w:after="0" w:before="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946"/>
      </w:tblGrid>
      <w:tr>
        <w:tc>
          <w:tcPr>
            <w:tcW w:type="dxa" w:w="2200"/>
            <w:tcBorders>
              <w:top w:val="single" w:color="E2E8F0" w:sz="1"/>
              <w:left w:val="single" w:color="E2E8F0" w:sz="1"/>
              <w:bottom w:val="single" w:color="E2E8F0" w:sz="1"/>
              <w:right w:val="single" w:color="E2E8F0" w:sz="1"/>
            </w:tcBorders>
            <w:shd w:fill="0D1B3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Tool</w:t>
            </w:r>
          </w:p>
        </w:tc>
        <w:tc>
          <w:tcPr>
            <w:tcW w:type="dxa" w:w="2600"/>
            <w:tcBorders>
              <w:top w:val="single" w:color="E2E8F0" w:sz="1"/>
              <w:left w:val="single" w:color="E2E8F0" w:sz="1"/>
              <w:bottom w:val="single" w:color="E2E8F0" w:sz="1"/>
              <w:right w:val="single" w:color="E2E8F0" w:sz="1"/>
            </w:tcBorders>
            <w:shd w:fill="0D1B3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URL</w:t>
            </w:r>
          </w:p>
        </w:tc>
        <w:tc>
          <w:tcPr>
            <w:tcW w:type="dxa" w:w="4946"/>
            <w:tcBorders>
              <w:top w:val="single" w:color="E2E8F0" w:sz="1"/>
              <w:left w:val="single" w:color="E2E8F0" w:sz="1"/>
              <w:bottom w:val="single" w:color="E2E8F0" w:sz="1"/>
              <w:right w:val="single" w:color="E2E8F0" w:sz="1"/>
            </w:tcBorders>
            <w:shd w:fill="0D1B3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What It Does</w:t>
            </w:r>
          </w:p>
        </w:tc>
      </w:tr>
      <w:tr>
        <w:tc>
          <w:tcPr>
            <w:tcW w:type="dxa" w:w="2200"/>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School Sport Portal</w:t>
            </w:r>
          </w:p>
        </w:tc>
        <w:tc>
          <w:tcPr>
            <w:tcW w:type="dxa" w:w="2600"/>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schoolsportportal.com.au</w:t>
            </w:r>
          </w:p>
        </w:tc>
        <w:tc>
          <w:tcPr>
            <w:tcW w:type="dxa" w:w="4946"/>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Public hub. Region → Division → District → School. Parents find fixtures, teams and results.</w:t>
            </w:r>
          </w:p>
        </w:tc>
      </w:tr>
      <w:tr>
        <w:tc>
          <w:tcPr>
            <w:tcW w:type="dxa" w:w="22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SportCarnival</w:t>
            </w:r>
          </w:p>
        </w:tc>
        <w:tc>
          <w:tcPr>
            <w:tcW w:type="dxa" w:w="26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sportcarnival.com.au</w:t>
            </w:r>
          </w:p>
        </w:tc>
        <w:tc>
          <w:tcPr>
            <w:tcW w:type="dxa" w:w="4946"/>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Plan the carnival: upload students once, auto-draw heats by age and gender, record results.</w:t>
            </w:r>
          </w:p>
        </w:tc>
      </w:tr>
      <w:tr>
        <w:tc>
          <w:tcPr>
            <w:tcW w:type="dxa" w:w="2200"/>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CarnivalTiming</w:t>
            </w:r>
          </w:p>
        </w:tc>
        <w:tc>
          <w:tcPr>
            <w:tcW w:type="dxa" w:w="2600"/>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carnivaltiming.com</w:t>
            </w:r>
          </w:p>
        </w:tc>
        <w:tc>
          <w:tcPr>
            <w:tcW w:type="dxa" w:w="4946"/>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On the day: parent volunteers scan QR, tap Finish. Live scoreboard. Replaces timing-gate hire.</w:t>
            </w:r>
          </w:p>
        </w:tc>
      </w:tr>
      <w:tr>
        <w:tc>
          <w:tcPr>
            <w:tcW w:type="dxa" w:w="22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SportPortal</w:t>
            </w:r>
          </w:p>
        </w:tc>
        <w:tc>
          <w:tcPr>
            <w:tcW w:type="dxa" w:w="26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sportportal.com.au</w:t>
            </w:r>
          </w:p>
        </w:tc>
        <w:tc>
          <w:tcPr>
            <w:tcW w:type="dxa" w:w="4946"/>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Onboarding, pricing, account management. The flagship that pulls the other three together.</w:t>
            </w:r>
          </w:p>
        </w:tc>
      </w:tr>
    </w:tbl>
    <w:p>
      <w:pPr>
        <w:spacing w:after="0" w:before="120"/>
      </w:pPr>
    </w:p>
    <w:p>
      <w:pPr>
        <w:pStyle w:val="Heading2"/>
      </w:pPr>
      <w:r>
        <w:rPr>
          <w:rFonts w:ascii="Arial" w:cs="Arial" w:eastAsia="Arial" w:hAnsi="Arial"/>
          <w:b/>
          <w:bCs/>
          <w:color w:val="1A56DB"/>
          <w:sz w:val="28"/>
          <w:szCs w:val="28"/>
        </w:rPr>
        <w:t xml:space="preserve">What It Eliminates</w:t>
      </w:r>
    </w:p>
    <w:p>
      <w:pPr>
        <w:pStyle w:val="ListParagraph"/>
        <w:numPr>
          <w:ilvl w:val="0"/>
          <w:numId w:val="2"/>
        </w:numPr>
      </w:pPr>
      <w:r>
        <w:rPr>
          <w:rFonts w:ascii="Arial" w:cs="Arial" w:eastAsia="Arial" w:hAnsi="Arial"/>
          <w:color w:val="0D1B3E"/>
          <w:sz w:val="22"/>
          <w:szCs w:val="22"/>
        </w:rPr>
        <w:t xml:space="preserve">Email cascade — entries auto-collected, draw auto-notified, program auto-distributed to all levels</w:t>
      </w:r>
    </w:p>
    <w:p>
      <w:pPr>
        <w:pStyle w:val="ListParagraph"/>
        <w:numPr>
          <w:ilvl w:val="0"/>
          <w:numId w:val="2"/>
        </w:numPr>
      </w:pPr>
      <w:r>
        <w:rPr>
          <w:rFonts w:ascii="Arial" w:cs="Arial" w:eastAsia="Arial" w:hAnsi="Arial"/>
          <w:color w:val="0D1B3E"/>
          <w:sz w:val="22"/>
          <w:szCs w:val="22"/>
        </w:rPr>
        <w:t xml:space="preserve">Student re-entry — upload once, students auto-roll into every carnival, every year</w:t>
      </w:r>
    </w:p>
    <w:p>
      <w:pPr>
        <w:pStyle w:val="ListParagraph"/>
        <w:numPr>
          <w:ilvl w:val="0"/>
          <w:numId w:val="2"/>
        </w:numPr>
      </w:pPr>
      <w:r>
        <w:rPr>
          <w:rFonts w:ascii="Arial" w:cs="Arial" w:eastAsia="Arial" w:hAnsi="Arial"/>
          <w:color w:val="0D1B3E"/>
          <w:sz w:val="22"/>
          <w:szCs w:val="22"/>
        </w:rPr>
        <w:t xml:space="preserve">Transport documents — program auto-generated from draw, return time calculated, bus manifest auto-populated</w:t>
      </w:r>
    </w:p>
    <w:p>
      <w:pPr>
        <w:pStyle w:val="ListParagraph"/>
        <w:numPr>
          <w:ilvl w:val="0"/>
          <w:numId w:val="2"/>
        </w:numPr>
      </w:pPr>
      <w:r>
        <w:rPr>
          <w:rFonts w:ascii="Arial" w:cs="Arial" w:eastAsia="Arial" w:hAnsi="Arial"/>
          <w:color w:val="0D1B3E"/>
          <w:sz w:val="22"/>
          <w:szCs w:val="22"/>
        </w:rPr>
        <w:t xml:space="preserve">First aid and officials re-briefing — standing orders auto-triggered with carnival-specific details</w:t>
      </w:r>
    </w:p>
    <w:p>
      <w:pPr>
        <w:pStyle w:val="ListParagraph"/>
        <w:numPr>
          <w:ilvl w:val="0"/>
          <w:numId w:val="2"/>
        </w:numPr>
      </w:pPr>
      <w:r>
        <w:rPr>
          <w:rFonts w:ascii="Arial" w:cs="Arial" w:eastAsia="Arial" w:hAnsi="Arial"/>
          <w:color w:val="0D1B3E"/>
          <w:sz w:val="22"/>
          <w:szCs w:val="22"/>
        </w:rPr>
        <w:t xml:space="preserve">Results re-entry — top performers auto-roll up from school through district, division, region</w:t>
      </w:r>
    </w:p>
    <w:p>
      <w:pPr>
        <w:pStyle w:val="ListParagraph"/>
        <w:numPr>
          <w:ilvl w:val="0"/>
          <w:numId w:val="2"/>
        </w:numPr>
      </w:pPr>
      <w:r>
        <w:rPr>
          <w:rFonts w:ascii="Arial" w:cs="Arial" w:eastAsia="Arial" w:hAnsi="Arial"/>
          <w:color w:val="0D1B3E"/>
          <w:sz w:val="22"/>
          <w:szCs w:val="22"/>
        </w:rPr>
        <w:t xml:space="preserve">Timing gate hire — CarnivalTiming runs on parent-owned phones via QR code</w:t>
      </w:r>
    </w:p>
    <w:p>
      <w:pPr>
        <w:spacing w:after="0" w:before="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66534" w:sz="8"/>
              <w:left w:val="single" w:color="166534" w:sz="8"/>
              <w:bottom w:val="single" w:color="E2E8F0" w:sz="1"/>
              <w:right w:val="single" w:color="E2E8F0" w:sz="1"/>
            </w:tcBorders>
            <w:shd w:fill="DCFCE7" w:val="clear"/>
            <w:tcMar>
              <w:top w:type="dxa" w:w="140"/>
              <w:left w:type="dxa" w:w="200"/>
              <w:bottom w:type="dxa" w:w="140"/>
              <w:right w:type="dxa" w:w="200"/>
            </w:tcMar>
          </w:tcPr>
          <w:p>
            <w:r>
              <w:rPr>
                <w:rFonts w:ascii="Arial" w:cs="Arial" w:eastAsia="Arial" w:hAnsi="Arial"/>
                <w:b/>
                <w:bCs/>
                <w:color w:val="166534"/>
                <w:sz w:val="20"/>
                <w:szCs w:val="20"/>
              </w:rPr>
              <w:t xml:space="preserve">LIVE TODAY — NOT VAPORWARE</w:t>
            </w:r>
          </w:p>
          <w:p>
            <w:pPr>
              <w:spacing w:after="0" w:before="40"/>
            </w:pPr>
            <w:r>
              <w:rPr>
                <w:rFonts w:ascii="Arial" w:cs="Arial" w:eastAsia="Arial" w:hAnsi="Arial"/>
                <w:color w:val="0D1B3E"/>
                <w:sz w:val="21"/>
                <w:szCs w:val="21"/>
              </w:rPr>
              <w:t xml:space="preserve">All four domains are live. Williamstown District (schoolsportportal.com.au/williamstowndistrict) and Hobsons Bay Division (schoolsportportal.com.au/hobsonsbay) pages are deployed. Demo pages for all four tiers are at schoolsportportal.com.au.</w:t>
            </w:r>
          </w:p>
        </w:tc>
      </w:tr>
    </w:tbl>
    <w:p>
      <w:pPr>
        <w:spacing w:after="0" w:before="200"/>
      </w:pPr>
    </w:p>
    <w:p>
      <w:r>
        <w:br w:type="page"/>
      </w:r>
    </w:p>
    <w:p>
      <w:pPr>
        <w:pStyle w:val="Heading1"/>
      </w:pPr>
      <w:r>
        <w:rPr>
          <w:rFonts w:ascii="Arial" w:cs="Arial" w:eastAsia="Arial" w:hAnsi="Arial"/>
          <w:b/>
          <w:bCs/>
          <w:color w:val="0D1B3E"/>
          <w:sz w:val="36"/>
          <w:szCs w:val="36"/>
        </w:rPr>
        <w:t xml:space="preserve">Part 5 — Compliance and Data Governance</w:t>
      </w:r>
    </w:p>
    <w:p>
      <w:pPr>
        <w:pBdr>
          <w:bottom w:val="single" w:color="1A56DB" w:sz="8"/>
        </w:pBdr>
        <w:spacing w:after="80" w:before="80"/>
      </w:pPr>
    </w:p>
    <w:p>
      <w:pPr>
        <w:spacing w:after="0" w:before="80"/>
      </w:pPr>
    </w:p>
    <w:p>
      <w:pPr>
        <w:pStyle w:val="Heading2"/>
      </w:pPr>
      <w:r>
        <w:rPr>
          <w:rFonts w:ascii="Arial" w:cs="Arial" w:eastAsia="Arial" w:hAnsi="Arial"/>
          <w:b/>
          <w:bCs/>
          <w:color w:val="1A56DB"/>
          <w:sz w:val="28"/>
          <w:szCs w:val="28"/>
        </w:rPr>
        <w:t xml:space="preserve">Built to Pass the DET Privacy Impact Assessment</w:t>
      </w:r>
    </w:p>
    <w:p>
      <w:pPr>
        <w:spacing w:after="120" w:before="0"/>
      </w:pPr>
      <w:r>
        <w:rPr>
          <w:rFonts w:ascii="Arial" w:cs="Arial" w:eastAsia="Arial" w:hAnsi="Arial"/>
          <w:b w:val="false"/>
          <w:bCs w:val="false"/>
          <w:i w:val="false"/>
          <w:iCs w:val="false"/>
          <w:color w:val="0D1B3E"/>
          <w:sz w:val="22"/>
          <w:szCs w:val="22"/>
        </w:rPr>
        <w:t xml:space="preserve">DET requires schools to complete a Privacy Impact Assessment (PIA) before adopting cloud software, particularly tools that store or process student data. SportPortal is architected specifically to pass it. A pre-completed PIA template, mapped against all 10 Information Privacy Principles, is available on request from any school — removing the single biggest procedural barrier to adoption.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66534" w:sz="8"/>
              <w:left w:val="single" w:color="166534" w:sz="8"/>
              <w:bottom w:val="single" w:color="E2E8F0" w:sz="1"/>
              <w:right w:val="single" w:color="E2E8F0" w:sz="1"/>
            </w:tcBorders>
            <w:shd w:fill="DCFCE7" w:val="clear"/>
            <w:tcMar>
              <w:top w:type="dxa" w:w="140"/>
              <w:left w:type="dxa" w:w="200"/>
              <w:bottom w:type="dxa" w:w="140"/>
              <w:right w:type="dxa" w:w="200"/>
            </w:tcMar>
          </w:tcPr>
          <w:p>
            <w:r>
              <w:rPr>
                <w:rFonts w:ascii="Arial" w:cs="Arial" w:eastAsia="Arial" w:hAnsi="Arial"/>
                <w:b/>
                <w:bCs/>
                <w:color w:val="166534"/>
                <w:sz w:val="20"/>
                <w:szCs w:val="20"/>
              </w:rPr>
              <w:t xml:space="preserve">PIA TEMPLATE AVAILABLE ON REQUEST</w:t>
            </w:r>
          </w:p>
          <w:p>
            <w:pPr>
              <w:spacing w:after="0" w:before="40"/>
            </w:pPr>
            <w:r>
              <w:rPr>
                <w:rFonts w:ascii="Arial" w:cs="Arial" w:eastAsia="Arial" w:hAnsi="Arial"/>
                <w:color w:val="0D1B3E"/>
                <w:sz w:val="21"/>
                <w:szCs w:val="21"/>
              </w:rPr>
              <w:t xml:space="preserve">Schools receive a pre-completed Privacy Impact Assessment document mapped against all 10 IPPs, ready for their privacy team to review and sign off. Contact paddy@luckdragon.io. This is not standard practice among school sport tools.</w:t>
            </w:r>
          </w:p>
        </w:tc>
      </w:tr>
    </w:tbl>
    <w:p>
      <w:pPr>
        <w:spacing w:after="0" w:before="120"/>
      </w:pPr>
    </w:p>
    <w:p>
      <w:pPr>
        <w:pStyle w:val="Heading2"/>
      </w:pPr>
      <w:r>
        <w:rPr>
          <w:rFonts w:ascii="Arial" w:cs="Arial" w:eastAsia="Arial" w:hAnsi="Arial"/>
          <w:b/>
          <w:bCs/>
          <w:color w:val="1A56DB"/>
          <w:sz w:val="28"/>
          <w:szCs w:val="28"/>
        </w:rPr>
        <w:t xml:space="preserve">Privacy and Data Protection Act 2014 (Vic) — All 10 IPPs</w:t>
      </w:r>
    </w:p>
    <w:p>
      <w:pPr>
        <w:spacing w:after="80" w:before="0"/>
      </w:pPr>
      <w:r>
        <w:rPr>
          <w:rFonts w:ascii="Arial" w:cs="Arial" w:eastAsia="Arial" w:hAnsi="Arial"/>
          <w:b w:val="false"/>
          <w:bCs w:val="false"/>
          <w:i w:val="false"/>
          <w:iCs w:val="false"/>
          <w:color w:val="0D1B3E"/>
          <w:sz w:val="22"/>
          <w:szCs w:val="22"/>
        </w:rPr>
        <w:t xml:space="preserve">SportPortal is designed to comply with all 10 Information Privacy Principles under the Privacy and Data Protection Act 2014 (Vic) and the Health Privacy Principles under the Health Records Act 2001 (Vic):</w:t>
      </w:r>
    </w:p>
    <w:p>
      <w:pPr>
        <w:spacing w:after="0" w:before="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7546"/>
      </w:tblGrid>
      <w:tr>
        <w:tc>
          <w:tcPr>
            <w:tcW w:type="dxa" w:w="800"/>
            <w:tcBorders>
              <w:top w:val="single" w:color="E2E8F0" w:sz="1"/>
              <w:left w:val="single" w:color="E2E8F0" w:sz="1"/>
              <w:bottom w:val="single" w:color="E2E8F0" w:sz="1"/>
              <w:right w:val="single" w:color="E2E8F0" w:sz="1"/>
            </w:tcBorders>
            <w:shd w:fill="0D1B3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IPP</w:t>
            </w:r>
          </w:p>
        </w:tc>
        <w:tc>
          <w:tcPr>
            <w:tcW w:type="dxa" w:w="1400"/>
            <w:tcBorders>
              <w:top w:val="single" w:color="E2E8F0" w:sz="1"/>
              <w:left w:val="single" w:color="E2E8F0" w:sz="1"/>
              <w:bottom w:val="single" w:color="E2E8F0" w:sz="1"/>
              <w:right w:val="single" w:color="E2E8F0" w:sz="1"/>
            </w:tcBorders>
            <w:shd w:fill="0D1B3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Principle</w:t>
            </w:r>
          </w:p>
        </w:tc>
        <w:tc>
          <w:tcPr>
            <w:tcW w:type="dxa" w:w="7546"/>
            <w:tcBorders>
              <w:top w:val="single" w:color="E2E8F0" w:sz="1"/>
              <w:left w:val="single" w:color="E2E8F0" w:sz="1"/>
              <w:bottom w:val="single" w:color="E2E8F0" w:sz="1"/>
              <w:right w:val="single" w:color="E2E8F0" w:sz="1"/>
            </w:tcBorders>
            <w:shd w:fill="0D1B3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SportPortal Approach</w:t>
            </w:r>
          </w:p>
        </w:tc>
      </w:tr>
      <w:tr>
        <w:tc>
          <w:tcPr>
            <w:tcW w:type="dxa" w:w="800"/>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left"/>
            </w:pPr>
            <w:r>
              <w:rPr>
                <w:rFonts w:ascii="Arial" w:cs="Arial" w:eastAsia="Arial" w:hAnsi="Arial"/>
                <w:b/>
                <w:bCs/>
                <w:i w:val="false"/>
                <w:iCs w:val="false"/>
                <w:color w:val="1A56DB"/>
                <w:sz w:val="19"/>
                <w:szCs w:val="19"/>
              </w:rPr>
              <w:t xml:space="preserve">IPP 1</w:t>
            </w:r>
          </w:p>
        </w:tc>
        <w:tc>
          <w:tcPr>
            <w:tcW w:type="dxa" w:w="1400"/>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19"/>
                <w:szCs w:val="19"/>
              </w:rPr>
              <w:t xml:space="preserve">Collection</w:t>
            </w:r>
          </w:p>
        </w:tc>
        <w:tc>
          <w:tcPr>
            <w:tcW w:type="dxa" w:w="7546"/>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19"/>
                <w:szCs w:val="19"/>
              </w:rPr>
              <w:t xml:space="preserve">First name, last initial (public), full name (staff only), year level, DOB (age calc only), house colour. Consent obtained at enrolment. No unnecessary data collected.</w:t>
            </w:r>
          </w:p>
        </w:tc>
      </w:tr>
      <w:tr>
        <w:tc>
          <w:tcPr>
            <w:tcW w:type="dxa" w:w="8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vAlign w:val="top"/>
          </w:tcPr>
          <w:p>
            <w:pPr>
              <w:jc w:val="left"/>
            </w:pPr>
            <w:r>
              <w:rPr>
                <w:rFonts w:ascii="Arial" w:cs="Arial" w:eastAsia="Arial" w:hAnsi="Arial"/>
                <w:b/>
                <w:bCs/>
                <w:i w:val="false"/>
                <w:iCs w:val="false"/>
                <w:color w:val="1A56DB"/>
                <w:sz w:val="19"/>
                <w:szCs w:val="19"/>
              </w:rPr>
              <w:t xml:space="preserve">IPP 2</w:t>
            </w:r>
          </w:p>
        </w:tc>
        <w:tc>
          <w:tcPr>
            <w:tcW w:type="dxa" w:w="14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19"/>
                <w:szCs w:val="19"/>
              </w:rPr>
              <w:t xml:space="preserve">Use &amp; Disclosure</w:t>
            </w:r>
          </w:p>
        </w:tc>
        <w:tc>
          <w:tcPr>
            <w:tcW w:type="dxa" w:w="7546"/>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19"/>
                <w:szCs w:val="19"/>
              </w:rPr>
              <w:t xml:space="preserve">Student data used exclusively for carnival management. Never disclosed to third parties, advertisers, or other schools. Not sold, rented, or shared.</w:t>
            </w:r>
          </w:p>
        </w:tc>
      </w:tr>
      <w:tr>
        <w:tc>
          <w:tcPr>
            <w:tcW w:type="dxa" w:w="800"/>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left"/>
            </w:pPr>
            <w:r>
              <w:rPr>
                <w:rFonts w:ascii="Arial" w:cs="Arial" w:eastAsia="Arial" w:hAnsi="Arial"/>
                <w:b/>
                <w:bCs/>
                <w:i w:val="false"/>
                <w:iCs w:val="false"/>
                <w:color w:val="1A56DB"/>
                <w:sz w:val="19"/>
                <w:szCs w:val="19"/>
              </w:rPr>
              <w:t xml:space="preserve">IPP 3</w:t>
            </w:r>
          </w:p>
        </w:tc>
        <w:tc>
          <w:tcPr>
            <w:tcW w:type="dxa" w:w="1400"/>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19"/>
                <w:szCs w:val="19"/>
              </w:rPr>
              <w:t xml:space="preserve">Data Quality</w:t>
            </w:r>
          </w:p>
        </w:tc>
        <w:tc>
          <w:tcPr>
            <w:tcW w:type="dxa" w:w="7546"/>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19"/>
                <w:szCs w:val="19"/>
              </w:rPr>
              <w:t xml:space="preserve">Schools maintain their own student records. Export and correct at any time. Platform does not alter source data.</w:t>
            </w:r>
          </w:p>
        </w:tc>
      </w:tr>
      <w:tr>
        <w:tc>
          <w:tcPr>
            <w:tcW w:type="dxa" w:w="8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vAlign w:val="top"/>
          </w:tcPr>
          <w:p>
            <w:pPr>
              <w:jc w:val="left"/>
            </w:pPr>
            <w:r>
              <w:rPr>
                <w:rFonts w:ascii="Arial" w:cs="Arial" w:eastAsia="Arial" w:hAnsi="Arial"/>
                <w:b/>
                <w:bCs/>
                <w:i w:val="false"/>
                <w:iCs w:val="false"/>
                <w:color w:val="1A56DB"/>
                <w:sz w:val="19"/>
                <w:szCs w:val="19"/>
              </w:rPr>
              <w:t xml:space="preserve">IPP 4</w:t>
            </w:r>
          </w:p>
        </w:tc>
        <w:tc>
          <w:tcPr>
            <w:tcW w:type="dxa" w:w="14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19"/>
                <w:szCs w:val="19"/>
              </w:rPr>
              <w:t xml:space="preserve">Data Security</w:t>
            </w:r>
          </w:p>
        </w:tc>
        <w:tc>
          <w:tcPr>
            <w:tcW w:type="dxa" w:w="7546"/>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19"/>
                <w:szCs w:val="19"/>
              </w:rPr>
              <w:t xml:space="preserve">AES-256 at rest. TLS 1.3 in transit. Firebase Security Rules enforce role-based access. Coordinator login required for full name access.</w:t>
            </w:r>
          </w:p>
        </w:tc>
      </w:tr>
      <w:tr>
        <w:tc>
          <w:tcPr>
            <w:tcW w:type="dxa" w:w="800"/>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left"/>
            </w:pPr>
            <w:r>
              <w:rPr>
                <w:rFonts w:ascii="Arial" w:cs="Arial" w:eastAsia="Arial" w:hAnsi="Arial"/>
                <w:b/>
                <w:bCs/>
                <w:i w:val="false"/>
                <w:iCs w:val="false"/>
                <w:color w:val="1A56DB"/>
                <w:sz w:val="19"/>
                <w:szCs w:val="19"/>
              </w:rPr>
              <w:t xml:space="preserve">IPP 5</w:t>
            </w:r>
          </w:p>
        </w:tc>
        <w:tc>
          <w:tcPr>
            <w:tcW w:type="dxa" w:w="1400"/>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19"/>
                <w:szCs w:val="19"/>
              </w:rPr>
              <w:t xml:space="preserve">Openness</w:t>
            </w:r>
          </w:p>
        </w:tc>
        <w:tc>
          <w:tcPr>
            <w:tcW w:type="dxa" w:w="7546"/>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19"/>
                <w:szCs w:val="19"/>
              </w:rPr>
              <w:t xml:space="preserve">Privacy Policy published at sportportal.com.au. Plain-English summary available for school council presentations.</w:t>
            </w:r>
          </w:p>
        </w:tc>
      </w:tr>
      <w:tr>
        <w:tc>
          <w:tcPr>
            <w:tcW w:type="dxa" w:w="8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vAlign w:val="top"/>
          </w:tcPr>
          <w:p>
            <w:pPr>
              <w:jc w:val="left"/>
            </w:pPr>
            <w:r>
              <w:rPr>
                <w:rFonts w:ascii="Arial" w:cs="Arial" w:eastAsia="Arial" w:hAnsi="Arial"/>
                <w:b/>
                <w:bCs/>
                <w:i w:val="false"/>
                <w:iCs w:val="false"/>
                <w:color w:val="1A56DB"/>
                <w:sz w:val="19"/>
                <w:szCs w:val="19"/>
              </w:rPr>
              <w:t xml:space="preserve">IPP 6</w:t>
            </w:r>
          </w:p>
        </w:tc>
        <w:tc>
          <w:tcPr>
            <w:tcW w:type="dxa" w:w="14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19"/>
                <w:szCs w:val="19"/>
              </w:rPr>
              <w:t xml:space="preserve">Access &amp; Correction</w:t>
            </w:r>
          </w:p>
        </w:tc>
        <w:tc>
          <w:tcPr>
            <w:tcW w:type="dxa" w:w="7546"/>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19"/>
                <w:szCs w:val="19"/>
              </w:rPr>
              <w:t xml:space="preserve">Schools can access, correct, export (CSV) and delete all student data at any time with no lock-in.</w:t>
            </w:r>
          </w:p>
        </w:tc>
      </w:tr>
      <w:tr>
        <w:tc>
          <w:tcPr>
            <w:tcW w:type="dxa" w:w="800"/>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left"/>
            </w:pPr>
            <w:r>
              <w:rPr>
                <w:rFonts w:ascii="Arial" w:cs="Arial" w:eastAsia="Arial" w:hAnsi="Arial"/>
                <w:b/>
                <w:bCs/>
                <w:i w:val="false"/>
                <w:iCs w:val="false"/>
                <w:color w:val="1A56DB"/>
                <w:sz w:val="19"/>
                <w:szCs w:val="19"/>
              </w:rPr>
              <w:t xml:space="preserve">IPP 7</w:t>
            </w:r>
          </w:p>
        </w:tc>
        <w:tc>
          <w:tcPr>
            <w:tcW w:type="dxa" w:w="1400"/>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19"/>
                <w:szCs w:val="19"/>
              </w:rPr>
              <w:t xml:space="preserve">Unique Identifiers</w:t>
            </w:r>
          </w:p>
        </w:tc>
        <w:tc>
          <w:tcPr>
            <w:tcW w:type="dxa" w:w="7546"/>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19"/>
                <w:szCs w:val="19"/>
              </w:rPr>
              <w:t xml:space="preserve">No government identifiers (e.g. student ID, TFN) used or stored.</w:t>
            </w:r>
          </w:p>
        </w:tc>
      </w:tr>
      <w:tr>
        <w:tc>
          <w:tcPr>
            <w:tcW w:type="dxa" w:w="8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vAlign w:val="top"/>
          </w:tcPr>
          <w:p>
            <w:pPr>
              <w:jc w:val="left"/>
            </w:pPr>
            <w:r>
              <w:rPr>
                <w:rFonts w:ascii="Arial" w:cs="Arial" w:eastAsia="Arial" w:hAnsi="Arial"/>
                <w:b/>
                <w:bCs/>
                <w:i w:val="false"/>
                <w:iCs w:val="false"/>
                <w:color w:val="1A56DB"/>
                <w:sz w:val="19"/>
                <w:szCs w:val="19"/>
              </w:rPr>
              <w:t xml:space="preserve">IPP 8</w:t>
            </w:r>
          </w:p>
        </w:tc>
        <w:tc>
          <w:tcPr>
            <w:tcW w:type="dxa" w:w="14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19"/>
                <w:szCs w:val="19"/>
              </w:rPr>
              <w:t xml:space="preserve">Anonymity</w:t>
            </w:r>
          </w:p>
        </w:tc>
        <w:tc>
          <w:tcPr>
            <w:tcW w:type="dxa" w:w="7546"/>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19"/>
                <w:szCs w:val="19"/>
              </w:rPr>
              <w:t xml:space="preserve">Public results display first name + last initial + school only. Full names accessible to signed-in coordinators only.</w:t>
            </w:r>
          </w:p>
        </w:tc>
      </w:tr>
      <w:tr>
        <w:tc>
          <w:tcPr>
            <w:tcW w:type="dxa" w:w="800"/>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left"/>
            </w:pPr>
            <w:r>
              <w:rPr>
                <w:rFonts w:ascii="Arial" w:cs="Arial" w:eastAsia="Arial" w:hAnsi="Arial"/>
                <w:b/>
                <w:bCs/>
                <w:i w:val="false"/>
                <w:iCs w:val="false"/>
                <w:color w:val="1A56DB"/>
                <w:sz w:val="19"/>
                <w:szCs w:val="19"/>
              </w:rPr>
              <w:t xml:space="preserve">IPP 9</w:t>
            </w:r>
          </w:p>
        </w:tc>
        <w:tc>
          <w:tcPr>
            <w:tcW w:type="dxa" w:w="1400"/>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19"/>
                <w:szCs w:val="19"/>
              </w:rPr>
              <w:t xml:space="preserve">Transborder Data Flows</w:t>
            </w:r>
          </w:p>
        </w:tc>
        <w:tc>
          <w:tcPr>
            <w:tcW w:type="dxa" w:w="7546"/>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19"/>
                <w:szCs w:val="19"/>
              </w:rPr>
              <w:t xml:space="preserve">All data stored in australia-southeast1 (Google Cloud, Sydney). No data leaves Australia. Compliant with DET IPP 9 localisation requirement.</w:t>
            </w:r>
          </w:p>
        </w:tc>
      </w:tr>
      <w:tr>
        <w:tc>
          <w:tcPr>
            <w:tcW w:type="dxa" w:w="8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vAlign w:val="top"/>
          </w:tcPr>
          <w:p>
            <w:pPr>
              <w:jc w:val="left"/>
            </w:pPr>
            <w:r>
              <w:rPr>
                <w:rFonts w:ascii="Arial" w:cs="Arial" w:eastAsia="Arial" w:hAnsi="Arial"/>
                <w:b/>
                <w:bCs/>
                <w:i w:val="false"/>
                <w:iCs w:val="false"/>
                <w:color w:val="1A56DB"/>
                <w:sz w:val="19"/>
                <w:szCs w:val="19"/>
              </w:rPr>
              <w:t xml:space="preserve">IPP 10</w:t>
            </w:r>
          </w:p>
        </w:tc>
        <w:tc>
          <w:tcPr>
            <w:tcW w:type="dxa" w:w="14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19"/>
                <w:szCs w:val="19"/>
              </w:rPr>
              <w:t xml:space="preserve">Sensitive Information</w:t>
            </w:r>
          </w:p>
        </w:tc>
        <w:tc>
          <w:tcPr>
            <w:tcW w:type="dxa" w:w="7546"/>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19"/>
                <w:szCs w:val="19"/>
              </w:rPr>
              <w:t xml:space="preserve">Medical notes and health information handled under Health Privacy Principles (HPPs), Health Records Act 2001 (Vic). Encrypted, staff-only access, never publicly displayed.</w:t>
            </w:r>
          </w:p>
        </w:tc>
      </w:tr>
    </w:tbl>
    <w:p>
      <w:pPr>
        <w:spacing w:after="0" w:before="120"/>
      </w:pPr>
    </w:p>
    <w:p>
      <w:pPr>
        <w:pStyle w:val="Heading2"/>
      </w:pPr>
      <w:r>
        <w:rPr>
          <w:rFonts w:ascii="Arial" w:cs="Arial" w:eastAsia="Arial" w:hAnsi="Arial"/>
          <w:b/>
          <w:bCs/>
          <w:color w:val="1A56DB"/>
          <w:sz w:val="28"/>
          <w:szCs w:val="28"/>
        </w:rPr>
        <w:t xml:space="preserve">Child Safe Standards — Ministerial Order 1359</w:t>
      </w:r>
    </w:p>
    <w:p>
      <w:pPr>
        <w:spacing w:after="80" w:before="0"/>
      </w:pPr>
      <w:r>
        <w:rPr>
          <w:rFonts w:ascii="Arial" w:cs="Arial" w:eastAsia="Arial" w:hAnsi="Arial"/>
          <w:b w:val="false"/>
          <w:bCs w:val="false"/>
          <w:i w:val="false"/>
          <w:iCs w:val="false"/>
          <w:color w:val="0D1B3E"/>
          <w:sz w:val="22"/>
          <w:szCs w:val="22"/>
        </w:rPr>
        <w:t xml:space="preserve">SportPortal is designed in compliance with the Victorian Child Safe Standards (Ministerial Order 1359, effective 1 January 2023), particularly Standard 9 (physical and online environments minimise opportunity for harm):</w:t>
      </w:r>
    </w:p>
    <w:p>
      <w:pPr>
        <w:pStyle w:val="ListParagraph"/>
        <w:numPr>
          <w:ilvl w:val="0"/>
          <w:numId w:val="2"/>
        </w:numPr>
      </w:pPr>
      <w:r>
        <w:rPr>
          <w:rFonts w:ascii="Arial" w:cs="Arial" w:eastAsia="Arial" w:hAnsi="Arial"/>
          <w:color w:val="0D1B3E"/>
          <w:sz w:val="22"/>
          <w:szCs w:val="22"/>
        </w:rPr>
        <w:t xml:space="preserve">No student photographs stored or displayed at any level of the platform</w:t>
      </w:r>
    </w:p>
    <w:p>
      <w:pPr>
        <w:pStyle w:val="ListParagraph"/>
        <w:numPr>
          <w:ilvl w:val="0"/>
          <w:numId w:val="2"/>
        </w:numPr>
      </w:pPr>
      <w:r>
        <w:rPr>
          <w:rFonts w:ascii="Arial" w:cs="Arial" w:eastAsia="Arial" w:hAnsi="Arial"/>
          <w:color w:val="0D1B3E"/>
          <w:sz w:val="22"/>
          <w:szCs w:val="22"/>
        </w:rPr>
        <w:t xml:space="preserve">Full student names visible to signed-in school coordinators only — never publicly accessible</w:t>
      </w:r>
    </w:p>
    <w:p>
      <w:pPr>
        <w:pStyle w:val="ListParagraph"/>
        <w:numPr>
          <w:ilvl w:val="0"/>
          <w:numId w:val="2"/>
        </w:numPr>
      </w:pPr>
      <w:r>
        <w:rPr>
          <w:rFonts w:ascii="Arial" w:cs="Arial" w:eastAsia="Arial" w:hAnsi="Arial"/>
          <w:color w:val="0D1B3E"/>
          <w:sz w:val="22"/>
          <w:szCs w:val="22"/>
        </w:rPr>
        <w:t xml:space="preserve">Public results display first name + last initial + school name only — consistent with SSV published results policy</w:t>
      </w:r>
    </w:p>
    <w:p>
      <w:pPr>
        <w:pStyle w:val="ListParagraph"/>
        <w:numPr>
          <w:ilvl w:val="0"/>
          <w:numId w:val="2"/>
        </w:numPr>
      </w:pPr>
      <w:r>
        <w:rPr>
          <w:rFonts w:ascii="Arial" w:cs="Arial" w:eastAsia="Arial" w:hAnsi="Arial"/>
          <w:color w:val="0D1B3E"/>
          <w:sz w:val="22"/>
          <w:szCs w:val="22"/>
        </w:rPr>
        <w:t xml:space="preserve">No direct student-facing login interface — all access mediated through verified school staff accounts</w:t>
      </w:r>
    </w:p>
    <w:p>
      <w:pPr>
        <w:pStyle w:val="ListParagraph"/>
        <w:numPr>
          <w:ilvl w:val="0"/>
          <w:numId w:val="2"/>
        </w:numPr>
      </w:pPr>
      <w:r>
        <w:rPr>
          <w:rFonts w:ascii="Arial" w:cs="Arial" w:eastAsia="Arial" w:hAnsi="Arial"/>
          <w:color w:val="0D1B3E"/>
          <w:sz w:val="22"/>
          <w:szCs w:val="22"/>
        </w:rPr>
        <w:t xml:space="preserve">Adult coordinators authenticated via school email address</w:t>
      </w:r>
    </w:p>
    <w:p>
      <w:pPr>
        <w:pStyle w:val="ListParagraph"/>
        <w:numPr>
          <w:ilvl w:val="0"/>
          <w:numId w:val="2"/>
        </w:numPr>
      </w:pPr>
      <w:r>
        <w:rPr>
          <w:rFonts w:ascii="Arial" w:cs="Arial" w:eastAsia="Arial" w:hAnsi="Arial"/>
          <w:color w:val="0D1B3E"/>
          <w:sz w:val="22"/>
          <w:szCs w:val="22"/>
        </w:rPr>
        <w:t xml:space="preserve">Date of birth used for age group calculation only — never displayed on any public or semi-public page</w:t>
      </w:r>
    </w:p>
    <w:p>
      <w:pPr>
        <w:spacing w:after="0" w:before="120"/>
      </w:pPr>
    </w:p>
    <w:p>
      <w:pPr>
        <w:pStyle w:val="Heading2"/>
      </w:pPr>
      <w:r>
        <w:rPr>
          <w:rFonts w:ascii="Arial" w:cs="Arial" w:eastAsia="Arial" w:hAnsi="Arial"/>
          <w:b/>
          <w:bCs/>
          <w:color w:val="1A56DB"/>
          <w:sz w:val="28"/>
          <w:szCs w:val="28"/>
        </w:rPr>
        <w:t xml:space="preserve">Victorian Protective Data Security Standards (VPDSS)</w:t>
      </w:r>
    </w:p>
    <w:p>
      <w:pPr>
        <w:spacing w:after="80" w:before="0"/>
      </w:pPr>
      <w:r>
        <w:rPr>
          <w:rFonts w:ascii="Arial" w:cs="Arial" w:eastAsia="Arial" w:hAnsi="Arial"/>
          <w:b w:val="false"/>
          <w:bCs w:val="false"/>
          <w:i w:val="false"/>
          <w:iCs w:val="false"/>
          <w:color w:val="0D1B3E"/>
          <w:sz w:val="22"/>
          <w:szCs w:val="22"/>
        </w:rPr>
        <w:t xml:space="preserve">Aligned with VPDSS as published by the Office of the Victorian Information Commissioner (OVIC). Google Firebase (Google Cloud australia-southeast1) holds ISO 27001 certification and SOC 2 Type II attestation — the industry standard for cloud security in the Victorian government context.</w:t>
      </w:r>
    </w:p>
    <w:p>
      <w:pPr>
        <w:spacing w:after="0" w:before="80"/>
      </w:pPr>
    </w:p>
    <w:p>
      <w:pPr>
        <w:pStyle w:val="Heading2"/>
      </w:pPr>
      <w:r>
        <w:rPr>
          <w:rFonts w:ascii="Arial" w:cs="Arial" w:eastAsia="Arial" w:hAnsi="Arial"/>
          <w:b/>
          <w:bCs/>
          <w:color w:val="1A56DB"/>
          <w:sz w:val="28"/>
          <w:szCs w:val="28"/>
        </w:rPr>
        <w:t xml:space="preserve">Notifiable Data Breaches — Privacy Act 1988 (Cth)</w:t>
      </w:r>
    </w:p>
    <w:p>
      <w:pPr>
        <w:spacing w:after="80" w:before="0"/>
      </w:pPr>
      <w:r>
        <w:rPr>
          <w:rFonts w:ascii="Arial" w:cs="Arial" w:eastAsia="Arial" w:hAnsi="Arial"/>
          <w:b w:val="false"/>
          <w:bCs w:val="false"/>
          <w:i w:val="false"/>
          <w:iCs w:val="false"/>
          <w:color w:val="0D1B3E"/>
          <w:sz w:val="22"/>
          <w:szCs w:val="22"/>
        </w:rPr>
        <w:t xml:space="preserve">SportPortal operates under the Notifiable Data Breaches (NDB) scheme. Google Firebase is covered by Firebase's Data Processing Agreement (DPA). Schools are notified within 24 hours of any suspected eligible data breach. The OAIC is notified in accordance with Part IIIC of the Privacy Act 1988 (Cth) where required.</w:t>
      </w:r>
    </w:p>
    <w:p>
      <w:pPr>
        <w:spacing w:after="0" w:before="80"/>
      </w:pPr>
    </w:p>
    <w:p>
      <w:pPr>
        <w:pStyle w:val="Heading2"/>
      </w:pPr>
      <w:r>
        <w:rPr>
          <w:rFonts w:ascii="Arial" w:cs="Arial" w:eastAsia="Arial" w:hAnsi="Arial"/>
          <w:b/>
          <w:bCs/>
          <w:color w:val="1A56DB"/>
          <w:sz w:val="28"/>
          <w:szCs w:val="28"/>
        </w:rPr>
        <w:t xml:space="preserve">SSV General Conditions of Competition 2026 — Age Compliance</w:t>
      </w:r>
    </w:p>
    <w:p>
      <w:pPr>
        <w:spacing w:after="80" w:before="0"/>
      </w:pPr>
      <w:r>
        <w:rPr>
          <w:rFonts w:ascii="Arial" w:cs="Arial" w:eastAsia="Arial" w:hAnsi="Arial"/>
          <w:b w:val="false"/>
          <w:bCs w:val="false"/>
          <w:i w:val="false"/>
          <w:iCs w:val="false"/>
          <w:color w:val="0D1B3E"/>
          <w:sz w:val="22"/>
          <w:szCs w:val="22"/>
        </w:rPr>
        <w:t xml:space="preserve">SportPortal's age group calculation is built to the precise SSV specification from the General Conditions of Competition 2026:</w:t>
      </w:r>
    </w:p>
    <w:p>
      <w:pPr>
        <w:spacing w:after="0" w:before="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5146"/>
      </w:tblGrid>
      <w:tr>
        <w:tc>
          <w:tcPr>
            <w:tcW w:type="dxa" w:w="1800"/>
            <w:tcBorders>
              <w:top w:val="single" w:color="E2E8F0" w:sz="1"/>
              <w:left w:val="single" w:color="E2E8F0" w:sz="1"/>
              <w:bottom w:val="single" w:color="E2E8F0" w:sz="1"/>
              <w:right w:val="single" w:color="E2E8F0" w:sz="1"/>
            </w:tcBorders>
            <w:shd w:fill="0D1B3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SSV Rule</w:t>
            </w:r>
          </w:p>
        </w:tc>
        <w:tc>
          <w:tcPr>
            <w:tcW w:type="dxa" w:w="2800"/>
            <w:tcBorders>
              <w:top w:val="single" w:color="E2E8F0" w:sz="1"/>
              <w:left w:val="single" w:color="E2E8F0" w:sz="1"/>
              <w:bottom w:val="single" w:color="E2E8F0" w:sz="1"/>
              <w:right w:val="single" w:color="E2E8F0" w:sz="1"/>
            </w:tcBorders>
            <w:shd w:fill="0D1B3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Requirement</w:t>
            </w:r>
          </w:p>
        </w:tc>
        <w:tc>
          <w:tcPr>
            <w:tcW w:type="dxa" w:w="5146"/>
            <w:tcBorders>
              <w:top w:val="single" w:color="E2E8F0" w:sz="1"/>
              <w:left w:val="single" w:color="E2E8F0" w:sz="1"/>
              <w:bottom w:val="single" w:color="E2E8F0" w:sz="1"/>
              <w:right w:val="single" w:color="E2E8F0" w:sz="1"/>
            </w:tcBorders>
            <w:shd w:fill="0D1B3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SportPortal Implementation</w:t>
            </w:r>
          </w:p>
        </w:tc>
      </w:tr>
      <w:tr>
        <w:tc>
          <w:tcPr>
            <w:tcW w:type="dxa" w:w="1800"/>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Age calculation</w:t>
            </w:r>
          </w:p>
        </w:tc>
        <w:tc>
          <w:tcPr>
            <w:tcW w:type="dxa" w:w="2800"/>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Age as at 31 December in the year of competition</w:t>
            </w:r>
          </w:p>
        </w:tc>
        <w:tc>
          <w:tcPr>
            <w:tcW w:type="dxa" w:w="5146"/>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DOB stored; age calculated as at 31 Dec — matches SSV rule exactly</w:t>
            </w:r>
          </w:p>
        </w:tc>
      </w:tr>
      <w:tr>
        <w:tc>
          <w:tcPr>
            <w:tcW w:type="dxa" w:w="18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Primary age groups</w:t>
            </w:r>
          </w:p>
        </w:tc>
        <w:tc>
          <w:tcPr>
            <w:tcW w:type="dxa" w:w="28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9/10 yrs, 11 yrs, 12/13 yrs</w:t>
            </w:r>
          </w:p>
        </w:tc>
        <w:tc>
          <w:tcPr>
            <w:tcW w:type="dxa" w:w="5146"/>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Auto-assigned from DOB at time of carnival entry</w:t>
            </w:r>
          </w:p>
        </w:tc>
      </w:tr>
      <w:tr>
        <w:tc>
          <w:tcPr>
            <w:tcW w:type="dxa" w:w="1800"/>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Eligibility floor</w:t>
            </w:r>
          </w:p>
        </w:tc>
        <w:tc>
          <w:tcPr>
            <w:tcW w:type="dxa" w:w="2800"/>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Students turning 8 in year of competition are ineligible</w:t>
            </w:r>
          </w:p>
        </w:tc>
        <w:tc>
          <w:tcPr>
            <w:tcW w:type="dxa" w:w="5146"/>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Flagged automatically; coordinator alerted before draw</w:t>
            </w:r>
          </w:p>
        </w:tc>
      </w:tr>
      <w:tr>
        <w:tc>
          <w:tcPr>
            <w:tcW w:type="dxa" w:w="18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Enrollment</w:t>
            </w:r>
          </w:p>
        </w:tc>
        <w:tc>
          <w:tcPr>
            <w:tcW w:type="dxa" w:w="28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Must be enrolled at SSV Full or Associate member school</w:t>
            </w:r>
          </w:p>
        </w:tc>
        <w:tc>
          <w:tcPr>
            <w:tcW w:type="dxa" w:w="5146"/>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School membership confirmed at account setup</w:t>
            </w:r>
          </w:p>
        </w:tc>
      </w:tr>
      <w:tr>
        <w:tc>
          <w:tcPr>
            <w:tcW w:type="dxa" w:w="1800"/>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Results publication</w:t>
            </w:r>
          </w:p>
        </w:tc>
        <w:tc>
          <w:tcPr>
            <w:tcW w:type="dxa" w:w="2800"/>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First name, last name, school published by SSV</w:t>
            </w:r>
          </w:p>
        </w:tc>
        <w:tc>
          <w:tcPr>
            <w:tcW w:type="dxa" w:w="5146"/>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Platform uses first name + last initial only (more conservative than SSV minimum)</w:t>
            </w:r>
          </w:p>
        </w:tc>
      </w:tr>
    </w:tbl>
    <w:p>
      <w:pPr>
        <w:spacing w:after="0" w:before="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309" w:sz="8"/>
              <w:left w:val="single" w:color="B45309" w:sz="8"/>
              <w:bottom w:val="single" w:color="E2E8F0" w:sz="1"/>
              <w:right w:val="single" w:color="E2E8F0" w:sz="1"/>
            </w:tcBorders>
            <w:shd w:fill="FFFBEB" w:val="clear"/>
            <w:tcMar>
              <w:top w:type="dxa" w:w="140"/>
              <w:left w:type="dxa" w:w="200"/>
              <w:bottom w:type="dxa" w:w="140"/>
              <w:right w:type="dxa" w:w="200"/>
            </w:tcMar>
          </w:tcPr>
          <w:p>
            <w:r>
              <w:rPr>
                <w:rFonts w:ascii="Arial" w:cs="Arial" w:eastAsia="Arial" w:hAnsi="Arial"/>
                <w:b/>
                <w:bCs/>
                <w:color w:val="B45309"/>
                <w:sz w:val="20"/>
                <w:szCs w:val="20"/>
              </w:rPr>
              <w:t xml:space="preserve">HEALTH RECORDS ACT 2001 (VIC)</w:t>
            </w:r>
          </w:p>
          <w:p>
            <w:pPr>
              <w:spacing w:after="0" w:before="40"/>
            </w:pPr>
            <w:r>
              <w:rPr>
                <w:rFonts w:ascii="Arial" w:cs="Arial" w:eastAsia="Arial" w:hAnsi="Arial"/>
                <w:color w:val="0D1B3E"/>
                <w:sz w:val="21"/>
                <w:szCs w:val="21"/>
              </w:rPr>
              <w:t xml:space="preserve">Emergency contact and medical notes are collected for duty-of-care purposes (transport and carnival management). These are treated as health information under the Health Records Act 2001 (Vic) and its Health Privacy Principles. They are stored encrypted, never publicly displayed, accessible only to the relevant school's signed-in staff, and deleted on school request.</w:t>
            </w:r>
          </w:p>
        </w:tc>
      </w:tr>
    </w:tbl>
    <w:p>
      <w:pPr>
        <w:spacing w:after="0" w:before="200"/>
      </w:pPr>
    </w:p>
    <w:p>
      <w:r>
        <w:br w:type="page"/>
      </w:r>
    </w:p>
    <w:p>
      <w:pPr>
        <w:pStyle w:val="Heading1"/>
      </w:pPr>
      <w:r>
        <w:rPr>
          <w:rFonts w:ascii="Arial" w:cs="Arial" w:eastAsia="Arial" w:hAnsi="Arial"/>
          <w:b/>
          <w:bCs/>
          <w:color w:val="0D1B3E"/>
          <w:sz w:val="36"/>
          <w:szCs w:val="36"/>
        </w:rPr>
        <w:t xml:space="preserve">Part 6 — Pricing and Return on Investment</w:t>
      </w:r>
    </w:p>
    <w:p>
      <w:pPr>
        <w:pBdr>
          <w:bottom w:val="single" w:color="1A56DB" w:sz="8"/>
        </w:pBdr>
        <w:spacing w:after="80" w:before="80"/>
      </w:pPr>
    </w:p>
    <w:p>
      <w:pPr>
        <w:spacing w:after="0" w:before="80"/>
      </w:pPr>
    </w:p>
    <w:p>
      <w:pPr>
        <w:pStyle w:val="Heading2"/>
      </w:pPr>
      <w:r>
        <w:rPr>
          <w:rFonts w:ascii="Arial" w:cs="Arial" w:eastAsia="Arial" w:hAnsi="Arial"/>
          <w:b/>
          <w:bCs/>
          <w:color w:val="1A56DB"/>
          <w:sz w:val="28"/>
          <w:szCs w:val="28"/>
        </w:rPr>
        <w:t xml:space="preserve">The Numbers Are Embarrassing in Your Favour</w:t>
      </w:r>
    </w:p>
    <w:p>
      <w:pPr>
        <w:spacing w:after="120" w:before="0"/>
      </w:pPr>
      <w:r>
        <w:rPr>
          <w:rFonts w:ascii="Arial" w:cs="Arial" w:eastAsia="Arial" w:hAnsi="Arial"/>
          <w:b w:val="false"/>
          <w:bCs w:val="false"/>
          <w:i w:val="false"/>
          <w:iCs w:val="false"/>
          <w:color w:val="0D1B3E"/>
          <w:sz w:val="22"/>
          <w:szCs w:val="22"/>
        </w:rPr>
        <w:t xml:space="preserve">The total annual admin cost for a division coordinator is $9,475 in CRT time. SportPortal costs $250 per year from 2027. That is a 37x return on investment — before counting external stakeholder hours, timing gate hire, or any other savings.</w:t>
      </w:r>
    </w:p>
    <w:p>
      <w:pPr>
        <w:spacing w:after="0" w:before="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400"/>
        <w:gridCol w:w="1800"/>
        <w:gridCol w:w="747"/>
      </w:tblGrid>
      <w:tr>
        <w:tc>
          <w:tcPr>
            <w:tcW w:type="dxa" w:w="2600"/>
            <w:tcBorders>
              <w:top w:val="single" w:color="E2E8F0" w:sz="1"/>
              <w:left w:val="single" w:color="E2E8F0" w:sz="1"/>
              <w:bottom w:val="single" w:color="E2E8F0" w:sz="1"/>
              <w:right w:val="single" w:color="E2E8F0" w:sz="1"/>
            </w:tcBorders>
            <w:shd w:fill="0D1B3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Role</w:t>
            </w:r>
          </w:p>
        </w:tc>
        <w:tc>
          <w:tcPr>
            <w:tcW w:type="dxa" w:w="2200"/>
            <w:tcBorders>
              <w:top w:val="single" w:color="E2E8F0" w:sz="1"/>
              <w:left w:val="single" w:color="E2E8F0" w:sz="1"/>
              <w:bottom w:val="single" w:color="E2E8F0" w:sz="1"/>
              <w:right w:val="single" w:color="E2E8F0" w:sz="1"/>
            </w:tcBorders>
            <w:shd w:fill="0D1B3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Annual Admin Cost (CRT)</w:t>
            </w:r>
          </w:p>
        </w:tc>
        <w:tc>
          <w:tcPr>
            <w:tcW w:type="dxa" w:w="2400"/>
            <w:tcBorders>
              <w:top w:val="single" w:color="E2E8F0" w:sz="1"/>
              <w:left w:val="single" w:color="E2E8F0" w:sz="1"/>
              <w:bottom w:val="single" w:color="E2E8F0" w:sz="1"/>
              <w:right w:val="single" w:color="E2E8F0" w:sz="1"/>
            </w:tcBorders>
            <w:shd w:fill="0D1B3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SportPortal Cost / yr (from 2027)</w:t>
            </w:r>
          </w:p>
        </w:tc>
        <w:tc>
          <w:tcPr>
            <w:tcW w:type="dxa" w:w="1800"/>
            <w:tcBorders>
              <w:top w:val="single" w:color="E2E8F0" w:sz="1"/>
              <w:left w:val="single" w:color="E2E8F0" w:sz="1"/>
              <w:bottom w:val="single" w:color="E2E8F0" w:sz="1"/>
              <w:right w:val="single" w:color="E2E8F0" w:sz="1"/>
            </w:tcBorders>
            <w:shd w:fill="0D1B3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Annual Saving</w:t>
            </w:r>
          </w:p>
        </w:tc>
        <w:tc>
          <w:tcPr>
            <w:tcW w:type="dxa" w:w="747"/>
            <w:tcBorders>
              <w:top w:val="single" w:color="E2E8F0" w:sz="1"/>
              <w:left w:val="single" w:color="E2E8F0" w:sz="1"/>
              <w:bottom w:val="single" w:color="E2E8F0" w:sz="1"/>
              <w:right w:val="single" w:color="E2E8F0" w:sz="1"/>
            </w:tcBorders>
            <w:shd w:fill="0D1B3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ROI</w:t>
            </w:r>
          </w:p>
        </w:tc>
      </w:tr>
      <w:tr>
        <w:tc>
          <w:tcPr>
            <w:tcW w:type="dxa" w:w="2600"/>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School (200 students avg)</w:t>
            </w:r>
          </w:p>
        </w:tc>
        <w:tc>
          <w:tcPr>
            <w:tcW w:type="dxa" w:w="2200"/>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right"/>
            </w:pPr>
            <w:r>
              <w:rPr>
                <w:rFonts w:ascii="Arial" w:cs="Arial" w:eastAsia="Arial" w:hAnsi="Arial"/>
                <w:b w:val="false"/>
                <w:bCs w:val="false"/>
                <w:i w:val="false"/>
                <w:iCs w:val="false"/>
                <w:color w:val="0D1B3E"/>
                <w:sz w:val="20"/>
                <w:szCs w:val="20"/>
              </w:rPr>
              <w:t xml:space="preserve">$3,620</w:t>
            </w:r>
          </w:p>
        </w:tc>
        <w:tc>
          <w:tcPr>
            <w:tcW w:type="dxa" w:w="2400"/>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right"/>
            </w:pPr>
            <w:r>
              <w:rPr>
                <w:rFonts w:ascii="Arial" w:cs="Arial" w:eastAsia="Arial" w:hAnsi="Arial"/>
                <w:b w:val="false"/>
                <w:bCs w:val="false"/>
                <w:i w:val="false"/>
                <w:iCs w:val="false"/>
                <w:color w:val="0D1B3E"/>
                <w:sz w:val="20"/>
                <w:szCs w:val="20"/>
              </w:rPr>
              <w:t xml:space="preserve">$200 ($1/student)</w:t>
            </w:r>
          </w:p>
        </w:tc>
        <w:tc>
          <w:tcPr>
            <w:tcW w:type="dxa" w:w="1800"/>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right"/>
            </w:pPr>
            <w:r>
              <w:rPr>
                <w:rFonts w:ascii="Arial" w:cs="Arial" w:eastAsia="Arial" w:hAnsi="Arial"/>
                <w:b w:val="false"/>
                <w:bCs w:val="false"/>
                <w:i w:val="false"/>
                <w:iCs w:val="false"/>
                <w:color w:val="0D1B3E"/>
                <w:sz w:val="20"/>
                <w:szCs w:val="20"/>
              </w:rPr>
              <w:t xml:space="preserve">$3,420</w:t>
            </w:r>
          </w:p>
        </w:tc>
        <w:tc>
          <w:tcPr>
            <w:tcW w:type="dxa" w:w="747"/>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right"/>
            </w:pPr>
            <w:r>
              <w:rPr>
                <w:rFonts w:ascii="Arial" w:cs="Arial" w:eastAsia="Arial" w:hAnsi="Arial"/>
                <w:b w:val="false"/>
                <w:bCs w:val="false"/>
                <w:i w:val="false"/>
                <w:iCs w:val="false"/>
                <w:color w:val="0D1B3E"/>
                <w:sz w:val="20"/>
                <w:szCs w:val="20"/>
              </w:rPr>
              <w:t xml:space="preserve">17x</w:t>
            </w:r>
          </w:p>
        </w:tc>
      </w:tr>
      <w:tr>
        <w:tc>
          <w:tcPr>
            <w:tcW w:type="dxa" w:w="26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District Coordinator</w:t>
            </w:r>
          </w:p>
        </w:tc>
        <w:tc>
          <w:tcPr>
            <w:tcW w:type="dxa" w:w="22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vAlign w:val="top"/>
          </w:tcPr>
          <w:p>
            <w:pPr>
              <w:jc w:val="right"/>
            </w:pPr>
            <w:r>
              <w:rPr>
                <w:rFonts w:ascii="Arial" w:cs="Arial" w:eastAsia="Arial" w:hAnsi="Arial"/>
                <w:b w:val="false"/>
                <w:bCs w:val="false"/>
                <w:i w:val="false"/>
                <w:iCs w:val="false"/>
                <w:color w:val="0D1B3E"/>
                <w:sz w:val="20"/>
                <w:szCs w:val="20"/>
              </w:rPr>
              <w:t xml:space="preserve">$7,984</w:t>
            </w:r>
          </w:p>
        </w:tc>
        <w:tc>
          <w:tcPr>
            <w:tcW w:type="dxa" w:w="24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vAlign w:val="top"/>
          </w:tcPr>
          <w:p>
            <w:pPr>
              <w:jc w:val="right"/>
            </w:pPr>
            <w:r>
              <w:rPr>
                <w:rFonts w:ascii="Arial" w:cs="Arial" w:eastAsia="Arial" w:hAnsi="Arial"/>
                <w:b w:val="false"/>
                <w:bCs w:val="false"/>
                <w:i w:val="false"/>
                <w:iCs w:val="false"/>
                <w:color w:val="0D1B3E"/>
                <w:sz w:val="20"/>
                <w:szCs w:val="20"/>
              </w:rPr>
              <w:t xml:space="preserve">$150</w:t>
            </w:r>
          </w:p>
        </w:tc>
        <w:tc>
          <w:tcPr>
            <w:tcW w:type="dxa" w:w="18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vAlign w:val="top"/>
          </w:tcPr>
          <w:p>
            <w:pPr>
              <w:jc w:val="right"/>
            </w:pPr>
            <w:r>
              <w:rPr>
                <w:rFonts w:ascii="Arial" w:cs="Arial" w:eastAsia="Arial" w:hAnsi="Arial"/>
                <w:b w:val="false"/>
                <w:bCs w:val="false"/>
                <w:i w:val="false"/>
                <w:iCs w:val="false"/>
                <w:color w:val="0D1B3E"/>
                <w:sz w:val="20"/>
                <w:szCs w:val="20"/>
              </w:rPr>
              <w:t xml:space="preserve">$7,834</w:t>
            </w:r>
          </w:p>
        </w:tc>
        <w:tc>
          <w:tcPr>
            <w:tcW w:type="dxa" w:w="747"/>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vAlign w:val="top"/>
          </w:tcPr>
          <w:p>
            <w:pPr>
              <w:jc w:val="right"/>
            </w:pPr>
            <w:r>
              <w:rPr>
                <w:rFonts w:ascii="Arial" w:cs="Arial" w:eastAsia="Arial" w:hAnsi="Arial"/>
                <w:b w:val="false"/>
                <w:bCs w:val="false"/>
                <w:i w:val="false"/>
                <w:iCs w:val="false"/>
                <w:color w:val="0D1B3E"/>
                <w:sz w:val="20"/>
                <w:szCs w:val="20"/>
              </w:rPr>
              <w:t xml:space="preserve">52x</w:t>
            </w:r>
          </w:p>
        </w:tc>
      </w:tr>
      <w:tr>
        <w:tc>
          <w:tcPr>
            <w:tcW w:type="dxa" w:w="2600"/>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Division Coordinator</w:t>
            </w:r>
          </w:p>
        </w:tc>
        <w:tc>
          <w:tcPr>
            <w:tcW w:type="dxa" w:w="2200"/>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right"/>
            </w:pPr>
            <w:r>
              <w:rPr>
                <w:rFonts w:ascii="Arial" w:cs="Arial" w:eastAsia="Arial" w:hAnsi="Arial"/>
                <w:b w:val="false"/>
                <w:bCs w:val="false"/>
                <w:i w:val="false"/>
                <w:iCs w:val="false"/>
                <w:color w:val="0D1B3E"/>
                <w:sz w:val="20"/>
                <w:szCs w:val="20"/>
              </w:rPr>
              <w:t xml:space="preserve">$9,475</w:t>
            </w:r>
          </w:p>
        </w:tc>
        <w:tc>
          <w:tcPr>
            <w:tcW w:type="dxa" w:w="2400"/>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right"/>
            </w:pPr>
            <w:r>
              <w:rPr>
                <w:rFonts w:ascii="Arial" w:cs="Arial" w:eastAsia="Arial" w:hAnsi="Arial"/>
                <w:b w:val="false"/>
                <w:bCs w:val="false"/>
                <w:i w:val="false"/>
                <w:iCs w:val="false"/>
                <w:color w:val="0D1B3E"/>
                <w:sz w:val="20"/>
                <w:szCs w:val="20"/>
              </w:rPr>
              <w:t xml:space="preserve">$250</w:t>
            </w:r>
          </w:p>
        </w:tc>
        <w:tc>
          <w:tcPr>
            <w:tcW w:type="dxa" w:w="1800"/>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right"/>
            </w:pPr>
            <w:r>
              <w:rPr>
                <w:rFonts w:ascii="Arial" w:cs="Arial" w:eastAsia="Arial" w:hAnsi="Arial"/>
                <w:b w:val="false"/>
                <w:bCs w:val="false"/>
                <w:i w:val="false"/>
                <w:iCs w:val="false"/>
                <w:color w:val="0D1B3E"/>
                <w:sz w:val="20"/>
                <w:szCs w:val="20"/>
              </w:rPr>
              <w:t xml:space="preserve">$9,225</w:t>
            </w:r>
          </w:p>
        </w:tc>
        <w:tc>
          <w:tcPr>
            <w:tcW w:type="dxa" w:w="747"/>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right"/>
            </w:pPr>
            <w:r>
              <w:rPr>
                <w:rFonts w:ascii="Arial" w:cs="Arial" w:eastAsia="Arial" w:hAnsi="Arial"/>
                <w:b w:val="false"/>
                <w:bCs w:val="false"/>
                <w:i w:val="false"/>
                <w:iCs w:val="false"/>
                <w:color w:val="0D1B3E"/>
                <w:sz w:val="20"/>
                <w:szCs w:val="20"/>
              </w:rPr>
              <w:t xml:space="preserve">37x</w:t>
            </w:r>
          </w:p>
        </w:tc>
      </w:tr>
      <w:tr>
        <w:tc>
          <w:tcPr>
            <w:tcW w:type="dxa" w:w="26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Region Coordinator</w:t>
            </w:r>
          </w:p>
        </w:tc>
        <w:tc>
          <w:tcPr>
            <w:tcW w:type="dxa" w:w="22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vAlign w:val="top"/>
          </w:tcPr>
          <w:p>
            <w:pPr>
              <w:jc w:val="right"/>
            </w:pPr>
            <w:r>
              <w:rPr>
                <w:rFonts w:ascii="Arial" w:cs="Arial" w:eastAsia="Arial" w:hAnsi="Arial"/>
                <w:b w:val="false"/>
                <w:bCs w:val="false"/>
                <w:i w:val="false"/>
                <w:iCs w:val="false"/>
                <w:color w:val="0D1B3E"/>
                <w:sz w:val="20"/>
                <w:szCs w:val="20"/>
              </w:rPr>
              <w:t xml:space="preserve">$12,349</w:t>
            </w:r>
          </w:p>
        </w:tc>
        <w:tc>
          <w:tcPr>
            <w:tcW w:type="dxa" w:w="24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vAlign w:val="top"/>
          </w:tcPr>
          <w:p>
            <w:pPr>
              <w:jc w:val="right"/>
            </w:pPr>
            <w:r>
              <w:rPr>
                <w:rFonts w:ascii="Arial" w:cs="Arial" w:eastAsia="Arial" w:hAnsi="Arial"/>
                <w:b w:val="false"/>
                <w:bCs w:val="false"/>
                <w:i w:val="false"/>
                <w:iCs w:val="false"/>
                <w:color w:val="0D1B3E"/>
                <w:sz w:val="20"/>
                <w:szCs w:val="20"/>
              </w:rPr>
              <w:t xml:space="preserve">$500</w:t>
            </w:r>
          </w:p>
        </w:tc>
        <w:tc>
          <w:tcPr>
            <w:tcW w:type="dxa" w:w="18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vAlign w:val="top"/>
          </w:tcPr>
          <w:p>
            <w:pPr>
              <w:jc w:val="right"/>
            </w:pPr>
            <w:r>
              <w:rPr>
                <w:rFonts w:ascii="Arial" w:cs="Arial" w:eastAsia="Arial" w:hAnsi="Arial"/>
                <w:b w:val="false"/>
                <w:bCs w:val="false"/>
                <w:i w:val="false"/>
                <w:iCs w:val="false"/>
                <w:color w:val="0D1B3E"/>
                <w:sz w:val="20"/>
                <w:szCs w:val="20"/>
              </w:rPr>
              <w:t xml:space="preserve">$11,849</w:t>
            </w:r>
          </w:p>
        </w:tc>
        <w:tc>
          <w:tcPr>
            <w:tcW w:type="dxa" w:w="747"/>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vAlign w:val="top"/>
          </w:tcPr>
          <w:p>
            <w:pPr>
              <w:jc w:val="right"/>
            </w:pPr>
            <w:r>
              <w:rPr>
                <w:rFonts w:ascii="Arial" w:cs="Arial" w:eastAsia="Arial" w:hAnsi="Arial"/>
                <w:b w:val="false"/>
                <w:bCs w:val="false"/>
                <w:i w:val="false"/>
                <w:iCs w:val="false"/>
                <w:color w:val="0D1B3E"/>
                <w:sz w:val="20"/>
                <w:szCs w:val="20"/>
              </w:rPr>
              <w:t xml:space="preserve">24x</w:t>
            </w:r>
          </w:p>
        </w:tc>
      </w:tr>
    </w:tbl>
    <w:p>
      <w:pPr>
        <w:spacing w:after="0" w:before="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309" w:sz="8"/>
              <w:left w:val="single" w:color="B45309" w:sz="8"/>
              <w:bottom w:val="single" w:color="E2E8F0" w:sz="1"/>
              <w:right w:val="single" w:color="E2E8F0" w:sz="1"/>
            </w:tcBorders>
            <w:shd w:fill="FFFBEB" w:val="clear"/>
            <w:tcMar>
              <w:top w:type="dxa" w:w="140"/>
              <w:left w:type="dxa" w:w="200"/>
              <w:bottom w:type="dxa" w:w="140"/>
              <w:right w:type="dxa" w:w="200"/>
            </w:tcMar>
          </w:tcPr>
          <w:p>
            <w:r>
              <w:rPr>
                <w:rFonts w:ascii="Arial" w:cs="Arial" w:eastAsia="Arial" w:hAnsi="Arial"/>
                <w:b/>
                <w:bCs/>
                <w:color w:val="B45309"/>
                <w:sz w:val="20"/>
                <w:szCs w:val="20"/>
              </w:rPr>
              <w:t xml:space="preserve">EVERYTHING FREE IN 2026</w:t>
            </w:r>
          </w:p>
          <w:p>
            <w:pPr>
              <w:spacing w:after="0" w:before="40"/>
            </w:pPr>
            <w:r>
              <w:rPr>
                <w:rFonts w:ascii="Arial" w:cs="Arial" w:eastAsia="Arial" w:hAnsi="Arial"/>
                <w:color w:val="0D1B3E"/>
                <w:sz w:val="21"/>
                <w:szCs w:val="21"/>
              </w:rPr>
              <w:t xml:space="preserve">All coordinator tiers (district $150/yr, division $250/yr, region $500/yr) are free for any coordinator who signs up in 2026. School setup fees are waived. Only the $1/student annual licence applies — locked in at that rate regardless of when you joined.</w:t>
            </w:r>
          </w:p>
        </w:tc>
      </w:tr>
    </w:tbl>
    <w:p>
      <w:pPr>
        <w:spacing w:after="0" w:before="200"/>
      </w:pPr>
    </w:p>
    <w:p>
      <w:pPr>
        <w:pStyle w:val="Heading1"/>
      </w:pPr>
      <w:r>
        <w:rPr>
          <w:rFonts w:ascii="Arial" w:cs="Arial" w:eastAsia="Arial" w:hAnsi="Arial"/>
          <w:b/>
          <w:bCs/>
          <w:color w:val="0D1B3E"/>
          <w:sz w:val="36"/>
          <w:szCs w:val="36"/>
        </w:rPr>
        <w:t xml:space="preserve">Part 7 — Five-Year Growth Model</w:t>
      </w:r>
    </w:p>
    <w:p>
      <w:pPr>
        <w:pBdr>
          <w:bottom w:val="single" w:color="1A56DB" w:sz="8"/>
        </w:pBdr>
        <w:spacing w:after="80" w:before="80"/>
      </w:pPr>
    </w:p>
    <w:p>
      <w:pPr>
        <w:spacing w:after="0" w:before="80"/>
      </w:pPr>
    </w:p>
    <w:p>
      <w:pPr>
        <w:spacing w:after="100" w:before="0"/>
      </w:pPr>
      <w:r>
        <w:rPr>
          <w:rFonts w:ascii="Arial" w:cs="Arial" w:eastAsia="Arial" w:hAnsi="Arial"/>
          <w:b w:val="false"/>
          <w:bCs w:val="false"/>
          <w:i w:val="false"/>
          <w:iCs w:val="false"/>
          <w:color w:val="0D1B3E"/>
          <w:sz w:val="22"/>
          <w:szCs w:val="22"/>
        </w:rPr>
        <w:t xml:space="preserve">Based on $1/student/yr schools, $150/yr districts, $250/yr divisions, $500/yr regions (all coordinator tiers free in 2026):</w:t>
      </w:r>
    </w:p>
    <w:p>
      <w:pPr>
        <w:spacing w:after="0" w:before="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60"/>
        <w:gridCol w:w="3200"/>
        <w:gridCol w:w="900"/>
        <w:gridCol w:w="1000"/>
        <w:gridCol w:w="1200"/>
        <w:gridCol w:w="2686"/>
      </w:tblGrid>
      <w:tr>
        <w:tc>
          <w:tcPr>
            <w:tcW w:type="dxa" w:w="760"/>
            <w:tcBorders>
              <w:top w:val="single" w:color="E2E8F0" w:sz="1"/>
              <w:left w:val="single" w:color="E2E8F0" w:sz="1"/>
              <w:bottom w:val="single" w:color="E2E8F0" w:sz="1"/>
              <w:right w:val="single" w:color="E2E8F0" w:sz="1"/>
            </w:tcBorders>
            <w:shd w:fill="0D1B3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Year</w:t>
            </w:r>
          </w:p>
        </w:tc>
        <w:tc>
          <w:tcPr>
            <w:tcW w:type="dxa" w:w="3200"/>
            <w:tcBorders>
              <w:top w:val="single" w:color="E2E8F0" w:sz="1"/>
              <w:left w:val="single" w:color="E2E8F0" w:sz="1"/>
              <w:bottom w:val="single" w:color="E2E8F0" w:sz="1"/>
              <w:right w:val="single" w:color="E2E8F0" w:sz="1"/>
            </w:tcBorders>
            <w:shd w:fill="0D1B3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Scope</w:t>
            </w:r>
          </w:p>
        </w:tc>
        <w:tc>
          <w:tcPr>
            <w:tcW w:type="dxa" w:w="900"/>
            <w:tcBorders>
              <w:top w:val="single" w:color="E2E8F0" w:sz="1"/>
              <w:left w:val="single" w:color="E2E8F0" w:sz="1"/>
              <w:bottom w:val="single" w:color="E2E8F0" w:sz="1"/>
              <w:right w:val="single" w:color="E2E8F0" w:sz="1"/>
            </w:tcBorders>
            <w:shd w:fill="0D1B3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Schools</w:t>
            </w:r>
          </w:p>
        </w:tc>
        <w:tc>
          <w:tcPr>
            <w:tcW w:type="dxa" w:w="1000"/>
            <w:tcBorders>
              <w:top w:val="single" w:color="E2E8F0" w:sz="1"/>
              <w:left w:val="single" w:color="E2E8F0" w:sz="1"/>
              <w:bottom w:val="single" w:color="E2E8F0" w:sz="1"/>
              <w:right w:val="single" w:color="E2E8F0" w:sz="1"/>
            </w:tcBorders>
            <w:shd w:fill="0D1B3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Districts</w:t>
            </w:r>
          </w:p>
        </w:tc>
        <w:tc>
          <w:tcPr>
            <w:tcW w:type="dxa" w:w="1200"/>
            <w:tcBorders>
              <w:top w:val="single" w:color="E2E8F0" w:sz="1"/>
              <w:left w:val="single" w:color="E2E8F0" w:sz="1"/>
              <w:bottom w:val="single" w:color="E2E8F0" w:sz="1"/>
              <w:right w:val="single" w:color="E2E8F0" w:sz="1"/>
            </w:tcBorders>
            <w:shd w:fill="0D1B3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Divisions</w:t>
            </w:r>
          </w:p>
        </w:tc>
        <w:tc>
          <w:tcPr>
            <w:tcW w:type="dxa" w:w="2686"/>
            <w:tcBorders>
              <w:top w:val="single" w:color="E2E8F0" w:sz="1"/>
              <w:left w:val="single" w:color="E2E8F0" w:sz="1"/>
              <w:bottom w:val="single" w:color="E2E8F0" w:sz="1"/>
              <w:right w:val="single" w:color="E2E8F0" w:sz="1"/>
            </w:tcBorders>
            <w:shd w:fill="0D1B3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Projected ARR</w:t>
            </w:r>
          </w:p>
        </w:tc>
      </w:tr>
      <w:tr>
        <w:tc>
          <w:tcPr>
            <w:tcW w:type="dxa" w:w="760"/>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2026</w:t>
            </w:r>
          </w:p>
        </w:tc>
        <w:tc>
          <w:tcPr>
            <w:tcW w:type="dxa" w:w="3200"/>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Pilot — Hobsons Bay + 2 divisions</w:t>
            </w:r>
          </w:p>
        </w:tc>
        <w:tc>
          <w:tcPr>
            <w:tcW w:type="dxa" w:w="900"/>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~200</w:t>
            </w:r>
          </w:p>
        </w:tc>
        <w:tc>
          <w:tcPr>
            <w:tcW w:type="dxa" w:w="1000"/>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15</w:t>
            </w:r>
          </w:p>
        </w:tc>
        <w:tc>
          <w:tcPr>
            <w:tcW w:type="dxa" w:w="1200"/>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3</w:t>
            </w:r>
          </w:p>
        </w:tc>
        <w:tc>
          <w:tcPr>
            <w:tcW w:type="dxa" w:w="2686"/>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right"/>
            </w:pPr>
            <w:r>
              <w:rPr>
                <w:rFonts w:ascii="Arial" w:cs="Arial" w:eastAsia="Arial" w:hAnsi="Arial"/>
                <w:b w:val="false"/>
                <w:bCs w:val="false"/>
                <w:i w:val="false"/>
                <w:iCs w:val="false"/>
                <w:color w:val="0D1B3E"/>
                <w:sz w:val="20"/>
                <w:szCs w:val="20"/>
              </w:rPr>
              <w:t xml:space="preserve">$32,000</w:t>
            </w:r>
          </w:p>
        </w:tc>
      </w:tr>
      <w:tr>
        <w:tc>
          <w:tcPr>
            <w:tcW w:type="dxa" w:w="76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2027</w:t>
            </w:r>
          </w:p>
        </w:tc>
        <w:tc>
          <w:tcPr>
            <w:tcW w:type="dxa" w:w="32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3 regions, 10 divisions, 50 districts</w:t>
            </w:r>
          </w:p>
        </w:tc>
        <w:tc>
          <w:tcPr>
            <w:tcW w:type="dxa" w:w="9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~500</w:t>
            </w:r>
          </w:p>
        </w:tc>
        <w:tc>
          <w:tcPr>
            <w:tcW w:type="dxa" w:w="10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50</w:t>
            </w:r>
          </w:p>
        </w:tc>
        <w:tc>
          <w:tcPr>
            <w:tcW w:type="dxa" w:w="12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10</w:t>
            </w:r>
          </w:p>
        </w:tc>
        <w:tc>
          <w:tcPr>
            <w:tcW w:type="dxa" w:w="2686"/>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vAlign w:val="top"/>
          </w:tcPr>
          <w:p>
            <w:pPr>
              <w:jc w:val="right"/>
            </w:pPr>
            <w:r>
              <w:rPr>
                <w:rFonts w:ascii="Arial" w:cs="Arial" w:eastAsia="Arial" w:hAnsi="Arial"/>
                <w:b w:val="false"/>
                <w:bCs w:val="false"/>
                <w:i w:val="false"/>
                <w:iCs w:val="false"/>
                <w:color w:val="0D1B3E"/>
                <w:sz w:val="20"/>
                <w:szCs w:val="20"/>
              </w:rPr>
              <w:t xml:space="preserve">$89,000</w:t>
            </w:r>
          </w:p>
        </w:tc>
      </w:tr>
      <w:tr>
        <w:tc>
          <w:tcPr>
            <w:tcW w:type="dxa" w:w="760"/>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2028</w:t>
            </w:r>
          </w:p>
        </w:tc>
        <w:tc>
          <w:tcPr>
            <w:tcW w:type="dxa" w:w="3200"/>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8 regions, 28 divisions, 120 districts</w:t>
            </w:r>
          </w:p>
        </w:tc>
        <w:tc>
          <w:tcPr>
            <w:tcW w:type="dxa" w:w="900"/>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~900</w:t>
            </w:r>
          </w:p>
        </w:tc>
        <w:tc>
          <w:tcPr>
            <w:tcW w:type="dxa" w:w="1000"/>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120</w:t>
            </w:r>
          </w:p>
        </w:tc>
        <w:tc>
          <w:tcPr>
            <w:tcW w:type="dxa" w:w="1200"/>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28</w:t>
            </w:r>
          </w:p>
        </w:tc>
        <w:tc>
          <w:tcPr>
            <w:tcW w:type="dxa" w:w="2686"/>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right"/>
            </w:pPr>
            <w:r>
              <w:rPr>
                <w:rFonts w:ascii="Arial" w:cs="Arial" w:eastAsia="Arial" w:hAnsi="Arial"/>
                <w:b w:val="false"/>
                <w:bCs w:val="false"/>
                <w:i w:val="false"/>
                <w:iCs w:val="false"/>
                <w:color w:val="0D1B3E"/>
                <w:sz w:val="20"/>
                <w:szCs w:val="20"/>
              </w:rPr>
              <w:t xml:space="preserve">$171,000</w:t>
            </w:r>
          </w:p>
        </w:tc>
      </w:tr>
      <w:tr>
        <w:tc>
          <w:tcPr>
            <w:tcW w:type="dxa" w:w="76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2029</w:t>
            </w:r>
          </w:p>
        </w:tc>
        <w:tc>
          <w:tcPr>
            <w:tcW w:type="dxa" w:w="32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Statewide VIC — 55 divisions, 232 districts</w:t>
            </w:r>
          </w:p>
        </w:tc>
        <w:tc>
          <w:tcPr>
            <w:tcW w:type="dxa" w:w="9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~1,400</w:t>
            </w:r>
          </w:p>
        </w:tc>
        <w:tc>
          <w:tcPr>
            <w:tcW w:type="dxa" w:w="10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200</w:t>
            </w:r>
          </w:p>
        </w:tc>
        <w:tc>
          <w:tcPr>
            <w:tcW w:type="dxa" w:w="12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50</w:t>
            </w:r>
          </w:p>
        </w:tc>
        <w:tc>
          <w:tcPr>
            <w:tcW w:type="dxa" w:w="2686"/>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vAlign w:val="top"/>
          </w:tcPr>
          <w:p>
            <w:pPr>
              <w:jc w:val="right"/>
            </w:pPr>
            <w:r>
              <w:rPr>
                <w:rFonts w:ascii="Arial" w:cs="Arial" w:eastAsia="Arial" w:hAnsi="Arial"/>
                <w:b w:val="false"/>
                <w:bCs w:val="false"/>
                <w:i w:val="false"/>
                <w:iCs w:val="false"/>
                <w:color w:val="0D1B3E"/>
                <w:sz w:val="20"/>
                <w:szCs w:val="20"/>
              </w:rPr>
              <w:t xml:space="preserve">$280,500</w:t>
            </w:r>
          </w:p>
        </w:tc>
      </w:tr>
      <w:tr>
        <w:tc>
          <w:tcPr>
            <w:tcW w:type="dxa" w:w="760"/>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2030</w:t>
            </w:r>
          </w:p>
        </w:tc>
        <w:tc>
          <w:tcPr>
            <w:tcW w:type="dxa" w:w="3200"/>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VIC lock-in + NSW / QLD pilot</w:t>
            </w:r>
          </w:p>
        </w:tc>
        <w:tc>
          <w:tcPr>
            <w:tcW w:type="dxa" w:w="900"/>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~1,600+</w:t>
            </w:r>
          </w:p>
        </w:tc>
        <w:tc>
          <w:tcPr>
            <w:tcW w:type="dxa" w:w="1000"/>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232+</w:t>
            </w:r>
          </w:p>
        </w:tc>
        <w:tc>
          <w:tcPr>
            <w:tcW w:type="dxa" w:w="1200"/>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left"/>
            </w:pPr>
            <w:r>
              <w:rPr>
                <w:rFonts w:ascii="Arial" w:cs="Arial" w:eastAsia="Arial" w:hAnsi="Arial"/>
                <w:b w:val="false"/>
                <w:bCs w:val="false"/>
                <w:i w:val="false"/>
                <w:iCs w:val="false"/>
                <w:color w:val="0D1B3E"/>
                <w:sz w:val="20"/>
                <w:szCs w:val="20"/>
              </w:rPr>
              <w:t xml:space="preserve">55+</w:t>
            </w:r>
          </w:p>
        </w:tc>
        <w:tc>
          <w:tcPr>
            <w:tcW w:type="dxa" w:w="2686"/>
            <w:tcBorders>
              <w:top w:val="single" w:color="E2E8F0" w:sz="1"/>
              <w:left w:val="single" w:color="E2E8F0" w:sz="1"/>
              <w:bottom w:val="single" w:color="E2E8F0" w:sz="1"/>
              <w:right w:val="single" w:color="E2E8F0" w:sz="1"/>
            </w:tcBorders>
            <w:tcMar>
              <w:top w:type="dxa" w:w="90"/>
              <w:left w:type="dxa" w:w="120"/>
              <w:bottom w:type="dxa" w:w="90"/>
              <w:right w:type="dxa" w:w="120"/>
            </w:tcMar>
            <w:vAlign w:val="top"/>
          </w:tcPr>
          <w:p>
            <w:pPr>
              <w:jc w:val="right"/>
            </w:pPr>
            <w:r>
              <w:rPr>
                <w:rFonts w:ascii="Arial" w:cs="Arial" w:eastAsia="Arial" w:hAnsi="Arial"/>
                <w:b w:val="false"/>
                <w:bCs w:val="false"/>
                <w:i w:val="false"/>
                <w:iCs w:val="false"/>
                <w:color w:val="0D1B3E"/>
                <w:sz w:val="20"/>
                <w:szCs w:val="20"/>
              </w:rPr>
              <w:t xml:space="preserve">$367,000–500,000</w:t>
            </w:r>
          </w:p>
        </w:tc>
      </w:tr>
    </w:tbl>
    <w:p>
      <w:pPr>
        <w:spacing w:after="0" w:before="80"/>
      </w:pPr>
    </w:p>
    <w:p>
      <w:pPr>
        <w:spacing w:after="80" w:before="80"/>
      </w:pPr>
      <w:r>
        <w:rPr>
          <w:rFonts w:ascii="Arial" w:cs="Arial" w:eastAsia="Arial" w:hAnsi="Arial"/>
          <w:b w:val="false"/>
          <w:bCs w:val="false"/>
          <w:i/>
          <w:iCs/>
          <w:color w:val="64748B"/>
          <w:sz w:val="20"/>
          <w:szCs w:val="20"/>
        </w:rPr>
        <w:t xml:space="preserve">Admin cost eliminated statewide by Year 4: $8,362,146 per year. SportPortal capture rate at full VIC penetration: under 4% of value created.</w:t>
      </w:r>
    </w:p>
    <w:p>
      <w:pPr>
        <w:spacing w:after="0" w:before="200"/>
      </w:pPr>
    </w:p>
    <w:p>
      <w:r>
        <w:br w:type="page"/>
      </w:r>
    </w:p>
    <w:p>
      <w:pPr>
        <w:pStyle w:val="Heading1"/>
      </w:pPr>
      <w:r>
        <w:rPr>
          <w:rFonts w:ascii="Arial" w:cs="Arial" w:eastAsia="Arial" w:hAnsi="Arial"/>
          <w:b/>
          <w:bCs/>
          <w:color w:val="0D1B3E"/>
          <w:sz w:val="36"/>
          <w:szCs w:val="36"/>
        </w:rPr>
        <w:t xml:space="preserve">Part 8 — Why Paddy Gallivan</w:t>
      </w:r>
    </w:p>
    <w:p>
      <w:pPr>
        <w:pBdr>
          <w:bottom w:val="single" w:color="1A56DB" w:sz="8"/>
        </w:pBdr>
        <w:spacing w:after="80" w:before="80"/>
      </w:pPr>
    </w:p>
    <w:p>
      <w:pPr>
        <w:spacing w:after="0" w:before="80"/>
      </w:pPr>
    </w:p>
    <w:p>
      <w:pPr>
        <w:spacing w:after="120" w:before="0"/>
      </w:pPr>
      <w:r>
        <w:rPr>
          <w:rFonts w:ascii="Arial" w:cs="Arial" w:eastAsia="Arial" w:hAnsi="Arial"/>
          <w:b/>
          <w:bCs/>
          <w:i w:val="false"/>
          <w:iCs w:val="false"/>
          <w:color w:val="0D1B3E"/>
          <w:sz w:val="26"/>
          <w:szCs w:val="26"/>
        </w:rPr>
        <w:t xml:space="preserve">SportPortal was not built by a tech company looking for a market. It was built by the person doing the work.</w:t>
      </w:r>
    </w:p>
    <w:p>
      <w:pPr>
        <w:spacing w:after="120" w:before="0"/>
      </w:pPr>
      <w:r>
        <w:rPr>
          <w:rFonts w:ascii="Arial" w:cs="Arial" w:eastAsia="Arial" w:hAnsi="Arial"/>
          <w:b w:val="false"/>
          <w:bCs w:val="false"/>
          <w:i w:val="false"/>
          <w:iCs w:val="false"/>
          <w:color w:val="0D1B3E"/>
          <w:sz w:val="22"/>
          <w:szCs w:val="22"/>
        </w:rPr>
        <w:t xml:space="preserve">Paddy Gallivan is a PE Teacher at Williamstown Primary School, the Williamstown District Coordinator, and the Hobsons Bay Division Coordinator. He personally sends all 33 email types documented in this report. He personally fills out all 8 transport documents per school. He personally holds the booking references to Wyndham Council (#BP8995), Maribyrnong Council (#14811), WynActive and Sports Aid. Every hour in this document is an hour he has spent.</w:t>
      </w:r>
    </w:p>
    <w:p>
      <w:pPr>
        <w:spacing w:after="120" w:before="0"/>
      </w:pPr>
      <w:r>
        <w:rPr>
          <w:rFonts w:ascii="Arial" w:cs="Arial" w:eastAsia="Arial" w:hAnsi="Arial"/>
          <w:b w:val="false"/>
          <w:bCs w:val="false"/>
          <w:i w:val="false"/>
          <w:iCs w:val="false"/>
          <w:color w:val="0D1B3E"/>
          <w:sz w:val="22"/>
          <w:szCs w:val="22"/>
        </w:rPr>
        <w:t xml:space="preserve">Every dollar calculated is a dollar he has watched evaporate from Victorian school sport. The platform exists because he built the solution he needed himself.</w:t>
      </w:r>
    </w:p>
    <w:p>
      <w:pPr>
        <w:spacing w:after="0" w:before="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66534" w:sz="8"/>
              <w:left w:val="single" w:color="166534" w:sz="8"/>
              <w:bottom w:val="single" w:color="E2E8F0" w:sz="1"/>
              <w:right w:val="single" w:color="E2E8F0" w:sz="1"/>
            </w:tcBorders>
            <w:shd w:fill="DCFCE7" w:val="clear"/>
            <w:tcMar>
              <w:top w:type="dxa" w:w="140"/>
              <w:left w:type="dxa" w:w="200"/>
              <w:bottom w:type="dxa" w:w="140"/>
              <w:right w:type="dxa" w:w="200"/>
            </w:tcMar>
          </w:tcPr>
          <w:p>
            <w:r>
              <w:rPr>
                <w:rFonts w:ascii="Arial" w:cs="Arial" w:eastAsia="Arial" w:hAnsi="Arial"/>
                <w:b/>
                <w:bCs/>
                <w:color w:val="166534"/>
                <w:sz w:val="20"/>
                <w:szCs w:val="20"/>
              </w:rPr>
              <w:t xml:space="preserve">BUILT FROM THE INSIDE</w:t>
            </w:r>
          </w:p>
          <w:p>
            <w:pPr>
              <w:spacing w:after="0" w:before="40"/>
            </w:pPr>
            <w:r>
              <w:rPr>
                <w:rFonts w:ascii="Arial" w:cs="Arial" w:eastAsia="Arial" w:hAnsi="Arial"/>
                <w:color w:val="0D1B3E"/>
                <w:sz w:val="21"/>
                <w:szCs w:val="21"/>
              </w:rPr>
              <w:t xml:space="preserve">The Williamstown District and Hobsons Bay Division pages are live right now at schoolsportportal.com.au. This is not a prototype — it is the real system, running Paddy’s actual carnivals, handling his actual students.</w:t>
            </w:r>
          </w:p>
        </w:tc>
      </w:tr>
    </w:tbl>
    <w:p>
      <w:pPr>
        <w:spacing w:after="0" w:before="200"/>
      </w:pPr>
    </w:p>
    <w:p>
      <w:pPr>
        <w:pStyle w:val="Heading1"/>
      </w:pPr>
      <w:r>
        <w:rPr>
          <w:rFonts w:ascii="Arial" w:cs="Arial" w:eastAsia="Arial" w:hAnsi="Arial"/>
          <w:b/>
          <w:bCs/>
          <w:color w:val="0D1B3E"/>
          <w:sz w:val="36"/>
          <w:szCs w:val="36"/>
        </w:rPr>
        <w:t xml:space="preserve">Get Started</w:t>
      </w:r>
    </w:p>
    <w:p>
      <w:pPr>
        <w:pBdr>
          <w:bottom w:val="single" w:color="1A56DB" w:sz="8"/>
        </w:pBdr>
        <w:spacing w:after="80" w:before="80"/>
      </w:pPr>
    </w:p>
    <w:p>
      <w:pPr>
        <w:spacing w:after="0" w:before="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48"/>
      </w:tblGrid>
      <w:tr>
        <w:tc>
          <w:tcPr>
            <w:tcW w:type="dxa" w:w="3248"/>
            <w:tcBorders>
              <w:top w:val="none" w:color="FFFFFF" w:sz="0"/>
              <w:left w:val="none" w:color="FFFFFF" w:sz="0"/>
              <w:bottom w:val="none" w:color="FFFFFF" w:sz="0"/>
              <w:right w:val="none" w:color="FFFFFF" w:sz="0"/>
            </w:tcBorders>
            <w:shd w:fill="EFF6FF" w:val="clear"/>
            <w:tcMar>
              <w:top w:type="dxa" w:w="160"/>
              <w:left w:type="dxa" w:w="160"/>
              <w:bottom w:type="dxa" w:w="160"/>
              <w:right w:type="dxa" w:w="160"/>
            </w:tcMar>
            <w:vAlign w:val="center"/>
          </w:tcPr>
          <w:p>
            <w:pPr>
              <w:jc w:val="center"/>
            </w:pPr>
            <w:r>
              <w:rPr>
                <w:rFonts w:ascii="Arial" w:cs="Arial" w:eastAsia="Arial" w:hAnsi="Arial"/>
                <w:b/>
                <w:bCs/>
                <w:color w:val="1A56DB"/>
                <w:sz w:val="52"/>
                <w:szCs w:val="52"/>
              </w:rPr>
              <w:t xml:space="preserve">$1</w:t>
            </w:r>
          </w:p>
          <w:p>
            <w:pPr>
              <w:jc w:val="center"/>
            </w:pPr>
            <w:r>
              <w:rPr>
                <w:rFonts w:ascii="Arial" w:cs="Arial" w:eastAsia="Arial" w:hAnsi="Arial"/>
                <w:color w:val="64748B"/>
                <w:sz w:val="18"/>
                <w:szCs w:val="18"/>
              </w:rPr>
              <w:t xml:space="preserve">per student per year — everything included</w:t>
            </w:r>
          </w:p>
        </w:tc>
        <w:tc>
          <w:tcPr>
            <w:tcW w:type="dxa" w:w="3248"/>
            <w:tcBorders>
              <w:top w:val="none" w:color="FFFFFF" w:sz="0"/>
              <w:left w:val="none" w:color="FFFFFF" w:sz="0"/>
              <w:bottom w:val="none" w:color="FFFFFF" w:sz="0"/>
              <w:right w:val="none" w:color="FFFFFF" w:sz="0"/>
            </w:tcBorders>
            <w:shd w:fill="FFFBEB" w:val="clear"/>
            <w:tcMar>
              <w:top w:type="dxa" w:w="160"/>
              <w:left w:type="dxa" w:w="160"/>
              <w:bottom w:type="dxa" w:w="160"/>
              <w:right w:type="dxa" w:w="160"/>
            </w:tcMar>
            <w:vAlign w:val="center"/>
          </w:tcPr>
          <w:p>
            <w:pPr>
              <w:jc w:val="center"/>
            </w:pPr>
            <w:r>
              <w:rPr>
                <w:rFonts w:ascii="Arial" w:cs="Arial" w:eastAsia="Arial" w:hAnsi="Arial"/>
                <w:b/>
                <w:bCs/>
                <w:color w:val="1A56DB"/>
                <w:sz w:val="52"/>
                <w:szCs w:val="52"/>
              </w:rPr>
              <w:t xml:space="preserve">Free</w:t>
            </w:r>
          </w:p>
          <w:p>
            <w:pPr>
              <w:jc w:val="center"/>
            </w:pPr>
            <w:r>
              <w:rPr>
                <w:rFonts w:ascii="Arial" w:cs="Arial" w:eastAsia="Arial" w:hAnsi="Arial"/>
                <w:color w:val="64748B"/>
                <w:sz w:val="18"/>
                <w:szCs w:val="18"/>
              </w:rPr>
              <w:t xml:space="preserve">all coordinator accounts in 2026</w:t>
            </w:r>
          </w:p>
        </w:tc>
        <w:tc>
          <w:tcPr>
            <w:tcW w:type="dxa" w:w="3248"/>
            <w:tcBorders>
              <w:top w:val="none" w:color="FFFFFF" w:sz="0"/>
              <w:left w:val="none" w:color="FFFFFF" w:sz="0"/>
              <w:bottom w:val="none" w:color="FFFFFF" w:sz="0"/>
              <w:right w:val="none" w:color="FFFFFF" w:sz="0"/>
            </w:tcBorders>
            <w:shd w:fill="DCFCE7" w:val="clear"/>
            <w:tcMar>
              <w:top w:type="dxa" w:w="160"/>
              <w:left w:type="dxa" w:w="160"/>
              <w:bottom w:type="dxa" w:w="160"/>
              <w:right w:type="dxa" w:w="160"/>
            </w:tcMar>
            <w:vAlign w:val="center"/>
          </w:tcPr>
          <w:p>
            <w:pPr>
              <w:jc w:val="center"/>
            </w:pPr>
            <w:r>
              <w:rPr>
                <w:rFonts w:ascii="Arial" w:cs="Arial" w:eastAsia="Arial" w:hAnsi="Arial"/>
                <w:b/>
                <w:bCs/>
                <w:color w:val="1A56DB"/>
                <w:sz w:val="52"/>
                <w:szCs w:val="52"/>
              </w:rPr>
              <w:t xml:space="preserve">37×</w:t>
            </w:r>
          </w:p>
          <w:p>
            <w:pPr>
              <w:jc w:val="center"/>
            </w:pPr>
            <w:r>
              <w:rPr>
                <w:rFonts w:ascii="Arial" w:cs="Arial" w:eastAsia="Arial" w:hAnsi="Arial"/>
                <w:color w:val="64748B"/>
                <w:sz w:val="18"/>
                <w:szCs w:val="18"/>
              </w:rPr>
              <w:t xml:space="preserve">ROI for a division coordinator from day one</w:t>
            </w:r>
          </w:p>
        </w:tc>
      </w:tr>
    </w:tbl>
    <w:p>
      <w:pPr>
        <w:spacing w:after="0" w:before="120"/>
      </w:pPr>
    </w:p>
    <w:p>
      <w:pPr>
        <w:spacing w:after="40" w:before="120"/>
      </w:pPr>
      <w:r>
        <w:rPr>
          <w:rFonts w:ascii="Arial" w:cs="Arial" w:eastAsia="Arial" w:hAnsi="Arial"/>
          <w:b/>
          <w:bCs/>
          <w:i w:val="false"/>
          <w:iCs w:val="false"/>
          <w:color w:val="0D1B3E"/>
          <w:sz w:val="22"/>
          <w:szCs w:val="22"/>
        </w:rPr>
        <w:t xml:space="preserve">Try the live platform:</w:t>
      </w:r>
    </w:p>
    <w:p>
      <w:pPr>
        <w:spacing w:after="30" w:before="0"/>
      </w:pPr>
      <w:hyperlink w:history="1" r:id="rId91bxg1qebx0dxyczi0ek-">
        <w:r>
          <w:rPr>
            <w:rStyle w:val="Hyperlink"/>
            <w:rFonts w:ascii="Arial" w:cs="Arial" w:eastAsia="Arial" w:hAnsi="Arial"/>
            <w:sz w:val="22"/>
            <w:szCs w:val="22"/>
          </w:rPr>
          <w:t xml:space="preserve">schoolsportportal.com.au</w:t>
        </w:r>
      </w:hyperlink>
    </w:p>
    <w:p>
      <w:pPr>
        <w:spacing w:after="30" w:before="0"/>
      </w:pPr>
      <w:hyperlink w:history="1" r:id="rIdafaz2vwsnatsponq56kbh">
        <w:r>
          <w:rPr>
            <w:rStyle w:val="Hyperlink"/>
            <w:rFonts w:ascii="Arial" w:cs="Arial" w:eastAsia="Arial" w:hAnsi="Arial"/>
            <w:sz w:val="22"/>
            <w:szCs w:val="22"/>
          </w:rPr>
          <w:t xml:space="preserve">sportportal.com.au</w:t>
        </w:r>
      </w:hyperlink>
    </w:p>
    <w:p>
      <w:pPr>
        <w:spacing w:after="40" w:before="80"/>
      </w:pPr>
      <w:r>
        <w:rPr>
          <w:rFonts w:ascii="Arial" w:cs="Arial" w:eastAsia="Arial" w:hAnsi="Arial"/>
          <w:b/>
          <w:bCs/>
          <w:i w:val="false"/>
          <w:iCs w:val="false"/>
          <w:color w:val="0D1B3E"/>
          <w:sz w:val="22"/>
          <w:szCs w:val="22"/>
        </w:rPr>
        <w:t xml:space="preserve">Your division and district pages:</w:t>
      </w:r>
    </w:p>
    <w:p>
      <w:pPr>
        <w:spacing w:after="30" w:before="0"/>
      </w:pPr>
      <w:hyperlink w:history="1" r:id="rId1p0xuz3ypirmpkala9zzt">
        <w:r>
          <w:rPr>
            <w:rStyle w:val="Hyperlink"/>
            <w:rFonts w:ascii="Arial" w:cs="Arial" w:eastAsia="Arial" w:hAnsi="Arial"/>
            <w:sz w:val="22"/>
            <w:szCs w:val="22"/>
          </w:rPr>
          <w:t xml:space="preserve">schoolsportportal.com.au/hobsonsbay</w:t>
        </w:r>
      </w:hyperlink>
    </w:p>
    <w:p>
      <w:pPr>
        <w:spacing w:after="30" w:before="0"/>
      </w:pPr>
      <w:hyperlink w:history="1" r:id="rIdppfhydiph7t7wuzbu0wpx">
        <w:r>
          <w:rPr>
            <w:rStyle w:val="Hyperlink"/>
            <w:rFonts w:ascii="Arial" w:cs="Arial" w:eastAsia="Arial" w:hAnsi="Arial"/>
            <w:sz w:val="22"/>
            <w:szCs w:val="22"/>
          </w:rPr>
          <w:t xml:space="preserve">schoolsportportal.com.au/williamstowndistrict</w:t>
        </w:r>
      </w:hyperlink>
    </w:p>
    <w:p>
      <w:pPr>
        <w:spacing w:after="40" w:before="80"/>
      </w:pPr>
      <w:r>
        <w:rPr>
          <w:rFonts w:ascii="Arial" w:cs="Arial" w:eastAsia="Arial" w:hAnsi="Arial"/>
          <w:b/>
          <w:bCs/>
          <w:i w:val="false"/>
          <w:iCs w:val="false"/>
          <w:color w:val="0D1B3E"/>
          <w:sz w:val="22"/>
          <w:szCs w:val="22"/>
        </w:rPr>
        <w:t xml:space="preserve">Privacy Impact Assessment template, school council summary or SSV briefing notes:</w:t>
      </w:r>
    </w:p>
    <w:p>
      <w:pPr>
        <w:spacing w:after="80" w:before="0"/>
      </w:pPr>
      <w:hyperlink w:history="1" r:id="rIdyebhy6svvgjveropw5xsq">
        <w:r>
          <w:rPr>
            <w:rStyle w:val="Hyperlink"/>
            <w:rFonts w:ascii="Arial" w:cs="Arial" w:eastAsia="Arial" w:hAnsi="Arial"/>
            <w:sz w:val="22"/>
            <w:szCs w:val="22"/>
          </w:rPr>
          <w:t xml:space="preserve">paddy@luckdragon.io</w:t>
        </w:r>
      </w:hyperlink>
    </w:p>
    <w:p>
      <w:pPr>
        <w:spacing w:after="0" w:before="100"/>
      </w:pPr>
    </w:p>
    <w:p>
      <w:pPr>
        <w:pBdr>
          <w:top w:val="single" w:color="E2E8F0" w:sz="4"/>
        </w:pBdr>
        <w:spacing w:after="0" w:before="100"/>
      </w:pPr>
      <w:r>
        <w:rPr>
          <w:rFonts w:ascii="Arial" w:cs="Arial" w:eastAsia="Arial" w:hAnsi="Arial"/>
          <w:color w:val="64748B"/>
          <w:sz w:val="18"/>
          <w:szCs w:val="18"/>
        </w:rPr>
        <w:t xml:space="preserve">SportPortal  |  Luck Dragon Pty Ltd  |  ABN 64 697 434 898  |  paddy@luckdragon.io</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tabs>
        <w:tab w:val="right" w:pos="9026"/>
      </w:tabs>
      <w:spacing w:after="0" w:before="40"/>
    </w:pPr>
    <w:r>
      <w:rPr>
        <w:rFonts w:ascii="Arial" w:cs="Arial" w:eastAsia="Arial" w:hAnsi="Arial"/>
        <w:color w:val="64748B"/>
        <w:sz w:val="16"/>
        <w:szCs w:val="16"/>
      </w:rPr>
      <w:t xml:space="preserve">sportportal.com.au  |  Confidential</w:t>
    </w:r>
    <w:r>
      <w:rPr>
        <w:rFonts w:ascii="Arial" w:cs="Arial" w:eastAsia="Arial" w:hAnsi="Arial"/>
        <w:color w:val="64748B"/>
        <w:sz w:val="16"/>
        <w:szCs w:val="16"/>
      </w:rPr>
      <w:t xml:space="preserve">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4"/>
      </w:pBdr>
      <w:spacing w:after="60" w:before="0"/>
      <w:jc w:val="right"/>
    </w:pPr>
    <w:r>
      <w:rPr>
        <w:rFonts w:ascii="Arial" w:cs="Arial" w:eastAsia="Arial" w:hAnsi="Arial"/>
        <w:b/>
        <w:bCs/>
        <w:color w:val="1A56DB"/>
        <w:sz w:val="18"/>
        <w:szCs w:val="18"/>
      </w:rPr>
      <w:t xml:space="preserve">SportPortal</w:t>
    </w:r>
    <w:r>
      <w:rPr>
        <w:rFonts w:ascii="Arial" w:cs="Arial" w:eastAsia="Arial" w:hAnsi="Arial"/>
        <w:color w:val="64748B"/>
        <w:sz w:val="18"/>
        <w:szCs w:val="18"/>
      </w:rPr>
      <w:t xml:space="preserve">  |  The Case for SportPortal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D1B3E"/>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1A56D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1bxg1qebx0dxyczi0ek-" Type="http://schemas.openxmlformats.org/officeDocument/2006/relationships/hyperlink" Target="https://schoolsportportal.com.au" TargetMode="External"/><Relationship Id="rIdafaz2vwsnatsponq56kbh" Type="http://schemas.openxmlformats.org/officeDocument/2006/relationships/hyperlink" Target="https://sportportal.com.au" TargetMode="External"/><Relationship Id="rId1p0xuz3ypirmpkala9zzt" Type="http://schemas.openxmlformats.org/officeDocument/2006/relationships/hyperlink" Target="https://schoolsportportal.com.au/hobsonsbay" TargetMode="External"/><Relationship Id="rIdppfhydiph7t7wuzbu0wpx" Type="http://schemas.openxmlformats.org/officeDocument/2006/relationships/hyperlink" Target="https://schoolsportportal.com.au/williamstowndistrict" TargetMode="External"/><Relationship Id="rIdyebhy6svvgjveropw5xsq" Type="http://schemas.openxmlformats.org/officeDocument/2006/relationships/hyperlink" Target="mailto:paddy@luckdragon.io"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2026-04-29T00:44:53.825Z</dcterms:created>
  <dcterms:modified xsi:type="dcterms:W3CDTF">2026-04-29T00:44:53.825Z</dcterms:modified>
</cp:coreProperties>
</file>

<file path=docProps/custom.xml><?xml version="1.0" encoding="utf-8"?>
<Properties xmlns="http://schemas.openxmlformats.org/officeDocument/2006/custom-properties" xmlns:vt="http://schemas.openxmlformats.org/officeDocument/2006/docPropsVTypes"/>
</file>