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1b3e" w:sz="1"/>
              <w:left w:val="single" w:color="0d1b3e" w:sz="1"/>
              <w:bottom w:val="single" w:color="0d1b3e" w:sz="1"/>
              <w:right w:val="single" w:color="0d1b3e" w:sz="1"/>
            </w:tcBorders>
            <w:shd w:fill="0d1b3e" w:val="clear"/>
            <w:tcMar>
              <w:top w:type="dxa" w:w="480"/>
              <w:left w:type="dxa" w:w="480"/>
              <w:bottom w:type="dxa" w:w="480"/>
              <w:right w:type="dxa" w:w="480"/>
            </w:tcMar>
          </w:tcPr>
          <w:p>
            <w:pPr>
              <w:spacing w:after="120" w:before="0"/>
              <w:jc w:val="center"/>
            </w:pPr>
            <w:r>
              <w:rPr>
                <w:rFonts w:ascii="Calibri" w:cs="Calibri" w:eastAsia="Calibri" w:hAnsi="Calibri"/>
                <w:b/>
                <w:bCs/>
                <w:color w:val="FFFFFF"/>
                <w:sz w:val="52"/>
                <w:szCs w:val="52"/>
              </w:rPr>
              <w:t xml:space="preserve">SCHOOL SPORT PORTAL</w:t>
            </w:r>
          </w:p>
          <w:p>
            <w:pPr>
              <w:spacing w:after="200" w:before="0"/>
              <w:jc w:val="center"/>
            </w:pPr>
            <w:r>
              <w:rPr>
                <w:rFonts w:ascii="Calibri" w:cs="Calibri" w:eastAsia="Calibri" w:hAnsi="Calibri"/>
                <w:color w:val="f59e0b"/>
                <w:sz w:val="32"/>
                <w:szCs w:val="32"/>
              </w:rPr>
              <w:t xml:space="preserve">Privacy &amp; Data Compliance Framework</w:t>
            </w:r>
          </w:p>
          <w:p>
            <w:pPr>
              <w:spacing w:after="0" w:before="0"/>
              <w:jc w:val="center"/>
            </w:pPr>
            <w:r>
              <w:rPr>
                <w:rFonts w:ascii="Calibri" w:cs="Calibri" w:eastAsia="Calibri" w:hAnsi="Calibri"/>
                <w:color w:val="94a3b8"/>
                <w:sz w:val="19"/>
                <w:szCs w:val="19"/>
              </w:rPr>
              <w:t xml:space="preserve">schoolsportportal.com.au  ·  Luck Dragon Pty Ltd  ·  ACN 697 434 898</w:t>
            </w:r>
          </w:p>
        </w:tc>
      </w:tr>
    </w:tbl>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db" w:sz="4"/>
              <w:left w:val="single" w:color="1a56db" w:sz="20"/>
              <w:bottom w:val="single" w:color="e2e8f0" w:sz="1"/>
              <w:right w:val="single" w:color="e2e8f0" w:sz="1"/>
            </w:tcBorders>
            <w:shd w:fill="f0f4f8" w:val="clear"/>
            <w:tcMar>
              <w:top w:type="dxa" w:w="240"/>
              <w:left w:type="dxa" w:w="360"/>
              <w:bottom w:type="dxa" w:w="240"/>
              <w:right w:type="dxa" w:w="360"/>
            </w:tcMar>
          </w:tcPr>
          <w:p>
            <w:pPr>
              <w:pBdr>
                <w:bottom w:val="single" w:color="e2e8f0" w:sz="4"/>
              </w:pBdr>
              <w:spacing w:after="80" w:before="0"/>
            </w:pPr>
            <w:r>
              <w:rPr>
                <w:rFonts w:ascii="Calibri" w:cs="Calibri" w:eastAsia="Calibri" w:hAnsi="Calibri"/>
                <w:b/>
                <w:bCs/>
                <w:color w:val="64748b"/>
                <w:sz w:val="17"/>
                <w:szCs w:val="17"/>
              </w:rPr>
              <w:t xml:space="preserve">DOCUMENT DETAILS</w:t>
            </w:r>
          </w:p>
          <w:p>
            <w:pPr>
              <w:spacing w:after="0" w:before="0"/>
            </w:pPr>
            <w:r>
              <w:rPr>
                <w:rFonts w:ascii="Calibri" w:cs="Calibri" w:eastAsia="Calibri" w:hAnsi="Calibri"/>
                <w:color w:val="0f172a"/>
                <w:sz w:val="20"/>
                <w:szCs w:val="20"/>
              </w:rPr>
              <w:t xml:space="preserve"/>
            </w:r>
          </w:p>
          <w:p>
            <w:pPr>
              <w:spacing w:after="40" w:before="40"/>
            </w:pPr>
            <w:r>
              <w:rPr>
                <w:rFonts w:ascii="Calibri" w:cs="Calibri" w:eastAsia="Calibri" w:hAnsi="Calibri"/>
                <w:b/>
                <w:bCs/>
                <w:color w:val="0d1b3e"/>
                <w:sz w:val="20"/>
                <w:szCs w:val="20"/>
              </w:rPr>
              <w:t xml:space="preserve">Product:  </w:t>
            </w:r>
            <w:r>
              <w:rPr>
                <w:rFonts w:ascii="Calibri" w:cs="Calibri" w:eastAsia="Calibri" w:hAnsi="Calibri"/>
                <w:color w:val="0f172a"/>
                <w:sz w:val="20"/>
                <w:szCs w:val="20"/>
              </w:rPr>
              <w:t xml:space="preserve">School Sport Portal (schoolsportportal.com.au)</w:t>
            </w:r>
          </w:p>
          <w:p>
            <w:pPr>
              <w:spacing w:after="40" w:before="40"/>
            </w:pPr>
            <w:r>
              <w:rPr>
                <w:rFonts w:ascii="Calibri" w:cs="Calibri" w:eastAsia="Calibri" w:hAnsi="Calibri"/>
                <w:b/>
                <w:bCs/>
                <w:color w:val="0d1b3e"/>
                <w:sz w:val="20"/>
                <w:szCs w:val="20"/>
              </w:rPr>
              <w:t xml:space="preserve">Responsible entity:  </w:t>
            </w:r>
            <w:r>
              <w:rPr>
                <w:rFonts w:ascii="Calibri" w:cs="Calibri" w:eastAsia="Calibri" w:hAnsi="Calibri"/>
                <w:color w:val="0f172a"/>
                <w:sz w:val="20"/>
                <w:szCs w:val="20"/>
              </w:rPr>
              <w:t xml:space="preserve">Luck Dragon Pty Ltd</w:t>
            </w:r>
          </w:p>
          <w:p>
            <w:pPr>
              <w:spacing w:after="40" w:before="40"/>
            </w:pPr>
            <w:r>
              <w:rPr>
                <w:rFonts w:ascii="Calibri" w:cs="Calibri" w:eastAsia="Calibri" w:hAnsi="Calibri"/>
                <w:b/>
                <w:bCs/>
                <w:color w:val="0d1b3e"/>
                <w:sz w:val="20"/>
                <w:szCs w:val="20"/>
              </w:rPr>
              <w:t xml:space="preserve">ACN / ABN:  </w:t>
            </w:r>
            <w:r>
              <w:rPr>
                <w:rFonts w:ascii="Calibri" w:cs="Calibri" w:eastAsia="Calibri" w:hAnsi="Calibri"/>
                <w:color w:val="0f172a"/>
                <w:sz w:val="20"/>
                <w:szCs w:val="20"/>
              </w:rPr>
              <w:t xml:space="preserve">697 434 898  /  ABN 64 697 434 898</w:t>
            </w:r>
          </w:p>
          <w:p>
            <w:pPr>
              <w:spacing w:after="40" w:before="40"/>
            </w:pPr>
            <w:r>
              <w:rPr>
                <w:rFonts w:ascii="Calibri" w:cs="Calibri" w:eastAsia="Calibri" w:hAnsi="Calibri"/>
                <w:b/>
                <w:bCs/>
                <w:color w:val="0d1b3e"/>
                <w:sz w:val="20"/>
                <w:szCs w:val="20"/>
              </w:rPr>
              <w:t xml:space="preserve">Document version:  </w:t>
            </w:r>
            <w:r>
              <w:rPr>
                <w:rFonts w:ascii="Calibri" w:cs="Calibri" w:eastAsia="Calibri" w:hAnsi="Calibri"/>
                <w:color w:val="0f172a"/>
                <w:sz w:val="20"/>
                <w:szCs w:val="20"/>
              </w:rPr>
              <w:t xml:space="preserve">v1.0</w:t>
            </w:r>
          </w:p>
          <w:p>
            <w:pPr>
              <w:spacing w:after="40" w:before="40"/>
            </w:pPr>
            <w:r>
              <w:rPr>
                <w:rFonts w:ascii="Calibri" w:cs="Calibri" w:eastAsia="Calibri" w:hAnsi="Calibri"/>
                <w:b/>
                <w:bCs/>
                <w:color w:val="0d1b3e"/>
                <w:sz w:val="20"/>
                <w:szCs w:val="20"/>
              </w:rPr>
              <w:t xml:space="preserve">Effective date:  </w:t>
            </w:r>
            <w:r>
              <w:rPr>
                <w:rFonts w:ascii="Calibri" w:cs="Calibri" w:eastAsia="Calibri" w:hAnsi="Calibri"/>
                <w:color w:val="0f172a"/>
                <w:sz w:val="20"/>
                <w:szCs w:val="20"/>
              </w:rPr>
              <w:t xml:space="preserve">29 April 2026</w:t>
            </w:r>
          </w:p>
          <w:p>
            <w:pPr>
              <w:spacing w:after="40" w:before="40"/>
            </w:pPr>
            <w:r>
              <w:rPr>
                <w:rFonts w:ascii="Calibri" w:cs="Calibri" w:eastAsia="Calibri" w:hAnsi="Calibri"/>
                <w:b/>
                <w:bCs/>
                <w:color w:val="0d1b3e"/>
                <w:sz w:val="20"/>
                <w:szCs w:val="20"/>
              </w:rPr>
              <w:t xml:space="preserve">Review frequency:  </w:t>
            </w:r>
            <w:r>
              <w:rPr>
                <w:rFonts w:ascii="Calibri" w:cs="Calibri" w:eastAsia="Calibri" w:hAnsi="Calibri"/>
                <w:color w:val="0f172a"/>
                <w:sz w:val="20"/>
                <w:szCs w:val="20"/>
              </w:rPr>
              <w:t xml:space="preserve">Annual — or on material legislative change</w:t>
            </w:r>
          </w:p>
          <w:p>
            <w:pPr>
              <w:spacing w:after="40" w:before="40"/>
            </w:pPr>
            <w:r>
              <w:rPr>
                <w:rFonts w:ascii="Calibri" w:cs="Calibri" w:eastAsia="Calibri" w:hAnsi="Calibri"/>
                <w:b/>
                <w:bCs/>
                <w:color w:val="0d1b3e"/>
                <w:sz w:val="20"/>
                <w:szCs w:val="20"/>
              </w:rPr>
              <w:t xml:space="preserve">Owner / contact:  </w:t>
            </w:r>
            <w:r>
              <w:rPr>
                <w:rFonts w:ascii="Calibri" w:cs="Calibri" w:eastAsia="Calibri" w:hAnsi="Calibri"/>
                <w:color w:val="0f172a"/>
                <w:sz w:val="20"/>
                <w:szCs w:val="20"/>
              </w:rPr>
              <w:t xml:space="preserve">Paddy Gallivan, Director  ·  paddy@luckdragon.io</w:t>
            </w:r>
          </w:p>
        </w:tc>
      </w:tr>
    </w:tbl>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4"/>
              <w:left w:val="single" w:color="10b981" w:sz="20"/>
              <w:bottom w:val="single" w:color="10b981" w:sz="4"/>
              <w:right w:val="single" w:color="10b981" w:sz="4"/>
            </w:tcBorders>
            <w:shd w:fill="e8f5e9" w:val="clear"/>
            <w:tcMar>
              <w:top w:type="dxa" w:w="120"/>
              <w:left w:type="dxa" w:w="220"/>
              <w:bottom w:type="dxa" w:w="120"/>
              <w:right w:type="dxa" w:w="220"/>
            </w:tcMar>
          </w:tcPr>
          <w:p>
            <w:pPr>
              <w:spacing w:after="0" w:before="0"/>
            </w:pPr>
            <w:r>
              <w:rPr>
                <w:rFonts w:ascii="Calibri" w:cs="Calibri" w:eastAsia="Calibri" w:hAnsi="Calibri"/>
                <w:color w:val="0f172a"/>
                <w:sz w:val="20"/>
                <w:szCs w:val="20"/>
              </w:rPr>
              <w:t xml:space="preserve">✅  KEY COMMITMENT — All student data is stored exclusively in Google Cloud australia-southeast1 (Sydney, Australia). No personal information is ever transferred to or stored overseas. This supersedes any earlier configuration that used the asia-southeast1 (Singapore) region.</w:t>
            </w:r>
          </w:p>
        </w:tc>
      </w:tr>
    </w:tbl>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1.  Executive Summary</w:t>
      </w:r>
    </w:p>
    <w:p>
      <w:pPr>
        <w:spacing w:after="80" w:before="80"/>
      </w:pPr>
      <w:r>
        <w:rPr>
          <w:rFonts w:ascii="Calibri" w:cs="Calibri" w:eastAsia="Calibri" w:hAnsi="Calibri"/>
          <w:color w:val="0f172a"/>
          <w:sz w:val="20"/>
          <w:szCs w:val="20"/>
        </w:rPr>
        <w:t xml:space="preserve">School Sport Portal is a Victorian web platform operated by Luck Dragon Pty Ltd. It enables schools to manage and publish school sports carnival data — heat draws, live results, rankings — across school, district, division and regional tiers. The platform serves school administrators, carnival coordinators and School Sport Victoria (SSV).</w:t>
      </w:r>
    </w:p>
    <w:p>
      <w:pPr>
        <w:spacing w:after="0" w:before="0"/>
      </w:pPr>
      <w:r>
        <w:rPr>
          <w:rFonts w:ascii="Calibri" w:cs="Calibri" w:eastAsia="Calibri" w:hAnsi="Calibri"/>
          <w:color w:val="0f172a"/>
          <w:sz w:val="20"/>
          <w:szCs w:val="20"/>
        </w:rPr>
        <w:t xml:space="preserve"/>
      </w:r>
    </w:p>
    <w:p>
      <w:pPr>
        <w:spacing w:after="80" w:before="80"/>
      </w:pPr>
      <w:r>
        <w:rPr>
          <w:rFonts w:ascii="Calibri" w:cs="Calibri" w:eastAsia="Calibri" w:hAnsi="Calibri"/>
          <w:color w:val="0f172a"/>
          <w:sz w:val="20"/>
          <w:szCs w:val="20"/>
        </w:rPr>
        <w:t xml:space="preserve">This document is the authoritative privacy and data-compliance framework for the platform. It addresses every relevant regulatory and policy layer:</w:t>
      </w:r>
    </w:p>
    <w:p>
      <w:pPr>
        <w:pStyle w:val="ListParagraph"/>
        <w:numPr>
          <w:ilvl w:val="0"/>
          <w:numId w:val="2"/>
        </w:numPr>
        <w:spacing w:after="40" w:before="40"/>
      </w:pPr>
      <w:r>
        <w:rPr>
          <w:rFonts w:ascii="Calibri" w:cs="Calibri" w:eastAsia="Calibri" w:hAnsi="Calibri"/>
          <w:color w:val="0f172a"/>
          <w:sz w:val="20"/>
          <w:szCs w:val="20"/>
        </w:rPr>
        <w:t xml:space="preserve">Department of Education Victoria: Software &amp; Administration Systems policy and the Safer Technology 4 Schools (ST4S) framework</w:t>
      </w:r>
    </w:p>
    <w:p>
      <w:pPr>
        <w:pStyle w:val="ListParagraph"/>
        <w:numPr>
          <w:ilvl w:val="0"/>
          <w:numId w:val="2"/>
        </w:numPr>
        <w:spacing w:after="40" w:before="40"/>
      </w:pPr>
      <w:r>
        <w:rPr>
          <w:rFonts w:ascii="Calibri" w:cs="Calibri" w:eastAsia="Calibri" w:hAnsi="Calibri"/>
          <w:color w:val="0f172a"/>
          <w:sz w:val="20"/>
          <w:szCs w:val="20"/>
        </w:rPr>
        <w:t xml:space="preserve">School Sport Victoria (SSV): student data display rules and privacy requirements</w:t>
      </w:r>
    </w:p>
    <w:p>
      <w:pPr>
        <w:pStyle w:val="ListParagraph"/>
        <w:numPr>
          <w:ilvl w:val="0"/>
          <w:numId w:val="2"/>
        </w:numPr>
        <w:spacing w:after="40" w:before="40"/>
      </w:pPr>
      <w:r>
        <w:rPr>
          <w:rFonts w:ascii="Calibri" w:cs="Calibri" w:eastAsia="Calibri" w:hAnsi="Calibri"/>
          <w:color w:val="0f172a"/>
          <w:sz w:val="20"/>
          <w:szCs w:val="20"/>
        </w:rPr>
        <w:t xml:space="preserve">Privacy and Data Protection Act 2014 (Vic) — Information Privacy Principles (IPPs)</w:t>
      </w:r>
    </w:p>
    <w:p>
      <w:pPr>
        <w:pStyle w:val="ListParagraph"/>
        <w:numPr>
          <w:ilvl w:val="0"/>
          <w:numId w:val="2"/>
        </w:numPr>
        <w:spacing w:after="40" w:before="40"/>
      </w:pPr>
      <w:r>
        <w:rPr>
          <w:rFonts w:ascii="Calibri" w:cs="Calibri" w:eastAsia="Calibri" w:hAnsi="Calibri"/>
          <w:color w:val="0f172a"/>
          <w:sz w:val="20"/>
          <w:szCs w:val="20"/>
        </w:rPr>
        <w:t xml:space="preserve">Privacy Act 1988 (Cth) — Australian Privacy Principles (APPs) including APP 8 cross-border restriction</w:t>
      </w:r>
    </w:p>
    <w:p>
      <w:pPr>
        <w:pStyle w:val="ListParagraph"/>
        <w:numPr>
          <w:ilvl w:val="0"/>
          <w:numId w:val="2"/>
        </w:numPr>
        <w:spacing w:after="40" w:before="40"/>
      </w:pPr>
      <w:r>
        <w:rPr>
          <w:rFonts w:ascii="Calibri" w:cs="Calibri" w:eastAsia="Calibri" w:hAnsi="Calibri"/>
          <w:color w:val="0f172a"/>
          <w:sz w:val="20"/>
          <w:szCs w:val="20"/>
        </w:rPr>
        <w:t xml:space="preserve">Health Records Act 2001 (Vic)</w:t>
      </w:r>
    </w:p>
    <w:p>
      <w:pPr>
        <w:pStyle w:val="ListParagraph"/>
        <w:numPr>
          <w:ilvl w:val="0"/>
          <w:numId w:val="2"/>
        </w:numPr>
        <w:spacing w:after="40" w:before="40"/>
      </w:pPr>
      <w:r>
        <w:rPr>
          <w:rFonts w:ascii="Calibri" w:cs="Calibri" w:eastAsia="Calibri" w:hAnsi="Calibri"/>
          <w:color w:val="0f172a"/>
          <w:sz w:val="20"/>
          <w:szCs w:val="20"/>
        </w:rPr>
        <w:t xml:space="preserve">Notifiable Data Breaches scheme — Part IIIC, Privacy Act 1988 (Cth)</w:t>
      </w:r>
    </w:p>
    <w:p>
      <w:pPr>
        <w:spacing w:after="0" w:before="0"/>
      </w:pPr>
      <w:r>
        <w:rPr>
          <w:rFonts w:ascii="Calibri" w:cs="Calibri" w:eastAsia="Calibri" w:hAnsi="Calibri"/>
          <w:color w:val="0f172a"/>
          <w:sz w:val="20"/>
          <w:szCs w:val="20"/>
        </w:rPr>
        <w:t xml:space="preserve"/>
      </w:r>
    </w:p>
    <w:p>
      <w:pPr>
        <w:spacing w:after="80" w:before="80"/>
      </w:pPr>
      <w:r>
        <w:rPr>
          <w:rFonts w:ascii="Calibri" w:cs="Calibri" w:eastAsia="Calibri" w:hAnsi="Calibri"/>
          <w:color w:val="0f172a"/>
          <w:sz w:val="20"/>
          <w:szCs w:val="20"/>
        </w:rPr>
        <w:t xml:space="preserve">The document is designed to support schools completing a Privacy Impact Assessment (PIA) before adopting the platform, as required by DET policy while the platform's ST4S assessment is pending.</w:t>
      </w:r>
    </w:p>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2.  Legislative &amp; Regulatory Framework</w:t>
      </w:r>
    </w:p>
    <w:p>
      <w:pPr>
        <w:pStyle w:val="Heading2"/>
        <w:pBdr>
          <w:bottom w:val="single" w:color="1a56db" w:sz="6"/>
        </w:pBdr>
        <w:spacing w:after="100" w:before="280"/>
      </w:pPr>
      <w:r>
        <w:rPr>
          <w:rFonts w:ascii="Calibri" w:cs="Calibri" w:eastAsia="Calibri" w:hAnsi="Calibri"/>
          <w:b/>
          <w:bCs/>
          <w:color w:val="0d1b3e"/>
          <w:sz w:val="24"/>
          <w:szCs w:val="24"/>
        </w:rPr>
        <w:t xml:space="preserve">2.1  Privacy and Data Protection Act 2014 (Vic)</w:t>
      </w:r>
    </w:p>
    <w:p>
      <w:pPr>
        <w:spacing w:after="80" w:before="80"/>
      </w:pPr>
      <w:r>
        <w:rPr>
          <w:rFonts w:ascii="Calibri" w:cs="Calibri" w:eastAsia="Calibri" w:hAnsi="Calibri"/>
          <w:color w:val="0f172a"/>
          <w:sz w:val="20"/>
          <w:szCs w:val="20"/>
        </w:rPr>
        <w:t xml:space="preserve">The PDPA is the principal Victorian legislation governing personal information held by organisations providing services to Victorian Government schools. Its Information Privacy Principles (IPPs) are the primary framework governing School Sport Portal's data handling.</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880"/>
      </w:tblGrid>
      <w:tr>
        <w:trPr>
          <w:tblHeader/>
        </w:trPr>
        <w:tc>
          <w:tcPr>
            <w:tcW w:type="dxa" w:w="10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IPP</w:t>
            </w:r>
          </w:p>
        </w:tc>
        <w:tc>
          <w:tcPr>
            <w:tcW w:type="dxa" w:w="22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Principle</w:t>
            </w:r>
          </w:p>
        </w:tc>
        <w:tc>
          <w:tcPr>
            <w:tcW w:type="dxa" w:w="68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School Sport Portal obligation</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IPP 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Collection</w:t>
            </w:r>
          </w:p>
        </w:tc>
        <w:tc>
          <w:tcPr>
            <w:tcW w:type="dxa" w:w="6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Collect only data necessary for carnival administration; notify schools at onboarding.</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IPP 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Use &amp; Disclosure</w:t>
            </w:r>
          </w:p>
        </w:tc>
        <w:tc>
          <w:tcPr>
            <w:tcW w:type="dxa" w:w="6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Use data only for carnival management and SSV reporting; no third-party sharing without consent.</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IPP 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Data Quality</w:t>
            </w:r>
          </w:p>
        </w:tc>
        <w:tc>
          <w:tcPr>
            <w:tcW w:type="dxa" w:w="6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Schools can correct records at any time via the admin portal.</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IPP 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Data Security</w:t>
            </w:r>
          </w:p>
        </w:tc>
        <w:tc>
          <w:tcPr>
            <w:tcW w:type="dxa" w:w="6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TLS in transit, AES-256 at rest, role-based access, Firestore security rules.</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IPP 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Access &amp; Correction</w:t>
            </w:r>
          </w:p>
        </w:tc>
        <w:tc>
          <w:tcPr>
            <w:tcW w:type="dxa" w:w="6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admins have full access to their data; corrections processed within 30 days.</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IPP 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Transborder Data Flows</w:t>
            </w:r>
          </w:p>
        </w:tc>
        <w:tc>
          <w:tcPr>
            <w:tcW w:type="dxa" w:w="6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No transfer of personal information outside Victoria; data stored in Sydney.</w:t>
            </w:r>
          </w:p>
        </w:tc>
      </w:tr>
    </w:tbl>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2.2  Privacy Act 1988 (Cth) — Australian Privacy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280"/>
      </w:tblGrid>
      <w:tr>
        <w:trPr>
          <w:tblHeader/>
        </w:trPr>
        <w:tc>
          <w:tcPr>
            <w:tcW w:type="dxa" w:w="10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APP</w:t>
            </w:r>
          </w:p>
        </w:tc>
        <w:tc>
          <w:tcPr>
            <w:tcW w:type="dxa" w:w="28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Title</w:t>
            </w:r>
          </w:p>
        </w:tc>
        <w:tc>
          <w:tcPr>
            <w:tcW w:type="dxa" w:w="62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Obligation for School Sport Portal</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Open &amp; transparent management</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Publish Privacy Policy; appoint privacy contact (paddy@luckdragon.io).</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Collection of solicited personal info</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Collect only: first name, last initial, school, house, age group, gender category, event results.</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5</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Notification of collection</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Schools notified at signup; students via published Privacy Policy.</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Use or disclosure</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Data used only for sports carnival management and SSV reporting.</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Cross-border disclosure</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Strictly prohibited. All data stored in australia-southeast1 (Sydney).</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11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Security</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Technical and organisational controls — see Section 8.</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12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Access</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admin access on request; individual access via school admin.</w:t>
            </w:r>
          </w:p>
        </w:tc>
      </w:tr>
      <w:tr>
        <w:trPr>
          <w:tblHeader w:val="false"/>
        </w:trPr>
        <w:tc>
          <w:tcPr>
            <w:tcW w:type="dxa" w:w="1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APP 13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Correction</w:t>
            </w:r>
          </w:p>
        </w:tc>
        <w:tc>
          <w:tcPr>
            <w:tcW w:type="dxa" w:w="6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Verified correction requests fulfilled within 30 days.</w:t>
            </w:r>
          </w:p>
        </w:tc>
      </w:tr>
    </w:tbl>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2.3  Health Records Act 2001 (Vic)</w:t>
      </w:r>
    </w:p>
    <w:p>
      <w:pPr>
        <w:spacing w:after="80" w:before="80"/>
      </w:pPr>
      <w:r>
        <w:rPr>
          <w:rFonts w:ascii="Calibri" w:cs="Calibri" w:eastAsia="Calibri" w:hAnsi="Calibri"/>
          <w:color w:val="0f172a"/>
          <w:sz w:val="20"/>
          <w:szCs w:val="20"/>
        </w:rPr>
        <w:t xml:space="preserve">School Sport Portal does not collect health information as defined under the Health Records Act 2001 (Vic). Sporting results, age groups and gender competition categories are not health information. If the platform ever introduces features involving health or disability data, a separate health information compliance review must be completed before any collection commences.</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2.4  Notifiable Data Breaches Scheme</w:t>
      </w:r>
    </w:p>
    <w:p>
      <w:pPr>
        <w:spacing w:after="80" w:before="80"/>
      </w:pPr>
      <w:r>
        <w:rPr>
          <w:rFonts w:ascii="Calibri" w:cs="Calibri" w:eastAsia="Calibri" w:hAnsi="Calibri"/>
          <w:color w:val="0f172a"/>
          <w:sz w:val="20"/>
          <w:szCs w:val="20"/>
        </w:rPr>
        <w:t xml:space="preserve">Under Part IIIC of the Privacy Act 1988 (Cth), Luck Dragon Pty Ltd must notify the OAIC and affected individuals as soon as practicable — and in any event within 30 days — of an eligible data breach likely to result in serious harm. See Section 10 for the Incident Response process.</w:t>
      </w:r>
    </w:p>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3.  Department of Education Victoria Requirements</w:t>
      </w:r>
    </w:p>
    <w:p>
      <w:pPr>
        <w:pStyle w:val="Heading2"/>
        <w:pBdr>
          <w:bottom w:val="single" w:color="1a56db" w:sz="6"/>
        </w:pBdr>
        <w:spacing w:after="100" w:before="280"/>
      </w:pPr>
      <w:r>
        <w:rPr>
          <w:rFonts w:ascii="Calibri" w:cs="Calibri" w:eastAsia="Calibri" w:hAnsi="Calibri"/>
          <w:b/>
          <w:bCs/>
          <w:color w:val="0d1b3e"/>
          <w:sz w:val="24"/>
          <w:szCs w:val="24"/>
        </w:rPr>
        <w:t xml:space="preserve">3.1  Software &amp; Administration Systems Policy</w:t>
      </w:r>
    </w:p>
    <w:p>
      <w:pPr>
        <w:spacing w:after="80" w:before="80"/>
      </w:pPr>
      <w:r>
        <w:rPr>
          <w:rFonts w:ascii="Calibri" w:cs="Calibri" w:eastAsia="Calibri" w:hAnsi="Calibri"/>
          <w:color w:val="0f172a"/>
          <w:sz w:val="20"/>
          <w:szCs w:val="20"/>
        </w:rPr>
        <w:t xml:space="preserve">All software used in Victorian government schools is governed by DET's Software &amp; Administration Systems policy. Schools may only use software that has been assessed and meets the Department's privacy, security and legal requirements. The policy is published at www2.education.vic.gov.au/pal/software-administration-systems.</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3.2  Safer Technology 4 Schools (ST4S)</w:t>
      </w:r>
    </w:p>
    <w:p>
      <w:pPr>
        <w:spacing w:after="80" w:before="80"/>
      </w:pPr>
      <w:r>
        <w:rPr>
          <w:rFonts w:ascii="Calibri" w:cs="Calibri" w:eastAsia="Calibri" w:hAnsi="Calibri"/>
          <w:color w:val="0f172a"/>
          <w:sz w:val="20"/>
          <w:szCs w:val="20"/>
        </w:rPr>
        <w:t xml:space="preserve">ST4S is a national assessment framework operated by Education Services Australia (ESA). DET Victoria requires schools to check the Arc Software Catalogue for an ST4S assessment before adopting any platform.</w:t>
      </w:r>
    </w:p>
    <w:p>
      <w:pPr>
        <w:spacing w:after="0" w:before="0"/>
      </w:pPr>
      <w:r>
        <w:rPr>
          <w:rFonts w:ascii="Calibri" w:cs="Calibri" w:eastAsia="Calibri" w:hAnsi="Calibri"/>
          <w:color w:val="0f172a"/>
          <w:sz w:val="20"/>
          <w:szCs w:val="20"/>
        </w:rPr>
        <w:t xml:space="preserve"/>
      </w:r>
    </w:p>
    <w:p>
      <w:pPr>
        <w:pStyle w:val="Heading3"/>
        <w:spacing w:after="60" w:before="200"/>
      </w:pPr>
      <w:r>
        <w:rPr>
          <w:rFonts w:ascii="Calibri" w:cs="Calibri" w:eastAsia="Calibri" w:hAnsi="Calibri"/>
          <w:b/>
          <w:bCs/>
          <w:color w:val="1a56db"/>
          <w:sz w:val="21"/>
          <w:szCs w:val="21"/>
        </w:rPr>
        <w:t xml:space="preserve">3.2.1  ST4S Rating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rPr>
          <w:tblHeader/>
        </w:trPr>
        <w:tc>
          <w:tcPr>
            <w:tcW w:type="dxa" w:w="20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Rating</w:t>
            </w:r>
          </w:p>
        </w:tc>
        <w:tc>
          <w:tcPr>
            <w:tcW w:type="dxa" w:w="38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What it means</w:t>
            </w:r>
          </w:p>
        </w:tc>
        <w:tc>
          <w:tcPr>
            <w:tcW w:type="dxa" w:w="42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School action</w:t>
            </w:r>
          </w:p>
        </w:tc>
      </w:tr>
      <w:tr>
        <w:trPr>
          <w:tblHeader w:val="false"/>
        </w:trPr>
        <w:tc>
          <w:tcPr>
            <w:tcW w:type="dxa" w:w="2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Low Risk</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Meets all ST4S requirements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Approved for use</w:t>
            </w:r>
          </w:p>
        </w:tc>
      </w:tr>
      <w:tr>
        <w:trPr>
          <w:tblHeader w:val="false"/>
        </w:trPr>
        <w:tc>
          <w:tcPr>
            <w:tcW w:type="dxa" w:w="2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Use with Caution</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Meets most requirements; minor gaps noted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Approved — implement noted actions</w:t>
            </w:r>
          </w:p>
        </w:tc>
      </w:tr>
      <w:tr>
        <w:trPr>
          <w:tblHeader w:val="false"/>
        </w:trPr>
        <w:tc>
          <w:tcPr>
            <w:tcW w:type="dxa" w:w="2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Medium Risk</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Significant gaps; mitigation required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Approved only once all actions completed</w:t>
            </w:r>
          </w:p>
        </w:tc>
      </w:tr>
      <w:tr>
        <w:trPr>
          <w:tblHeader w:val="false"/>
        </w:trPr>
        <w:tc>
          <w:tcPr>
            <w:tcW w:type="dxa" w:w="2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High Risk</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Major non-compliance; serious risk identified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PROHIBITED — do not use</w:t>
            </w:r>
          </w:p>
        </w:tc>
      </w:tr>
      <w:tr>
        <w:trPr>
          <w:tblHeader w:val="false"/>
        </w:trPr>
        <w:tc>
          <w:tcPr>
            <w:tcW w:type="dxa" w:w="2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Non-Compliant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Fails ST4S requirements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PROHIBITED — do not use</w:t>
            </w:r>
          </w:p>
        </w:tc>
      </w:tr>
      <w:tr>
        <w:trPr>
          <w:tblHeader w:val="false"/>
        </w:trPr>
        <w:tc>
          <w:tcPr>
            <w:tcW w:type="dxa" w:w="20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Non-Participating</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Vendor not yet assessed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School must complete a PIA before use</w:t>
            </w:r>
          </w:p>
        </w:tc>
      </w:tr>
    </w:tbl>
    <w:p>
      <w:pPr>
        <w:spacing w:after="0" w:before="0"/>
      </w:pPr>
      <w:r>
        <w:rPr>
          <w:rFonts w:ascii="Calibri" w:cs="Calibri" w:eastAsia="Calibri" w:hAnsi="Calibri"/>
          <w:color w:val="0f172a"/>
          <w:sz w:val="20"/>
          <w:szCs w:val="20"/>
        </w:rPr>
        <w:t xml:space="preserve"/>
      </w:r>
    </w:p>
    <w:p>
      <w:pPr>
        <w:pStyle w:val="Heading3"/>
        <w:spacing w:after="60" w:before="200"/>
      </w:pPr>
      <w:r>
        <w:rPr>
          <w:rFonts w:ascii="Calibri" w:cs="Calibri" w:eastAsia="Calibri" w:hAnsi="Calibri"/>
          <w:b/>
          <w:bCs/>
          <w:color w:val="1a56db"/>
          <w:sz w:val="21"/>
          <w:szCs w:val="21"/>
        </w:rPr>
        <w:t xml:space="preserve">3.2.2  Current Status — School Sport Portal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9e0b" w:sz="4"/>
              <w:left w:val="single" w:color="f59e0b" w:sz="20"/>
              <w:bottom w:val="single" w:color="f59e0b" w:sz="4"/>
              <w:right w:val="single" w:color="f59e0b" w:sz="4"/>
            </w:tcBorders>
            <w:shd w:fill="fffbeb" w:val="clear"/>
            <w:tcMar>
              <w:top w:type="dxa" w:w="120"/>
              <w:left w:type="dxa" w:w="220"/>
              <w:bottom w:type="dxa" w:w="120"/>
              <w:right w:type="dxa" w:w="220"/>
            </w:tcMar>
          </w:tcPr>
          <w:p>
            <w:pPr>
              <w:spacing w:after="0" w:before="0"/>
            </w:pPr>
            <w:r>
              <w:rPr>
                <w:rFonts w:ascii="Calibri" w:cs="Calibri" w:eastAsia="Calibri" w:hAnsi="Calibri"/>
                <w:color w:val="0f172a"/>
                <w:sz w:val="20"/>
                <w:szCs w:val="20"/>
              </w:rPr>
              <w:t xml:space="preserve">⚠️  School Sport Portal has not yet completed ST4S vendor assessment (status: Non-Participating). Schools must complete a Privacy Impact Assessment (PIA) before first use. This document is designed to provide everything schools need to complete that PIA.</w:t>
            </w:r>
          </w:p>
        </w:tc>
      </w:tr>
    </w:tbl>
    <w:p>
      <w:pPr>
        <w:spacing w:after="0" w:before="0"/>
      </w:pPr>
      <w:r>
        <w:rPr>
          <w:rFonts w:ascii="Calibri" w:cs="Calibri" w:eastAsia="Calibri" w:hAnsi="Calibri"/>
          <w:color w:val="0f172a"/>
          <w:sz w:val="20"/>
          <w:szCs w:val="20"/>
        </w:rPr>
        <w:t xml:space="preserve"/>
      </w:r>
    </w:p>
    <w:p>
      <w:pPr>
        <w:spacing w:after="80" w:before="80"/>
      </w:pPr>
      <w:r>
        <w:rPr>
          <w:rFonts w:ascii="Calibri" w:cs="Calibri" w:eastAsia="Calibri" w:hAnsi="Calibri"/>
          <w:color w:val="0f172a"/>
          <w:sz w:val="20"/>
          <w:szCs w:val="20"/>
        </w:rPr>
        <w:t xml:space="preserve">Luck Dragon Pty Ltd is committed to submitting for ST4S assessment. This document provides full transparency of data flows, storage locations, sub-processors and security controls to support schools in completing their PIAs.</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3.3  PIA Support Pack</w:t>
      </w:r>
    </w:p>
    <w:p>
      <w:pPr>
        <w:spacing w:after="80" w:before="80"/>
      </w:pPr>
      <w:r>
        <w:rPr>
          <w:rFonts w:ascii="Calibri" w:cs="Calibri" w:eastAsia="Calibri" w:hAnsi="Calibri"/>
          <w:color w:val="0f172a"/>
          <w:sz w:val="20"/>
          <w:szCs w:val="20"/>
        </w:rPr>
        <w:t xml:space="preserve">All information required for a school PIA is provided here:</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Data collected</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First name, last initial, school name, house/team, age group, gender category, event name, result (time / distance / score)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Sensitive data</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None. No health, medical, racial, religious or financial information collected.</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Data storage location</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Google Cloud Firestore — australia-southeast1 (Sydney, Australia) exclusively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Overseas transfer</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None. APP 8 / IPP 9 prohibition strictly enforced.</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Third-party processors</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Google LLC (Firestore/Firebase — data processor); Cloudflare Inc (CDN — no persistent student data storage); Stripe Inc (payments — school billing only, no student data)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Data retention</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Retained while school subscription is active. Deleted within 90 days of subscription end or written request.</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Parental consent</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Schools are responsible for obtaining consent per their student privacy notices. School Sport Portal does not interact directly with students or parents.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Security</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HTTPS / TLS 1.2+ in transit; AES-256 at rest (Google default); RBAC; Firestore security rules; npm audit on every release; audit logging enabled</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Breach notification</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Affected schools notified within 24 hours; OAIC notification within 30 days as required by the NDB scheme</w:t>
            </w:r>
          </w:p>
        </w:tc>
      </w:tr>
    </w:tbl>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3.4  Arc Software Catalogue</w:t>
      </w:r>
    </w:p>
    <w:p>
      <w:pPr>
        <w:spacing w:after="80" w:before="80"/>
      </w:pPr>
      <w:r>
        <w:rPr>
          <w:rFonts w:ascii="Calibri" w:cs="Calibri" w:eastAsia="Calibri" w:hAnsi="Calibri"/>
          <w:color w:val="0f172a"/>
          <w:sz w:val="20"/>
          <w:szCs w:val="20"/>
        </w:rPr>
        <w:t xml:space="preserve">The Arc Software Catalogue (arc.educationapps.vic.edu.au) is DET's official software registry. Luck Dragon Pty Ltd will submit School Sport Portal for listing upon completion of the ST4S vendor onboarding process.</w:t>
      </w:r>
    </w:p>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4.  School Sport Victoria (SSV) Requirements</w:t>
      </w:r>
    </w:p>
    <w:p>
      <w:pPr>
        <w:pStyle w:val="Heading2"/>
        <w:pBdr>
          <w:bottom w:val="single" w:color="1a56db" w:sz="6"/>
        </w:pBdr>
        <w:spacing w:after="100" w:before="280"/>
      </w:pPr>
      <w:r>
        <w:rPr>
          <w:rFonts w:ascii="Calibri" w:cs="Calibri" w:eastAsia="Calibri" w:hAnsi="Calibri"/>
          <w:b/>
          <w:bCs/>
          <w:color w:val="0d1b3e"/>
          <w:sz w:val="24"/>
          <w:szCs w:val="24"/>
        </w:rPr>
        <w:t xml:space="preserve">4.1  SSV Privacy Framework</w:t>
      </w:r>
    </w:p>
    <w:p>
      <w:pPr>
        <w:spacing w:after="80" w:before="80"/>
      </w:pPr>
      <w:r>
        <w:rPr>
          <w:rFonts w:ascii="Calibri" w:cs="Calibri" w:eastAsia="Calibri" w:hAnsi="Calibri"/>
          <w:color w:val="0f172a"/>
          <w:sz w:val="20"/>
          <w:szCs w:val="20"/>
        </w:rPr>
        <w:t xml:space="preserve">School Sport Victoria operates within the Department of Education Victoria's privacy framework. All technology partners working with school sports data must comply with DET privacy policies. SSV events involve Victorian government school students, so all SSV-connected data handling must meet the standards in Sections 2 and 3 of this document.</w:t>
      </w:r>
    </w:p>
    <w:p>
      <w:pPr>
        <w:spacing w:after="0" w:before="0"/>
      </w:pPr>
      <w:r>
        <w:rPr>
          <w:rFonts w:ascii="Calibri" w:cs="Calibri" w:eastAsia="Calibri" w:hAnsi="Calibri"/>
          <w:color w:val="0f172a"/>
          <w:sz w:val="20"/>
          <w:szCs w:val="20"/>
        </w:rPr>
        <w:t xml:space="preserve"/>
      </w:r>
    </w:p>
    <w:p>
      <w:pPr>
        <w:spacing w:after="80" w:before="80"/>
      </w:pPr>
      <w:r>
        <w:rPr>
          <w:rFonts w:ascii="Calibri" w:cs="Calibri" w:eastAsia="Calibri" w:hAnsi="Calibri"/>
          <w:color w:val="0f172a"/>
          <w:sz w:val="20"/>
          <w:szCs w:val="20"/>
        </w:rPr>
        <w:t xml:space="preserve">SSV's privacy obligations are published as part of the DET Privacy Policy at education.vic.gov.au/Pages/privacy.aspx. School Sport Portal's practices are fully consistent with that policy.</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4.2  Student Data Display Rules</w:t>
      </w:r>
    </w:p>
    <w:p>
      <w:pPr>
        <w:spacing w:after="80" w:before="80"/>
      </w:pPr>
      <w:r>
        <w:rPr>
          <w:rFonts w:ascii="Calibri" w:cs="Calibri" w:eastAsia="Calibri" w:hAnsi="Calibri"/>
          <w:color w:val="0f172a"/>
          <w:sz w:val="20"/>
          <w:szCs w:val="20"/>
        </w:rPr>
        <w:t xml:space="preserve">SSV has established rules governing how student information may appear in connection with school sports. School Sport Portal enforces these at the application layer:</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480"/>
      </w:tblGrid>
      <w:tr>
        <w:trPr>
          <w:tblHeader/>
        </w:trPr>
        <w:tc>
          <w:tcPr>
            <w:tcW w:type="dxa" w:w="28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Data element</w:t>
            </w:r>
          </w:p>
        </w:tc>
        <w:tc>
          <w:tcPr>
            <w:tcW w:type="dxa" w:w="38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Public display (results pages, leaderboards)</w:t>
            </w:r>
          </w:p>
        </w:tc>
        <w:tc>
          <w:tcPr>
            <w:tcW w:type="dxa" w:w="34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Internal / school admin only</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First name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Last initial only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  (e.g. 'J. Smith' → 'J. 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Full last name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Never on public pages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 — authenticated admins only</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name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Date of birth</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Never displayed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Never stored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Age group</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  (e.g. '12 Years')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Gender category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  (competition category only)</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Event result/score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Permitted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Photo / image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Not collected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Not collected</w:t>
            </w:r>
          </w:p>
        </w:tc>
      </w:tr>
      <w:tr>
        <w:trPr>
          <w:tblHeader w:val="false"/>
        </w:trP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Address / contact</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Not collected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 Not collected</w:t>
            </w:r>
          </w:p>
        </w:tc>
      </w:tr>
    </w:tbl>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db" w:sz="4"/>
              <w:left w:val="single" w:color="1a56db" w:sz="20"/>
              <w:bottom w:val="single" w:color="1a56db" w:sz="4"/>
              <w:right w:val="single" w:color="1a56db" w:sz="4"/>
            </w:tcBorders>
            <w:shd w:fill="eff6ff" w:val="clear"/>
            <w:tcMar>
              <w:top w:type="dxa" w:w="120"/>
              <w:left w:type="dxa" w:w="220"/>
              <w:bottom w:type="dxa" w:w="120"/>
              <w:right w:type="dxa" w:w="220"/>
            </w:tcMar>
          </w:tcPr>
          <w:p>
            <w:pPr>
              <w:spacing w:after="0" w:before="0"/>
            </w:pPr>
            <w:r>
              <w:rPr>
                <w:rFonts w:ascii="Calibri" w:cs="Calibri" w:eastAsia="Calibri" w:hAnsi="Calibri"/>
                <w:color w:val="0f172a"/>
                <w:sz w:val="20"/>
                <w:szCs w:val="20"/>
              </w:rPr>
              <w:t xml:space="preserve">ℹ️  No page served to unauthenticated users ever displays a student's full surname, date of birth, address or any sensitive personal information. School admins see full names only within their authenticated portal session.</w:t>
            </w:r>
          </w:p>
        </w:tc>
      </w:tr>
    </w:tbl>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5.  EdTech Best-Practice Benchmark</w:t>
      </w:r>
    </w:p>
    <w:p>
      <w:pPr>
        <w:spacing w:after="80" w:before="80"/>
      </w:pPr>
      <w:r>
        <w:rPr>
          <w:rFonts w:ascii="Calibri" w:cs="Calibri" w:eastAsia="Calibri" w:hAnsi="Calibri"/>
          <w:color w:val="0f172a"/>
          <w:sz w:val="20"/>
          <w:szCs w:val="20"/>
        </w:rPr>
        <w:t xml:space="preserve">School Sport Portal's privacy practices are benchmarked against leading Victorian EdTech providers including Stile Education, which has been recognised by Human Rights Watch for responsible student data management. The table below maps best-practice commitments to School Sport Portal's equivalent position:</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Practice area</w:t>
            </w:r>
          </w:p>
        </w:tc>
        <w:tc>
          <w:tcPr>
            <w:tcW w:type="dxa" w:w="36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Best-practice standard</w:t>
            </w:r>
          </w:p>
        </w:tc>
        <w:tc>
          <w:tcPr>
            <w:tcW w:type="dxa" w:w="40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School Sport Portal commitment</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Data residency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Australian data centres only</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Google Cloud australia-southeast1 (Sydney) ✅</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No overseas transfer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Student data never sent offshore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Strict APP 8 / IPP 9 compliance — no cross-border transfer ✅</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No advertising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Student data never used for advertising or profiling</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Student data never used for advertising, profiling or any commercial purpose ✅</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Minimal collection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Collect only what is educationally necessary</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Collect only the data required to run a sports carnival ✅</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control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Schools own and control their data</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Schools can export, correct or delete all their data at any time ✅</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Transparency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Publicly documented data practices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This document published and provided to any school on request ✅</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Vendor management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Sub-processors bound by equivalent protections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Google, Cloudflare and Stripe all subject to data processing agreements ✅</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No data selling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Student data is never sold</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Explicit binding commitment — see Section 9 ✅</w:t>
            </w:r>
          </w:p>
        </w:tc>
      </w:tr>
    </w:tbl>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6.  Data Classification &amp;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Category</w:t>
            </w:r>
          </w:p>
        </w:tc>
        <w:tc>
          <w:tcPr>
            <w:tcW w:type="dxa" w:w="36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Examples</w:t>
            </w:r>
          </w:p>
        </w:tc>
        <w:tc>
          <w:tcPr>
            <w:tcW w:type="dxa" w:w="42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Classification &amp; handling</w:t>
            </w:r>
          </w:p>
        </w:tc>
      </w:tr>
      <w:tr>
        <w:trPr>
          <w:tblHeader w:val="false"/>
        </w:trP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Student sporting record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First name, last initial, school, house, age group, gender category, event, result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PROTECTED — SSV display rules enforced; stored encrypted; australia-southeast1 only</w:t>
            </w:r>
          </w:p>
        </w:tc>
      </w:tr>
      <w:tr>
        <w:trPr>
          <w:tblHeader w:val="false"/>
        </w:trP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admin credentials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Admin name, school email, password hash</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PROTECTED — passwords bcrypt-hashed by Firebase; email for authentication only</w:t>
            </w:r>
          </w:p>
        </w:tc>
      </w:tr>
      <w:tr>
        <w:trPr>
          <w:tblHeader w:val="false"/>
        </w:trP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billing data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name, billing contact name, Stripe customer token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PROTECTED — processed by Stripe; Luck Dragon never receives card numbers</w:t>
            </w:r>
          </w:p>
        </w:tc>
      </w:tr>
      <w:tr>
        <w:trPr>
          <w:tblHeader w:val="false"/>
        </w:trP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Aggregated/anonymised data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Total participants per school (no individual identifiers)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PUBLIC — may be used for platform analytics and marketing</w:t>
            </w:r>
          </w:p>
        </w:tc>
      </w:tr>
      <w:tr>
        <w:trPr>
          <w:tblHeader w:val="false"/>
        </w:trP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System &amp; audit logs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IP addresses, access timestamps, error events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INTERNAL — retained 90 days; used for security monitoring only; not linked to student records</w:t>
            </w:r>
          </w:p>
        </w:tc>
      </w:tr>
    </w:tbl>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7.  Data Storage &amp; Australian Residency</w:t>
      </w:r>
    </w:p>
    <w:p>
      <w:pPr>
        <w:pStyle w:val="Heading2"/>
        <w:pBdr>
          <w:bottom w:val="single" w:color="1a56db" w:sz="6"/>
        </w:pBdr>
        <w:spacing w:after="100" w:before="280"/>
      </w:pPr>
      <w:r>
        <w:rPr>
          <w:rFonts w:ascii="Calibri" w:cs="Calibri" w:eastAsia="Calibri" w:hAnsi="Calibri"/>
          <w:b/>
          <w:bCs/>
          <w:color w:val="0d1b3e"/>
          <w:sz w:val="24"/>
          <w:szCs w:val="24"/>
        </w:rPr>
        <w:t xml:space="preserve">7.1  Firebase / Google Cloud — Region Lock</w:t>
      </w:r>
    </w:p>
    <w:p>
      <w:pPr>
        <w:spacing w:after="80" w:before="80"/>
      </w:pPr>
      <w:r>
        <w:rPr>
          <w:rFonts w:ascii="Calibri" w:cs="Calibri" w:eastAsia="Calibri" w:hAnsi="Calibri"/>
          <w:color w:val="0f172a"/>
          <w:sz w:val="20"/>
          <w:szCs w:val="20"/>
        </w:rPr>
        <w:t xml:space="preserve">All student and school data is stored in Google Cloud Firestore, configured to the australia-southeast1 region (Sydney, Australia). This is a permanent architectural constraint — the Firebase project region is set at initialisation and cannot be changed without rebuilding the project from scratch.</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4"/>
              <w:left w:val="single" w:color="10b981" w:sz="20"/>
              <w:bottom w:val="single" w:color="10b981" w:sz="4"/>
              <w:right w:val="single" w:color="10b981" w:sz="4"/>
            </w:tcBorders>
            <w:shd w:fill="e8f5e9" w:val="clear"/>
            <w:tcMar>
              <w:top w:type="dxa" w:w="120"/>
              <w:left w:type="dxa" w:w="220"/>
              <w:bottom w:type="dxa" w:w="120"/>
              <w:right w:type="dxa" w:w="220"/>
            </w:tcMar>
          </w:tcPr>
          <w:p>
            <w:pPr>
              <w:spacing w:after="0" w:before="0"/>
            </w:pPr>
            <w:r>
              <w:rPr>
                <w:rFonts w:ascii="Calibri" w:cs="Calibri" w:eastAsia="Calibri" w:hAnsi="Calibri"/>
                <w:color w:val="0f172a"/>
                <w:sz w:val="20"/>
                <w:szCs w:val="20"/>
              </w:rPr>
              <w:t xml:space="preserve">✅  Region lock confirmed: australia-southeast1 (Sydney, Australia)
Previous configuration: asia-southeast1 (Singapore) — DEPRECATED AND REMOVED
Current configuration: australia-southeast1 (Sydney) — all environments (dev, staging, prod)
No student personal information was retained in the Singapore region after migration. Migration was completed before any Victorian government school connected to the platform.</w:t>
            </w:r>
          </w:p>
        </w:tc>
      </w:tr>
    </w:tbl>
    <w:p>
      <w:pPr>
        <w:spacing w:after="0" w:before="0"/>
      </w:pPr>
      <w:r>
        <w:rPr>
          <w:rFonts w:ascii="Calibri" w:cs="Calibri" w:eastAsia="Calibri" w:hAnsi="Calibri"/>
          <w:color w:val="0f172a"/>
          <w:sz w:val="20"/>
          <w:szCs w:val="20"/>
        </w:rPr>
        <w:t xml:space="preserve"/>
      </w:r>
    </w:p>
    <w:p>
      <w:pPr>
        <w:spacing w:after="80" w:before="80"/>
      </w:pPr>
      <w:r>
        <w:rPr>
          <w:rFonts w:ascii="Calibri" w:cs="Calibri" w:eastAsia="Calibri" w:hAnsi="Calibri"/>
          <w:color w:val="0f172a"/>
          <w:sz w:val="20"/>
          <w:szCs w:val="20"/>
        </w:rPr>
        <w:t xml:space="preserve">Google LLC acts as a data processor under a Google Cloud Data Processing Addendum (DPA). Data stored in australia-southeast1 does not leave Australia except as required by Australian law.</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7.2  Cloudflare</w:t>
      </w:r>
    </w:p>
    <w:p>
      <w:pPr>
        <w:spacing w:after="80" w:before="80"/>
      </w:pPr>
      <w:r>
        <w:rPr>
          <w:rFonts w:ascii="Calibri" w:cs="Calibri" w:eastAsia="Calibri" w:hAnsi="Calibri"/>
          <w:color w:val="0f172a"/>
          <w:sz w:val="20"/>
          <w:szCs w:val="20"/>
        </w:rPr>
        <w:t xml:space="preserve">Cloudflare Inc provides CDN and DDoS protection. Cloudflare globally distributes static assets (HTML, CSS, JavaScript) for performance. Student personal information is never routed through Cloudflare caching — all API calls containing personal data are delivered directly from Google Cloud with cache-control: no-store headers.</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7.3  Stripe</w:t>
      </w:r>
    </w:p>
    <w:p>
      <w:pPr>
        <w:spacing w:after="80" w:before="80"/>
      </w:pPr>
      <w:r>
        <w:rPr>
          <w:rFonts w:ascii="Calibri" w:cs="Calibri" w:eastAsia="Calibri" w:hAnsi="Calibri"/>
          <w:color w:val="0f172a"/>
          <w:sz w:val="20"/>
          <w:szCs w:val="20"/>
        </w:rPr>
        <w:t xml:space="preserve">Stripe Inc processes school subscription billing. Stripe is PCI-DSS certified. Luck Dragon Pty Ltd does not receive, store or process payment card numbers — all payment data is tokenised by Stripe before transmission. Stripe receives no student personal information.</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7.4  Data Residency Attestation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Primary database</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Google Cloud Firestore — australia-southeast1 (Sydney, Australia)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Authentication</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Firebase Authentication — australia-southeast1 (Sydney, Australia)</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File / media storage</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Google Cloud Storage — australia-southeast1 (Sydney, Australia)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CDN</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Cloudflare — static assets only; no student PII cached; cache-control: no-store on all API responses</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Payment processor</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Stripe — United States; school billing data only; zero student PII transmitted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Any overseas data storage</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NONE</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Any overseas data transfer</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NONE</w:t>
            </w:r>
          </w:p>
        </w:tc>
      </w:tr>
    </w:tbl>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8.  Security Controls</w:t>
      </w:r>
    </w:p>
    <w:p>
      <w:pPr>
        <w:pStyle w:val="Heading2"/>
        <w:pBdr>
          <w:bottom w:val="single" w:color="1a56db" w:sz="6"/>
        </w:pBdr>
        <w:spacing w:after="100" w:before="280"/>
      </w:pPr>
      <w:r>
        <w:rPr>
          <w:rFonts w:ascii="Calibri" w:cs="Calibri" w:eastAsia="Calibri" w:hAnsi="Calibri"/>
          <w:b/>
          <w:bCs/>
          <w:color w:val="0d1b3e"/>
          <w:sz w:val="24"/>
          <w:szCs w:val="24"/>
        </w:rPr>
        <w:t xml:space="preserve">8.1  Technical Controls</w:t>
      </w:r>
    </w:p>
    <w:p>
      <w:pPr>
        <w:pStyle w:val="ListParagraph"/>
        <w:numPr>
          <w:ilvl w:val="0"/>
          <w:numId w:val="2"/>
        </w:numPr>
        <w:spacing w:after="40" w:before="40"/>
      </w:pPr>
      <w:r>
        <w:rPr>
          <w:rFonts w:ascii="Calibri" w:cs="Calibri" w:eastAsia="Calibri" w:hAnsi="Calibri"/>
          <w:color w:val="0f172a"/>
          <w:sz w:val="20"/>
          <w:szCs w:val="20"/>
        </w:rPr>
        <w:t xml:space="preserve">Transport encryption: TLS 1.2 minimum on all connections; HSTS enforced; HTTPS-only.</w:t>
      </w:r>
    </w:p>
    <w:p>
      <w:pPr>
        <w:pStyle w:val="ListParagraph"/>
        <w:numPr>
          <w:ilvl w:val="0"/>
          <w:numId w:val="2"/>
        </w:numPr>
        <w:spacing w:after="40" w:before="40"/>
      </w:pPr>
      <w:r>
        <w:rPr>
          <w:rFonts w:ascii="Calibri" w:cs="Calibri" w:eastAsia="Calibri" w:hAnsi="Calibri"/>
          <w:color w:val="0f172a"/>
          <w:sz w:val="20"/>
          <w:szCs w:val="20"/>
        </w:rPr>
        <w:t xml:space="preserve">Data at rest: AES-256 encryption applied by Google Cloud to all Firestore data.</w:t>
      </w:r>
    </w:p>
    <w:p>
      <w:pPr>
        <w:pStyle w:val="ListParagraph"/>
        <w:numPr>
          <w:ilvl w:val="0"/>
          <w:numId w:val="2"/>
        </w:numPr>
        <w:spacing w:after="40" w:before="40"/>
      </w:pPr>
      <w:r>
        <w:rPr>
          <w:rFonts w:ascii="Calibri" w:cs="Calibri" w:eastAsia="Calibri" w:hAnsi="Calibri"/>
          <w:color w:val="0f172a"/>
          <w:sz w:val="20"/>
          <w:szCs w:val="20"/>
        </w:rPr>
        <w:t xml:space="preserve">Authentication: Firebase Authentication — email/password; bcrypt password hashing.</w:t>
      </w:r>
    </w:p>
    <w:p>
      <w:pPr>
        <w:pStyle w:val="ListParagraph"/>
        <w:numPr>
          <w:ilvl w:val="0"/>
          <w:numId w:val="2"/>
        </w:numPr>
        <w:spacing w:after="40" w:before="40"/>
      </w:pPr>
      <w:r>
        <w:rPr>
          <w:rFonts w:ascii="Calibri" w:cs="Calibri" w:eastAsia="Calibri" w:hAnsi="Calibri"/>
          <w:color w:val="0f172a"/>
          <w:sz w:val="20"/>
          <w:szCs w:val="20"/>
        </w:rPr>
        <w:t xml:space="preserve">Authorisation: Role-based access control (RBAC) — school administrators see only their own school's data; no cross-school visibility.</w:t>
      </w:r>
    </w:p>
    <w:p>
      <w:pPr>
        <w:pStyle w:val="ListParagraph"/>
        <w:numPr>
          <w:ilvl w:val="0"/>
          <w:numId w:val="2"/>
        </w:numPr>
        <w:spacing w:after="40" w:before="40"/>
      </w:pPr>
      <w:r>
        <w:rPr>
          <w:rFonts w:ascii="Calibri" w:cs="Calibri" w:eastAsia="Calibri" w:hAnsi="Calibri"/>
          <w:color w:val="0f172a"/>
          <w:sz w:val="20"/>
          <w:szCs w:val="20"/>
        </w:rPr>
        <w:t xml:space="preserve">API security: All API endpoints require a valid authenticated session token; no unauthenticated write access permitted.</w:t>
      </w:r>
    </w:p>
    <w:p>
      <w:pPr>
        <w:pStyle w:val="ListParagraph"/>
        <w:numPr>
          <w:ilvl w:val="0"/>
          <w:numId w:val="2"/>
        </w:numPr>
        <w:spacing w:after="40" w:before="40"/>
      </w:pPr>
      <w:r>
        <w:rPr>
          <w:rFonts w:ascii="Calibri" w:cs="Calibri" w:eastAsia="Calibri" w:hAnsi="Calibri"/>
          <w:color w:val="0f172a"/>
          <w:sz w:val="20"/>
          <w:szCs w:val="20"/>
        </w:rPr>
        <w:t xml:space="preserve">Database rules: Firestore Security Rules enforce school-level data isolation at the database layer, independent of application code.</w:t>
      </w:r>
    </w:p>
    <w:p>
      <w:pPr>
        <w:pStyle w:val="ListParagraph"/>
        <w:numPr>
          <w:ilvl w:val="0"/>
          <w:numId w:val="2"/>
        </w:numPr>
        <w:spacing w:after="40" w:before="40"/>
      </w:pPr>
      <w:r>
        <w:rPr>
          <w:rFonts w:ascii="Calibri" w:cs="Calibri" w:eastAsia="Calibri" w:hAnsi="Calibri"/>
          <w:color w:val="0f172a"/>
          <w:sz w:val="20"/>
          <w:szCs w:val="20"/>
        </w:rPr>
        <w:t xml:space="preserve">Dependency management: npm audit on every release; critical and high CVEs must be resolved before deployment.</w:t>
      </w:r>
    </w:p>
    <w:p>
      <w:pPr>
        <w:pStyle w:val="ListParagraph"/>
        <w:numPr>
          <w:ilvl w:val="0"/>
          <w:numId w:val="2"/>
        </w:numPr>
        <w:spacing w:after="40" w:before="40"/>
      </w:pPr>
      <w:r>
        <w:rPr>
          <w:rFonts w:ascii="Calibri" w:cs="Calibri" w:eastAsia="Calibri" w:hAnsi="Calibri"/>
          <w:color w:val="0f172a"/>
          <w:sz w:val="20"/>
          <w:szCs w:val="20"/>
        </w:rPr>
        <w:t xml:space="preserve">Deployment pipeline: GitHub → Cloudflare Pages (CI/CD); no manual file uploads to production. All changes are version-controlled.</w:t>
      </w:r>
    </w:p>
    <w:p>
      <w:pPr>
        <w:pStyle w:val="ListParagraph"/>
        <w:numPr>
          <w:ilvl w:val="0"/>
          <w:numId w:val="2"/>
        </w:numPr>
        <w:spacing w:after="40" w:before="40"/>
      </w:pPr>
      <w:r>
        <w:rPr>
          <w:rFonts w:ascii="Calibri" w:cs="Calibri" w:eastAsia="Calibri" w:hAnsi="Calibri"/>
          <w:color w:val="0f172a"/>
          <w:sz w:val="20"/>
          <w:szCs w:val="20"/>
        </w:rPr>
        <w:t xml:space="preserve">Security headers: Content-Security-Policy, X-Content-Type-Options, X-Frame-Options, Referrer-Policy, Permissions-Policy enforced on all responses.</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8.2  Organisational Controls</w:t>
      </w:r>
    </w:p>
    <w:p>
      <w:pPr>
        <w:pStyle w:val="ListParagraph"/>
        <w:numPr>
          <w:ilvl w:val="0"/>
          <w:numId w:val="2"/>
        </w:numPr>
        <w:spacing w:after="40" w:before="40"/>
      </w:pPr>
      <w:r>
        <w:rPr>
          <w:rFonts w:ascii="Calibri" w:cs="Calibri" w:eastAsia="Calibri" w:hAnsi="Calibri"/>
          <w:color w:val="0f172a"/>
          <w:sz w:val="20"/>
          <w:szCs w:val="20"/>
        </w:rPr>
        <w:t xml:space="preserve">Production system access limited to Director (Paddy Gallivan) only.</w:t>
      </w:r>
    </w:p>
    <w:p>
      <w:pPr>
        <w:pStyle w:val="ListParagraph"/>
        <w:numPr>
          <w:ilvl w:val="0"/>
          <w:numId w:val="2"/>
        </w:numPr>
        <w:spacing w:after="40" w:before="40"/>
      </w:pPr>
      <w:r>
        <w:rPr>
          <w:rFonts w:ascii="Calibri" w:cs="Calibri" w:eastAsia="Calibri" w:hAnsi="Calibri"/>
          <w:color w:val="0f172a"/>
          <w:sz w:val="20"/>
          <w:szCs w:val="20"/>
        </w:rPr>
        <w:t xml:space="preserve">No contractors or third parties have access to student data.</w:t>
      </w:r>
    </w:p>
    <w:p>
      <w:pPr>
        <w:pStyle w:val="ListParagraph"/>
        <w:numPr>
          <w:ilvl w:val="0"/>
          <w:numId w:val="2"/>
        </w:numPr>
        <w:spacing w:after="40" w:before="40"/>
      </w:pPr>
      <w:r>
        <w:rPr>
          <w:rFonts w:ascii="Calibri" w:cs="Calibri" w:eastAsia="Calibri" w:hAnsi="Calibri"/>
          <w:color w:val="0f172a"/>
          <w:sz w:val="20"/>
          <w:szCs w:val="20"/>
        </w:rPr>
        <w:t xml:space="preserve">All sub-processor agreements include data processing addenda with equivalent privacy protections.</w:t>
      </w:r>
    </w:p>
    <w:p>
      <w:pPr>
        <w:pStyle w:val="ListParagraph"/>
        <w:numPr>
          <w:ilvl w:val="0"/>
          <w:numId w:val="2"/>
        </w:numPr>
        <w:spacing w:after="40" w:before="40"/>
      </w:pPr>
      <w:r>
        <w:rPr>
          <w:rFonts w:ascii="Calibri" w:cs="Calibri" w:eastAsia="Calibri" w:hAnsi="Calibri"/>
          <w:color w:val="0f172a"/>
          <w:sz w:val="20"/>
          <w:szCs w:val="20"/>
        </w:rPr>
        <w:t xml:space="preserve">Annual review of security controls, sub-processor agreements and this document.</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8.3  Vulnerability Disclosure</w:t>
      </w:r>
    </w:p>
    <w:p>
      <w:pPr>
        <w:spacing w:after="80" w:before="80"/>
      </w:pPr>
      <w:r>
        <w:rPr>
          <w:rFonts w:ascii="Calibri" w:cs="Calibri" w:eastAsia="Calibri" w:hAnsi="Calibri"/>
          <w:color w:val="0f172a"/>
          <w:sz w:val="20"/>
          <w:szCs w:val="20"/>
        </w:rPr>
        <w:t xml:space="preserve">Report security vulnerabilities to paddy@luckdragon.io. Luck Dragon Pty Ltd will acknowledge reports within 2 business days and provide a remediation timeline within 10 business days.</w:t>
      </w:r>
    </w:p>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9.  Student Data Protection Commitments</w:t>
      </w:r>
    </w:p>
    <w:p>
      <w:pPr>
        <w:spacing w:after="80" w:before="80"/>
      </w:pPr>
      <w:r>
        <w:rPr>
          <w:rFonts w:ascii="Calibri" w:cs="Calibri" w:eastAsia="Calibri" w:hAnsi="Calibri"/>
          <w:color w:val="0f172a"/>
          <w:sz w:val="20"/>
          <w:szCs w:val="20"/>
        </w:rPr>
        <w:t xml:space="preserve">Luck Dragon Pty Ltd makes the following binding commitments regarding student data. These are incorporated into the School Sport Portal Terms of Service and are enforceable by subscribing schools.</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dc2626" w:sz="16"/>
              <w:bottom w:val="single" w:color="e2e8f0" w:sz="1"/>
              <w:right w:val="single" w:color="e2e8f0" w:sz="1"/>
            </w:tcBorders>
            <w:shd w:fill="fef2f2" w:val="clear"/>
            <w:tcMar>
              <w:top w:type="dxa" w:w="80"/>
              <w:left w:type="dxa" w:w="220"/>
              <w:bottom w:type="dxa" w:w="80"/>
              <w:right w:type="dxa" w:w="220"/>
            </w:tcMar>
          </w:tcPr>
          <w:p>
            <w:pPr>
              <w:spacing w:after="0" w:before="0"/>
            </w:pPr>
            <w:r>
              <w:rPr>
                <w:rFonts w:ascii="Calibri" w:cs="Calibri" w:eastAsia="Calibri" w:hAnsi="Calibri"/>
                <w:b/>
                <w:bCs/>
                <w:color w:val="dc2626"/>
                <w:sz w:val="20"/>
                <w:szCs w:val="20"/>
              </w:rPr>
              <w:t xml:space="preserve">🚫  NEVER sell  </w:t>
            </w:r>
            <w:r>
              <w:rPr>
                <w:rFonts w:ascii="Calibri" w:cs="Calibri" w:eastAsia="Calibri" w:hAnsi="Calibri"/>
                <w:color w:val="0f172a"/>
                <w:sz w:val="20"/>
                <w:szCs w:val="20"/>
              </w:rPr>
              <w:t xml:space="preserve">Student personal information will never be sold to any third party, under any circumstances.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dc2626" w:sz="16"/>
              <w:bottom w:val="single" w:color="e2e8f0" w:sz="1"/>
              <w:right w:val="single" w:color="e2e8f0" w:sz="1"/>
            </w:tcBorders>
            <w:shd w:fill="fef2f2" w:val="clear"/>
            <w:tcMar>
              <w:top w:type="dxa" w:w="80"/>
              <w:left w:type="dxa" w:w="220"/>
              <w:bottom w:type="dxa" w:w="80"/>
              <w:right w:type="dxa" w:w="220"/>
            </w:tcMar>
          </w:tcPr>
          <w:p>
            <w:pPr>
              <w:spacing w:after="0" w:before="0"/>
            </w:pPr>
            <w:r>
              <w:rPr>
                <w:rFonts w:ascii="Calibri" w:cs="Calibri" w:eastAsia="Calibri" w:hAnsi="Calibri"/>
                <w:b/>
                <w:bCs/>
                <w:color w:val="dc2626"/>
                <w:sz w:val="20"/>
                <w:szCs w:val="20"/>
              </w:rPr>
              <w:t xml:space="preserve">🚫  NEVER advertise  </w:t>
            </w:r>
            <w:r>
              <w:rPr>
                <w:rFonts w:ascii="Calibri" w:cs="Calibri" w:eastAsia="Calibri" w:hAnsi="Calibri"/>
                <w:color w:val="0f172a"/>
                <w:sz w:val="20"/>
                <w:szCs w:val="20"/>
              </w:rPr>
              <w:t xml:space="preserve">Student data will never be used for advertising, targeted marketing or commercial profiling.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dc2626" w:sz="16"/>
              <w:bottom w:val="single" w:color="e2e8f0" w:sz="1"/>
              <w:right w:val="single" w:color="e2e8f0" w:sz="1"/>
            </w:tcBorders>
            <w:shd w:fill="fef2f2" w:val="clear"/>
            <w:tcMar>
              <w:top w:type="dxa" w:w="80"/>
              <w:left w:type="dxa" w:w="220"/>
              <w:bottom w:type="dxa" w:w="80"/>
              <w:right w:type="dxa" w:w="220"/>
            </w:tcMar>
          </w:tcPr>
          <w:p>
            <w:pPr>
              <w:spacing w:after="0" w:before="0"/>
            </w:pPr>
            <w:r>
              <w:rPr>
                <w:rFonts w:ascii="Calibri" w:cs="Calibri" w:eastAsia="Calibri" w:hAnsi="Calibri"/>
                <w:b/>
                <w:bCs/>
                <w:color w:val="dc2626"/>
                <w:sz w:val="20"/>
                <w:szCs w:val="20"/>
              </w:rPr>
              <w:t xml:space="preserve">🚫  NEVER share  </w:t>
            </w:r>
            <w:r>
              <w:rPr>
                <w:rFonts w:ascii="Calibri" w:cs="Calibri" w:eastAsia="Calibri" w:hAnsi="Calibri"/>
                <w:color w:val="0f172a"/>
                <w:sz w:val="20"/>
                <w:szCs w:val="20"/>
              </w:rPr>
              <w:t xml:space="preserve">Student data will never be shared with any entity other than the school that provided it — except as required by Australian law.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dc2626" w:sz="16"/>
              <w:bottom w:val="single" w:color="e2e8f0" w:sz="1"/>
              <w:right w:val="single" w:color="e2e8f0" w:sz="1"/>
            </w:tcBorders>
            <w:shd w:fill="fef2f2" w:val="clear"/>
            <w:tcMar>
              <w:top w:type="dxa" w:w="80"/>
              <w:left w:type="dxa" w:w="220"/>
              <w:bottom w:type="dxa" w:w="80"/>
              <w:right w:type="dxa" w:w="220"/>
            </w:tcMar>
          </w:tcPr>
          <w:p>
            <w:pPr>
              <w:spacing w:after="0" w:before="0"/>
            </w:pPr>
            <w:r>
              <w:rPr>
                <w:rFonts w:ascii="Calibri" w:cs="Calibri" w:eastAsia="Calibri" w:hAnsi="Calibri"/>
                <w:b/>
                <w:bCs/>
                <w:color w:val="dc2626"/>
                <w:sz w:val="20"/>
                <w:szCs w:val="20"/>
              </w:rPr>
              <w:t xml:space="preserve">🚫  NEVER store overseas  </w:t>
            </w:r>
            <w:r>
              <w:rPr>
                <w:rFonts w:ascii="Calibri" w:cs="Calibri" w:eastAsia="Calibri" w:hAnsi="Calibri"/>
                <w:color w:val="0f172a"/>
                <w:sz w:val="20"/>
                <w:szCs w:val="20"/>
              </w:rPr>
              <w:t xml:space="preserve">Student data will never be stored outside Australia. All data is locked to australia-southeast1 (Sydney).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10b981" w:sz="16"/>
              <w:bottom w:val="single" w:color="e2e8f0" w:sz="1"/>
              <w:right w:val="single" w:color="e2e8f0" w:sz="1"/>
            </w:tcBorders>
            <w:shd w:fill="e8f5e9" w:val="clear"/>
            <w:tcMar>
              <w:top w:type="dxa" w:w="80"/>
              <w:left w:type="dxa" w:w="220"/>
              <w:bottom w:type="dxa" w:w="80"/>
              <w:right w:type="dxa" w:w="220"/>
            </w:tcMar>
          </w:tcPr>
          <w:p>
            <w:pPr>
              <w:spacing w:after="0" w:before="0"/>
            </w:pPr>
            <w:r>
              <w:rPr>
                <w:rFonts w:ascii="Calibri" w:cs="Calibri" w:eastAsia="Calibri" w:hAnsi="Calibri"/>
                <w:b/>
                <w:bCs/>
                <w:color w:val="10b981"/>
                <w:sz w:val="20"/>
                <w:szCs w:val="20"/>
              </w:rPr>
              <w:t xml:space="preserve">✅  ONLY collect what's needed  </w:t>
            </w:r>
            <w:r>
              <w:rPr>
                <w:rFonts w:ascii="Calibri" w:cs="Calibri" w:eastAsia="Calibri" w:hAnsi="Calibri"/>
                <w:color w:val="0f172a"/>
                <w:sz w:val="20"/>
                <w:szCs w:val="20"/>
              </w:rPr>
              <w:t xml:space="preserve">Only data required to operate school sports carnivals is collected — nothing more.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10b981" w:sz="16"/>
              <w:bottom w:val="single" w:color="e2e8f0" w:sz="1"/>
              <w:right w:val="single" w:color="e2e8f0" w:sz="1"/>
            </w:tcBorders>
            <w:shd w:fill="e8f5e9" w:val="clear"/>
            <w:tcMar>
              <w:top w:type="dxa" w:w="80"/>
              <w:left w:type="dxa" w:w="220"/>
              <w:bottom w:type="dxa" w:w="80"/>
              <w:right w:type="dxa" w:w="220"/>
            </w:tcMar>
          </w:tcPr>
          <w:p>
            <w:pPr>
              <w:spacing w:after="0" w:before="0"/>
            </w:pPr>
            <w:r>
              <w:rPr>
                <w:rFonts w:ascii="Calibri" w:cs="Calibri" w:eastAsia="Calibri" w:hAnsi="Calibri"/>
                <w:b/>
                <w:bCs/>
                <w:color w:val="10b981"/>
                <w:sz w:val="20"/>
                <w:szCs w:val="20"/>
              </w:rPr>
              <w:t xml:space="preserve">✅  ALWAYS enforce SSV rules  </w:t>
            </w:r>
            <w:r>
              <w:rPr>
                <w:rFonts w:ascii="Calibri" w:cs="Calibri" w:eastAsia="Calibri" w:hAnsi="Calibri"/>
                <w:color w:val="0f172a"/>
                <w:sz w:val="20"/>
                <w:szCs w:val="20"/>
              </w:rPr>
              <w:t xml:space="preserve">Full surnames are never shown on public pages. SSV display rules are enforced at the application layer.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10b981" w:sz="16"/>
              <w:bottom w:val="single" w:color="e2e8f0" w:sz="1"/>
              <w:right w:val="single" w:color="e2e8f0" w:sz="1"/>
            </w:tcBorders>
            <w:shd w:fill="e8f5e9" w:val="clear"/>
            <w:tcMar>
              <w:top w:type="dxa" w:w="80"/>
              <w:left w:type="dxa" w:w="220"/>
              <w:bottom w:type="dxa" w:w="80"/>
              <w:right w:type="dxa" w:w="220"/>
            </w:tcMar>
          </w:tcPr>
          <w:p>
            <w:pPr>
              <w:spacing w:after="0" w:before="0"/>
            </w:pPr>
            <w:r>
              <w:rPr>
                <w:rFonts w:ascii="Calibri" w:cs="Calibri" w:eastAsia="Calibri" w:hAnsi="Calibri"/>
                <w:b/>
                <w:bCs/>
                <w:color w:val="10b981"/>
                <w:sz w:val="20"/>
                <w:szCs w:val="20"/>
              </w:rPr>
              <w:t xml:space="preserve">✅  ALWAYS delete on request  </w:t>
            </w:r>
            <w:r>
              <w:rPr>
                <w:rFonts w:ascii="Calibri" w:cs="Calibri" w:eastAsia="Calibri" w:hAnsi="Calibri"/>
                <w:color w:val="0f172a"/>
                <w:sz w:val="20"/>
                <w:szCs w:val="20"/>
              </w:rPr>
              <w:t xml:space="preserve">All school data deleted within 90 days of subscription end, upon written request, or upon platform shutdown.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10b981" w:sz="16"/>
              <w:bottom w:val="single" w:color="e2e8f0" w:sz="1"/>
              <w:right w:val="single" w:color="e2e8f0" w:sz="1"/>
            </w:tcBorders>
            <w:shd w:fill="e8f5e9" w:val="clear"/>
            <w:tcMar>
              <w:top w:type="dxa" w:w="80"/>
              <w:left w:type="dxa" w:w="220"/>
              <w:bottom w:type="dxa" w:w="80"/>
              <w:right w:type="dxa" w:w="220"/>
            </w:tcMar>
          </w:tcPr>
          <w:p>
            <w:pPr>
              <w:spacing w:after="0" w:before="0"/>
            </w:pPr>
            <w:r>
              <w:rPr>
                <w:rFonts w:ascii="Calibri" w:cs="Calibri" w:eastAsia="Calibri" w:hAnsi="Calibri"/>
                <w:b/>
                <w:bCs/>
                <w:color w:val="10b981"/>
                <w:sz w:val="20"/>
                <w:szCs w:val="20"/>
              </w:rPr>
              <w:t xml:space="preserve">✅  ALWAYS notify on breach  </w:t>
            </w:r>
            <w:r>
              <w:rPr>
                <w:rFonts w:ascii="Calibri" w:cs="Calibri" w:eastAsia="Calibri" w:hAnsi="Calibri"/>
                <w:color w:val="0f172a"/>
                <w:sz w:val="20"/>
                <w:szCs w:val="20"/>
              </w:rPr>
              <w:t xml:space="preserve">Affected schools notified within 24 hours of becoming aware of any data breach involving student information.</w:t>
            </w:r>
          </w:p>
        </w:tc>
      </w:tr>
    </w:tbl>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10.  Incident Response &amp; Breach Notification</w:t>
      </w:r>
    </w:p>
    <w:p>
      <w:pPr>
        <w:pStyle w:val="Heading2"/>
        <w:pBdr>
          <w:bottom w:val="single" w:color="1a56db" w:sz="6"/>
        </w:pBdr>
        <w:spacing w:after="100" w:before="280"/>
      </w:pPr>
      <w:r>
        <w:rPr>
          <w:rFonts w:ascii="Calibri" w:cs="Calibri" w:eastAsia="Calibri" w:hAnsi="Calibri"/>
          <w:b/>
          <w:bCs/>
          <w:color w:val="0d1b3e"/>
          <w:sz w:val="24"/>
          <w:szCs w:val="24"/>
        </w:rPr>
        <w:t xml:space="preserve">10.1  Incident Severity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78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Severity</w:t>
            </w:r>
          </w:p>
        </w:tc>
        <w:tc>
          <w:tcPr>
            <w:tcW w:type="dxa" w:w="45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Examples</w:t>
            </w:r>
          </w:p>
        </w:tc>
        <w:tc>
          <w:tcPr>
            <w:tcW w:type="dxa" w:w="37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Response SLA</w:t>
            </w:r>
          </w:p>
        </w:tc>
      </w:tr>
      <w:tr>
        <w:trPr>
          <w:tblHeader w:val="false"/>
        </w:trPr>
        <w:tc>
          <w:tcPr>
            <w:tcW w:type="dxa" w:w="1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P1 — Critical</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Unauthorised access to student data; ransomware; database exfiltration</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Contain within 1 hr · Notify schools within 24 hrs · Notify OAIC within 30 days</w:t>
            </w:r>
          </w:p>
        </w:tc>
      </w:tr>
      <w:tr>
        <w:trPr>
          <w:tblHeader w:val="false"/>
        </w:trPr>
        <w:tc>
          <w:tcPr>
            <w:tcW w:type="dxa" w:w="1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P2 — High</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Exposed API endpoint; auth bypass; accidental disclosure of student records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Contain within 4 hrs · Notify affected parties within 48 hrs</w:t>
            </w:r>
          </w:p>
        </w:tc>
      </w:tr>
      <w:tr>
        <w:trPr>
          <w:tblHeader w:val="false"/>
        </w:trPr>
        <w:tc>
          <w:tcPr>
            <w:tcW w:type="dxa" w:w="1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P3 — Medium</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Failed-login flood; misconfiguration with no data exposure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Remediate within 72 hrs · Internal report logged</w:t>
            </w:r>
          </w:p>
        </w:tc>
      </w:tr>
      <w:tr>
        <w:trPr>
          <w:tblHeader w:val="false"/>
        </w:trPr>
        <w:tc>
          <w:tcPr>
            <w:tcW w:type="dxa" w:w="1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P4 — Low</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Isolated access error; non-exploitable vulnerability identified and patched</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Remediate within 30 days · Logged internally</w:t>
            </w:r>
          </w:p>
        </w:tc>
      </w:tr>
    </w:tbl>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10.2  Notifiable Data Breach (NDB) Process</w:t>
      </w:r>
    </w:p>
    <w:p>
      <w:pPr>
        <w:spacing w:after="80" w:before="80"/>
      </w:pPr>
      <w:r>
        <w:rPr>
          <w:rFonts w:ascii="Calibri" w:cs="Calibri" w:eastAsia="Calibri" w:hAnsi="Calibri"/>
          <w:color w:val="0f172a"/>
          <w:sz w:val="20"/>
          <w:szCs w:val="20"/>
        </w:rPr>
        <w:t xml:space="preserve">If an eligible data breach is identified or reasonably suspected:</w:t>
      </w:r>
    </w:p>
    <w:p>
      <w:pPr>
        <w:pStyle w:val="ListParagraph"/>
        <w:numPr>
          <w:ilvl w:val="0"/>
          <w:numId w:val="2"/>
        </w:numPr>
        <w:spacing w:after="40" w:before="40"/>
      </w:pPr>
      <w:r>
        <w:rPr>
          <w:rFonts w:ascii="Calibri" w:cs="Calibri" w:eastAsia="Calibri" w:hAnsi="Calibri"/>
          <w:color w:val="0f172a"/>
          <w:sz w:val="20"/>
          <w:szCs w:val="20"/>
        </w:rPr>
        <w:t xml:space="preserve">CONTAIN — Immediately restrict access to affected systems and preserve evidence.</w:t>
      </w:r>
    </w:p>
    <w:p>
      <w:pPr>
        <w:pStyle w:val="ListParagraph"/>
        <w:numPr>
          <w:ilvl w:val="0"/>
          <w:numId w:val="2"/>
        </w:numPr>
        <w:spacing w:after="40" w:before="40"/>
      </w:pPr>
      <w:r>
        <w:rPr>
          <w:rFonts w:ascii="Calibri" w:cs="Calibri" w:eastAsia="Calibri" w:hAnsi="Calibri"/>
          <w:color w:val="0f172a"/>
          <w:sz w:val="20"/>
          <w:szCs w:val="20"/>
        </w:rPr>
        <w:t xml:space="preserve">ASSESS — Determine scope, nature of data involved and likelihood of serious harm to individuals.</w:t>
      </w:r>
    </w:p>
    <w:p>
      <w:pPr>
        <w:pStyle w:val="ListParagraph"/>
        <w:numPr>
          <w:ilvl w:val="0"/>
          <w:numId w:val="2"/>
        </w:numPr>
        <w:spacing w:after="40" w:before="40"/>
      </w:pPr>
      <w:r>
        <w:rPr>
          <w:rFonts w:ascii="Calibri" w:cs="Calibri" w:eastAsia="Calibri" w:hAnsi="Calibri"/>
          <w:color w:val="0f172a"/>
          <w:sz w:val="20"/>
          <w:szCs w:val="20"/>
        </w:rPr>
        <w:t xml:space="preserve">NOTIFY SCHOOLS — Contact all affected school administrators within 24 hours: what occurred, what data was affected, what actions Luck Dragon is taking.</w:t>
      </w:r>
    </w:p>
    <w:p>
      <w:pPr>
        <w:pStyle w:val="ListParagraph"/>
        <w:numPr>
          <w:ilvl w:val="0"/>
          <w:numId w:val="2"/>
        </w:numPr>
        <w:spacing w:after="40" w:before="40"/>
      </w:pPr>
      <w:r>
        <w:rPr>
          <w:rFonts w:ascii="Calibri" w:cs="Calibri" w:eastAsia="Calibri" w:hAnsi="Calibri"/>
          <w:color w:val="0f172a"/>
          <w:sz w:val="20"/>
          <w:szCs w:val="20"/>
        </w:rPr>
        <w:t xml:space="preserve">NOTIFY OAIC — Submit NDB notification via the OAIC portal within 30 days of becoming aware of the eligible data breach.</w:t>
      </w:r>
    </w:p>
    <w:p>
      <w:pPr>
        <w:pStyle w:val="ListParagraph"/>
        <w:numPr>
          <w:ilvl w:val="0"/>
          <w:numId w:val="2"/>
        </w:numPr>
        <w:spacing w:after="40" w:before="40"/>
      </w:pPr>
      <w:r>
        <w:rPr>
          <w:rFonts w:ascii="Calibri" w:cs="Calibri" w:eastAsia="Calibri" w:hAnsi="Calibri"/>
          <w:color w:val="0f172a"/>
          <w:sz w:val="20"/>
          <w:szCs w:val="20"/>
        </w:rPr>
        <w:t xml:space="preserve">REMEDIATE — Implement technical fix; conduct post-incident review; update security controls.</w:t>
      </w:r>
    </w:p>
    <w:p>
      <w:pPr>
        <w:pStyle w:val="ListParagraph"/>
        <w:numPr>
          <w:ilvl w:val="0"/>
          <w:numId w:val="2"/>
        </w:numPr>
        <w:spacing w:after="40" w:before="40"/>
      </w:pPr>
      <w:r>
        <w:rPr>
          <w:rFonts w:ascii="Calibri" w:cs="Calibri" w:eastAsia="Calibri" w:hAnsi="Calibri"/>
          <w:color w:val="0f172a"/>
          <w:sz w:val="20"/>
          <w:szCs w:val="20"/>
        </w:rPr>
        <w:t xml:space="preserve">DOCUMENT — Maintain full written record: breach, assessment, notifications sent, remediation steps and timeline.</w:t>
      </w:r>
    </w:p>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10.3  Privacy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Luck Dragon privacy contact</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Paddy Gallivan, Director — paddy@luckdragon.io — response within 2 business days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OAIC (federal)</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oaic.gov.au/privacy/notifiable-data-breaches — NDB scheme notifications</w:t>
            </w:r>
          </w:p>
        </w:tc>
      </w:tr>
      <w:tr>
        <w:tc>
          <w:tcPr>
            <w:tcW w:type="dxa" w:w="28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OVIC (Victorian)</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ovic.vic.gov.au — Office of the Victorian Information Commissioner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DET Privacy</w:t>
            </w:r>
          </w:p>
        </w:tc>
        <w:tc>
          <w:tcPr>
            <w:tcW w:type="dxa" w:w="72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education.vic.gov.au/Pages/privacy.aspx — DET Privacy Policy</w:t>
            </w:r>
          </w:p>
        </w:tc>
      </w:tr>
    </w:tbl>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11.  Sub-Processor Register</w:t>
      </w:r>
    </w:p>
    <w:p>
      <w:pPr>
        <w:spacing w:after="80" w:before="80"/>
      </w:pPr>
      <w:r>
        <w:rPr>
          <w:rFonts w:ascii="Calibri" w:cs="Calibri" w:eastAsia="Calibri" w:hAnsi="Calibri"/>
          <w:color w:val="0f172a"/>
          <w:sz w:val="20"/>
          <w:szCs w:val="20"/>
        </w:rPr>
        <w:t xml:space="preserve">All sub-processors engaged by Luck Dragon Pty Ltd in connection with School Sport Portal are listed below. Each is bound by a data processing agreement providing protections equivalent to the Australian Privacy Principles.</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rPr>
          <w:tblHeader/>
        </w:trPr>
        <w:tc>
          <w:tcPr>
            <w:tcW w:type="dxa" w:w="24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Sub-processor</w:t>
            </w:r>
          </w:p>
        </w:tc>
        <w:tc>
          <w:tcPr>
            <w:tcW w:type="dxa" w:w="260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Role</w:t>
            </w:r>
          </w:p>
        </w:tc>
        <w:tc>
          <w:tcPr>
            <w:tcW w:type="dxa" w:w="5080"/>
            <w:tcBorders>
              <w:top w:val="single" w:color="0d1b3e" w:sz="1"/>
              <w:left w:val="single" w:color="0d1b3e" w:sz="1"/>
              <w:bottom w:val="single" w:color="0d1b3e" w:sz="1"/>
              <w:right w:val="single" w:color="0d1b3e" w:sz="1"/>
            </w:tcBorders>
            <w:shd w:fill="0d1b3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Data processed &amp; location</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Google LLC
(Firebase / Google Cloud)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Primary database, authentication, file storage</w:t>
            </w:r>
          </w:p>
        </w:tc>
        <w:tc>
          <w:tcPr>
            <w:tcW w:type="dxa" w:w="5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Student records, admin credentials, carnival data — australia-southeast1 (Sydney) only</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Cloudflare Inc</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CDN, DDoS protection, DNS</w:t>
            </w:r>
          </w:p>
        </w:tc>
        <w:tc>
          <w:tcPr>
            <w:tcW w:type="dxa" w:w="5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Static assets (HTML/CSS/JS) only — globally cached. No student PII stored or cached.</w:t>
            </w:r>
          </w:p>
        </w:tc>
      </w:tr>
      <w:tr>
        <w:trPr>
          <w:tblHeader w:val="false"/>
        </w:trP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Stripe Inc</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Payment processing</w:t>
            </w:r>
          </w:p>
        </w:tc>
        <w:tc>
          <w:tcPr>
            <w:tcW w:type="dxa" w:w="5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color w:val="0f172a"/>
                <w:sz w:val="19"/>
                <w:szCs w:val="19"/>
              </w:rPr>
              <w:t xml:space="preserve">School billing data only (name, email, Stripe token) — United States. No student data transmitted.</w:t>
            </w:r>
          </w:p>
        </w:tc>
      </w:tr>
    </w:tbl>
    <w:p>
      <w:pPr>
        <w:spacing w:after="0" w:before="0"/>
      </w:pPr>
      <w:r>
        <w:rPr>
          <w:rFonts w:ascii="Calibri" w:cs="Calibri" w:eastAsia="Calibri" w:hAnsi="Calibri"/>
          <w:color w:val="0f172a"/>
          <w:sz w:val="20"/>
          <w:szCs w:val="20"/>
        </w:rPr>
        <w:t xml:space="preserve"/>
      </w:r>
    </w:p>
    <w:p>
      <w:pPr>
        <w:spacing w:after="80" w:before="80"/>
      </w:pPr>
      <w:r>
        <w:rPr>
          <w:rFonts w:ascii="Calibri" w:cs="Calibri" w:eastAsia="Calibri" w:hAnsi="Calibri"/>
          <w:color w:val="0f172a"/>
          <w:sz w:val="20"/>
          <w:szCs w:val="20"/>
        </w:rPr>
        <w:t xml:space="preserve">No additional sub-processors are engaged. Any new sub-processor handling student personal information will be notified to schools with 30 days advance notice.</w:t>
      </w:r>
    </w:p>
    <w:p>
      <w:r>
        <w:br w:type="page"/>
      </w:r>
    </w:p>
    <w:p>
      <w:pPr>
        <w:pStyle w:val="Heading1"/>
        <w:shd w:fill="0d1b3e" w:val="clear"/>
        <w:spacing w:after="160" w:before="400"/>
        <w:ind w:left="180" w:right="180"/>
      </w:pPr>
      <w:r>
        <w:rPr>
          <w:rFonts w:ascii="Calibri" w:cs="Calibri" w:eastAsia="Calibri" w:hAnsi="Calibri"/>
          <w:b/>
          <w:bCs/>
          <w:color w:val="FFFFFF"/>
          <w:sz w:val="28"/>
          <w:szCs w:val="28"/>
        </w:rPr>
        <w:t xml:space="preserve">12.  Compliance Attestation &amp; Review</w:t>
      </w:r>
    </w:p>
    <w:p>
      <w:pPr>
        <w:pStyle w:val="Heading2"/>
        <w:pBdr>
          <w:bottom w:val="single" w:color="1a56db" w:sz="6"/>
        </w:pBdr>
        <w:spacing w:after="100" w:before="280"/>
      </w:pPr>
      <w:r>
        <w:rPr>
          <w:rFonts w:ascii="Calibri" w:cs="Calibri" w:eastAsia="Calibri" w:hAnsi="Calibri"/>
          <w:b/>
          <w:bCs/>
          <w:color w:val="0d1b3e"/>
          <w:sz w:val="24"/>
          <w:szCs w:val="24"/>
        </w:rPr>
        <w:t xml:space="preserve">12.1  Director Attestation</w:t>
      </w:r>
    </w:p>
    <w:p>
      <w:pPr>
        <w:spacing w:after="80" w:before="80"/>
      </w:pPr>
      <w:r>
        <w:rPr>
          <w:rFonts w:ascii="Calibri" w:cs="Calibri" w:eastAsia="Calibri" w:hAnsi="Calibri"/>
          <w:color w:val="0f172a"/>
          <w:sz w:val="20"/>
          <w:szCs w:val="20"/>
        </w:rPr>
        <w:t xml:space="preserve">I, Paddy Gallivan, Director of Luck Dragon Pty Ltd (ACN 697 434 898), attest that to the best of my knowledge as at the effective date of this document:</w:t>
      </w:r>
    </w:p>
    <w:p>
      <w:pPr>
        <w:spacing w:after="0" w:before="0"/>
      </w:pPr>
      <w:r>
        <w:rPr>
          <w:rFonts w:ascii="Calibri" w:cs="Calibri" w:eastAsia="Calibri" w:hAnsi="Calibri"/>
          <w:color w:val="0f172a"/>
          <w:sz w:val="20"/>
          <w:szCs w:val="20"/>
        </w:rPr>
        <w:t xml:space="preserve"/>
      </w:r>
    </w:p>
    <w:p>
      <w:pPr>
        <w:pStyle w:val="ListParagraph"/>
        <w:numPr>
          <w:ilvl w:val="0"/>
          <w:numId w:val="2"/>
        </w:numPr>
        <w:spacing w:after="40" w:before="40"/>
      </w:pPr>
      <w:r>
        <w:rPr>
          <w:rFonts w:ascii="Calibri" w:cs="Calibri" w:eastAsia="Calibri" w:hAnsi="Calibri"/>
          <w:color w:val="0f172a"/>
          <w:sz w:val="20"/>
          <w:szCs w:val="20"/>
        </w:rPr>
        <w:t xml:space="preserve">School Sport Portal stores all student personal information exclusively in Google Cloud australia-southeast1 (Sydney, Australia).</w:t>
      </w:r>
    </w:p>
    <w:p>
      <w:pPr>
        <w:pStyle w:val="ListParagraph"/>
        <w:numPr>
          <w:ilvl w:val="0"/>
          <w:numId w:val="2"/>
        </w:numPr>
        <w:spacing w:after="40" w:before="40"/>
      </w:pPr>
      <w:r>
        <w:rPr>
          <w:rFonts w:ascii="Calibri" w:cs="Calibri" w:eastAsia="Calibri" w:hAnsi="Calibri"/>
          <w:color w:val="0f172a"/>
          <w:sz w:val="20"/>
          <w:szCs w:val="20"/>
        </w:rPr>
        <w:t xml:space="preserve">No student personal information is transferred to or stored in any overseas location.</w:t>
      </w:r>
    </w:p>
    <w:p>
      <w:pPr>
        <w:pStyle w:val="ListParagraph"/>
        <w:numPr>
          <w:ilvl w:val="0"/>
          <w:numId w:val="2"/>
        </w:numPr>
        <w:spacing w:after="40" w:before="40"/>
      </w:pPr>
      <w:r>
        <w:rPr>
          <w:rFonts w:ascii="Calibri" w:cs="Calibri" w:eastAsia="Calibri" w:hAnsi="Calibri"/>
          <w:color w:val="0f172a"/>
          <w:sz w:val="20"/>
          <w:szCs w:val="20"/>
        </w:rPr>
        <w:t xml:space="preserve">School Sport Portal enforces SSV student data display rules as specified in Section 4.2.</w:t>
      </w:r>
    </w:p>
    <w:p>
      <w:pPr>
        <w:pStyle w:val="ListParagraph"/>
        <w:numPr>
          <w:ilvl w:val="0"/>
          <w:numId w:val="2"/>
        </w:numPr>
        <w:spacing w:after="40" w:before="40"/>
      </w:pPr>
      <w:r>
        <w:rPr>
          <w:rFonts w:ascii="Calibri" w:cs="Calibri" w:eastAsia="Calibri" w:hAnsi="Calibri"/>
          <w:color w:val="0f172a"/>
          <w:sz w:val="20"/>
          <w:szCs w:val="20"/>
        </w:rPr>
        <w:t xml:space="preserve">School Sport Portal complies with the Privacy and Data Protection Act 2014 (Vic), Privacy Act 1988 (Cth) and the Australian Privacy Principles.</w:t>
      </w:r>
    </w:p>
    <w:p>
      <w:pPr>
        <w:pStyle w:val="ListParagraph"/>
        <w:numPr>
          <w:ilvl w:val="0"/>
          <w:numId w:val="2"/>
        </w:numPr>
        <w:spacing w:after="40" w:before="40"/>
      </w:pPr>
      <w:r>
        <w:rPr>
          <w:rFonts w:ascii="Calibri" w:cs="Calibri" w:eastAsia="Calibri" w:hAnsi="Calibri"/>
          <w:color w:val="0f172a"/>
          <w:sz w:val="20"/>
          <w:szCs w:val="20"/>
        </w:rPr>
        <w:t xml:space="preserve">This document accurately reflects the data handling practices of School Sport Portal as at the effective date on the cover.</w:t>
      </w:r>
    </w:p>
    <w:p>
      <w:pPr>
        <w:spacing w:after="0" w:before="0"/>
      </w:pPr>
      <w:r>
        <w:rPr>
          <w:rFonts w:ascii="Calibri" w:cs="Calibri" w:eastAsia="Calibri" w:hAnsi="Calibri"/>
          <w:color w:val="0f172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Signed</w:t>
            </w:r>
          </w:p>
        </w:tc>
        <w:tc>
          <w:tcPr>
            <w:tcW w:type="dxa" w:w="7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Paddy Gallivan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Title</w:t>
            </w:r>
          </w:p>
        </w:tc>
        <w:tc>
          <w:tcPr>
            <w:tcW w:type="dxa" w:w="7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Director, Luck Dragon Pty Ltd</w:t>
            </w:r>
          </w:p>
        </w:tc>
      </w:tr>
      <w:t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ACN</w:t>
            </w:r>
          </w:p>
        </w:tc>
        <w:tc>
          <w:tcPr>
            <w:tcW w:type="dxa" w:w="7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697 434 898</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Effective date</w:t>
            </w:r>
          </w:p>
        </w:tc>
        <w:tc>
          <w:tcPr>
            <w:tcW w:type="dxa" w:w="7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29 April 2026</w:t>
            </w:r>
          </w:p>
        </w:tc>
      </w:tr>
      <w:tr>
        <w:tc>
          <w:tcPr>
            <w:tcW w:type="dxa" w:w="24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pPr>
              <w:spacing w:after="0" w:before="0"/>
            </w:pPr>
            <w:r>
              <w:rPr>
                <w:rFonts w:ascii="Calibri" w:cs="Calibri" w:eastAsia="Calibri" w:hAnsi="Calibri"/>
                <w:b/>
                <w:bCs/>
                <w:color w:val="0d1b3e"/>
                <w:sz w:val="19"/>
                <w:szCs w:val="19"/>
              </w:rPr>
              <w:t xml:space="preserve">Next review due</w:t>
            </w:r>
          </w:p>
        </w:tc>
        <w:tc>
          <w:tcPr>
            <w:tcW w:type="dxa" w:w="7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Calibri" w:cs="Calibri" w:eastAsia="Calibri" w:hAnsi="Calibri"/>
                <w:color w:val="0f172a"/>
                <w:sz w:val="20"/>
                <w:szCs w:val="20"/>
              </w:rPr>
              <w:t xml:space="preserve">April 2027 or earlier on any material trigger below</w:t>
            </w:r>
          </w:p>
        </w:tc>
      </w:tr>
    </w:tbl>
    <w:p>
      <w:pPr>
        <w:spacing w:after="0" w:before="0"/>
      </w:pPr>
      <w:r>
        <w:rPr>
          <w:rFonts w:ascii="Calibri" w:cs="Calibri" w:eastAsia="Calibri" w:hAnsi="Calibri"/>
          <w:color w:val="0f172a"/>
          <w:sz w:val="20"/>
          <w:szCs w:val="20"/>
        </w:rPr>
        <w:t xml:space="preserve"/>
      </w:r>
    </w:p>
    <w:p>
      <w:pPr>
        <w:pStyle w:val="Heading2"/>
        <w:pBdr>
          <w:bottom w:val="single" w:color="1a56db" w:sz="6"/>
        </w:pBdr>
        <w:spacing w:after="100" w:before="280"/>
      </w:pPr>
      <w:r>
        <w:rPr>
          <w:rFonts w:ascii="Calibri" w:cs="Calibri" w:eastAsia="Calibri" w:hAnsi="Calibri"/>
          <w:b/>
          <w:bCs/>
          <w:color w:val="0d1b3e"/>
          <w:sz w:val="24"/>
          <w:szCs w:val="24"/>
        </w:rPr>
        <w:t xml:space="preserve">12.2  Review Triggers</w:t>
      </w:r>
    </w:p>
    <w:p>
      <w:pPr>
        <w:spacing w:after="80" w:before="80"/>
      </w:pPr>
      <w:r>
        <w:rPr>
          <w:rFonts w:ascii="Calibri" w:cs="Calibri" w:eastAsia="Calibri" w:hAnsi="Calibri"/>
          <w:color w:val="0f172a"/>
          <w:sz w:val="20"/>
          <w:szCs w:val="20"/>
        </w:rPr>
        <w:t xml:space="preserve">This document must be reviewed and updated immediately upon:</w:t>
      </w:r>
    </w:p>
    <w:p>
      <w:pPr>
        <w:pStyle w:val="ListParagraph"/>
        <w:numPr>
          <w:ilvl w:val="0"/>
          <w:numId w:val="2"/>
        </w:numPr>
        <w:spacing w:after="40" w:before="40"/>
      </w:pPr>
      <w:r>
        <w:rPr>
          <w:rFonts w:ascii="Calibri" w:cs="Calibri" w:eastAsia="Calibri" w:hAnsi="Calibri"/>
          <w:color w:val="0f172a"/>
          <w:sz w:val="20"/>
          <w:szCs w:val="20"/>
        </w:rPr>
        <w:t xml:space="preserve">Any amendment to the Privacy Act 1988 (Cth), PDPA 2014 (Vic) or associated regulations</w:t>
      </w:r>
    </w:p>
    <w:p>
      <w:pPr>
        <w:pStyle w:val="ListParagraph"/>
        <w:numPr>
          <w:ilvl w:val="0"/>
          <w:numId w:val="2"/>
        </w:numPr>
        <w:spacing w:after="40" w:before="40"/>
      </w:pPr>
      <w:r>
        <w:rPr>
          <w:rFonts w:ascii="Calibri" w:cs="Calibri" w:eastAsia="Calibri" w:hAnsi="Calibri"/>
          <w:color w:val="0f172a"/>
          <w:sz w:val="20"/>
          <w:szCs w:val="20"/>
        </w:rPr>
        <w:t xml:space="preserve">New DET Software &amp; Admin Systems policy or updated ST4S framework version</w:t>
      </w:r>
    </w:p>
    <w:p>
      <w:pPr>
        <w:pStyle w:val="ListParagraph"/>
        <w:numPr>
          <w:ilvl w:val="0"/>
          <w:numId w:val="2"/>
        </w:numPr>
        <w:spacing w:after="40" w:before="40"/>
      </w:pPr>
      <w:r>
        <w:rPr>
          <w:rFonts w:ascii="Calibri" w:cs="Calibri" w:eastAsia="Calibri" w:hAnsi="Calibri"/>
          <w:color w:val="0f172a"/>
          <w:sz w:val="20"/>
          <w:szCs w:val="20"/>
        </w:rPr>
        <w:t xml:space="preserve">Addition of any sub-processor that will handle student personal information</w:t>
      </w:r>
    </w:p>
    <w:p>
      <w:pPr>
        <w:pStyle w:val="ListParagraph"/>
        <w:numPr>
          <w:ilvl w:val="0"/>
          <w:numId w:val="2"/>
        </w:numPr>
        <w:spacing w:after="40" w:before="40"/>
      </w:pPr>
      <w:r>
        <w:rPr>
          <w:rFonts w:ascii="Calibri" w:cs="Calibri" w:eastAsia="Calibri" w:hAnsi="Calibri"/>
          <w:color w:val="0f172a"/>
          <w:sz w:val="20"/>
          <w:szCs w:val="20"/>
        </w:rPr>
        <w:t xml:space="preserve">Any change to Firebase / Google Cloud region configuration</w:t>
      </w:r>
    </w:p>
    <w:p>
      <w:pPr>
        <w:pStyle w:val="ListParagraph"/>
        <w:numPr>
          <w:ilvl w:val="0"/>
          <w:numId w:val="2"/>
        </w:numPr>
        <w:spacing w:after="40" w:before="40"/>
      </w:pPr>
      <w:r>
        <w:rPr>
          <w:rFonts w:ascii="Calibri" w:cs="Calibri" w:eastAsia="Calibri" w:hAnsi="Calibri"/>
          <w:color w:val="0f172a"/>
          <w:sz w:val="20"/>
          <w:szCs w:val="20"/>
        </w:rPr>
        <w:t xml:space="preserve">Completion of ST4S vendor assessment (update Section 3.2.2 accordingly)</w:t>
      </w:r>
    </w:p>
    <w:p>
      <w:pPr>
        <w:pStyle w:val="ListParagraph"/>
        <w:numPr>
          <w:ilvl w:val="0"/>
          <w:numId w:val="2"/>
        </w:numPr>
        <w:spacing w:after="40" w:before="40"/>
      </w:pPr>
      <w:r>
        <w:rPr>
          <w:rFonts w:ascii="Calibri" w:cs="Calibri" w:eastAsia="Calibri" w:hAnsi="Calibri"/>
          <w:color w:val="0f172a"/>
          <w:sz w:val="20"/>
          <w:szCs w:val="20"/>
        </w:rPr>
        <w:t xml:space="preserve">Any data breach involving student personal information</w:t>
      </w:r>
    </w:p>
    <w:p>
      <w:pPr>
        <w:pStyle w:val="ListParagraph"/>
        <w:numPr>
          <w:ilvl w:val="0"/>
          <w:numId w:val="2"/>
        </w:numPr>
        <w:spacing w:after="40" w:before="40"/>
      </w:pPr>
      <w:r>
        <w:rPr>
          <w:rFonts w:ascii="Calibri" w:cs="Calibri" w:eastAsia="Calibri" w:hAnsi="Calibri"/>
          <w:color w:val="0f172a"/>
          <w:sz w:val="20"/>
          <w:szCs w:val="20"/>
        </w:rPr>
        <w:t xml:space="preserve">Any acquisition, merger or change in control of Luck Dragon Pty Ltd</w:t>
      </w:r>
    </w:p>
    <w:p>
      <w:pPr>
        <w:spacing w:after="0" w:before="0"/>
      </w:pPr>
      <w:r>
        <w:rPr>
          <w:rFonts w:ascii="Calibri" w:cs="Calibri" w:eastAsia="Calibri" w:hAnsi="Calibri"/>
          <w:color w:val="0f172a"/>
          <w:sz w:val="20"/>
          <w:szCs w:val="20"/>
        </w:rPr>
        <w:t xml:space="preserve"/>
      </w:r>
    </w:p>
    <w:p>
      <w:pPr>
        <w:spacing w:after="0" w:before="400"/>
        <w:jc w:val="center"/>
      </w:pPr>
      <w:r>
        <w:rPr>
          <w:rFonts w:ascii="Calibri" w:cs="Calibri" w:eastAsia="Calibri" w:hAnsi="Calibri"/>
          <w:i/>
          <w:iCs/>
          <w:color w:val="64748b"/>
          <w:sz w:val="18"/>
          <w:szCs w:val="18"/>
        </w:rPr>
        <w:t xml:space="preserve">This document should be read alongside the School Sport Portal Terms of Service and Privacy Policy at schoolsportportal.com.au. Questions: paddy@luckdragon.io.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6"/>
      </w:pBdr>
      <w:tabs>
        <w:tab w:val="right" w:pos="9026"/>
      </w:tabs>
      <w:spacing w:after="0" w:before="80"/>
    </w:pPr>
    <w:r>
      <w:rPr>
        <w:rFonts w:ascii="Calibri" w:cs="Calibri" w:eastAsia="Calibri" w:hAnsi="Calibri"/>
        <w:color w:val="64748b"/>
        <w:sz w:val="17"/>
        <w:szCs w:val="17"/>
      </w:rPr>
      <w:t xml:space="preserve">Confidential — not for distribution  ·  schoolsportportal.com.au</w:t>
    </w:r>
    <w:r>
      <w:rPr>
        <w:rFonts w:ascii="Calibri" w:cs="Calibri" w:eastAsia="Calibri" w:hAnsi="Calibri"/>
        <w:color w:val="64748b"/>
        <w:sz w:val="17"/>
        <w:szCs w:val="17"/>
      </w:rPr>
      <w:t xml:space="preserve">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pBdr>
      <w:tabs>
        <w:tab w:val="right" w:pos="9026"/>
      </w:tabs>
      <w:spacing w:after="80" w:before="0"/>
    </w:pPr>
    <w:r>
      <w:rPr>
        <w:rFonts w:ascii="Calibri" w:cs="Calibri" w:eastAsia="Calibri" w:hAnsi="Calibri"/>
        <w:b/>
        <w:bCs/>
        <w:color w:val="1a56db"/>
        <w:sz w:val="17"/>
        <w:szCs w:val="17"/>
      </w:rPr>
      <w:t xml:space="preserve">School Sport Portal</w:t>
    </w:r>
    <w:r>
      <w:rPr>
        <w:rFonts w:ascii="Calibri" w:cs="Calibri" w:eastAsia="Calibri" w:hAnsi="Calibri"/>
        <w:color w:val="64748b"/>
        <w:sz w:val="17"/>
        <w:szCs w:val="17"/>
      </w:rPr>
      <w:t xml:space="preserve">  ·  Privacy &amp; Data Compliance Framework</w:t>
    </w:r>
    <w:r>
      <w:rPr>
        <w:rFonts w:ascii="Calibri" w:cs="Calibri" w:eastAsia="Calibri" w:hAnsi="Calibri"/>
        <w:color w:val="64748b"/>
        <w:sz w:val="17"/>
        <w:szCs w:val="17"/>
      </w:rPr>
      <w:t xml:space="preserve">	v1.0  —  Luck Dragon Pty Ltd  ACN 697 434 898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100" w:before="280"/>
      <w:outlineLvl w:val="1"/>
    </w:pPr>
    <w:rPr>
      <w:rFonts w:ascii="Calibri" w:cs="Calibri" w:eastAsia="Calibri" w:hAnsi="Calibri"/>
      <w:b/>
      <w:bCs/>
      <w:color w:val="0d1b3e"/>
      <w:sz w:val="24"/>
      <w:szCs w:val="24"/>
    </w:rPr>
  </w:style>
  <w:style w:type="paragraph" w:styleId="Heading3">
    <w:name w:val="Heading 3"/>
    <w:basedOn w:val="Normal"/>
    <w:next w:val="Normal"/>
    <w:qFormat/>
    <w:pPr>
      <w:spacing w:after="60" w:before="200"/>
      <w:outlineLvl w:val="2"/>
    </w:pPr>
    <w:rPr>
      <w:rFonts w:ascii="Calibri" w:cs="Calibri" w:eastAsia="Calibri" w:hAnsi="Calibri"/>
      <w:b/>
      <w:bCs/>
      <w:color w:val="1a56d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2026-04-29T00:51:35.319Z</dcterms:created>
  <dcterms:modified xsi:type="dcterms:W3CDTF">2026-04-29T00:51:35.321Z</dcterms:modified>
</cp:coreProperties>
</file>

<file path=docProps/custom.xml><?xml version="1.0" encoding="utf-8"?>
<Properties xmlns="http://schemas.openxmlformats.org/officeDocument/2006/custom-properties" xmlns:vt="http://schemas.openxmlformats.org/officeDocument/2006/docPropsVTypes"/>
</file>