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revenue increased 18 percent.</w:t>
      </w:r>
    </w:p>
    <w:p>
      <w:r>
        <w:t>Focus on enterprise renewals.</w:t>
      </w:r>
    </w:p>
    <w:sectPr>
      <w:pgSz w:w="12240" w:h="15840"/>
      <w:pgMar w:top="1440" w:right="1440" w:bottom="1440" w:left="1440" w:header="720" w:footer="720" w:gutter="0"/>
    </w:sectPr>
  </w:body>
</w:document>
</file>