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val="0"/>
          <w:i w:val="0"/>
        </w:rPr>
      </w:r>
    </w:p>
    <w:p>
      <w:r>
        <w:rPr>
          <w:b w:val="0"/>
          <w:i w:val="0"/>
        </w:rPr>
      </w:r>
    </w:p>
    <w:p>
      <w:r>
        <w:rPr>
          <w:b w:val="0"/>
          <w:i w:val="0"/>
        </w:rPr>
      </w:r>
    </w:p>
    <w:p>
      <w:pPr>
        <w:jc w:val="center"/>
      </w:pPr>
      <w:r>
        <w:rPr>
          <w:b/>
          <w:i w:val="0"/>
          <w:sz w:val="28"/>
        </w:rPr>
        <w:t>CORPORACIÓN UNIVERSITARIA DE LA COSTA</w:t>
      </w:r>
    </w:p>
    <w:p>
      <w:pPr>
        <w:jc w:val="center"/>
      </w:pPr>
      <w:r>
        <w:rPr>
          <w:b/>
          <w:i w:val="0"/>
          <w:sz w:val="24"/>
        </w:rPr>
        <w:t>DEPARTAMENTO DE CIENCIAS DE LA COMPUTACIÓN Y ELECTRÓNICA</w:t>
      </w:r>
    </w:p>
    <w:p>
      <w:r>
        <w:rPr>
          <w:b w:val="0"/>
          <w:i w:val="0"/>
        </w:rPr>
      </w:r>
    </w:p>
    <w:p>
      <w:r>
        <w:rPr>
          <w:b w:val="0"/>
          <w:i w:val="0"/>
        </w:rPr>
      </w:r>
    </w:p>
    <w:p>
      <w:r>
        <w:rPr>
          <w:b w:val="0"/>
          <w:i w:val="0"/>
        </w:rPr>
      </w:r>
    </w:p>
    <w:p>
      <w:pPr>
        <w:jc w:val="center"/>
      </w:pPr>
      <w:r>
        <w:rPr>
          <w:b/>
          <w:i w:val="0"/>
          <w:sz w:val="32"/>
        </w:rPr>
        <w:t>INFORME DE LABORATORIO</w:t>
      </w:r>
    </w:p>
    <w:p>
      <w:pPr>
        <w:jc w:val="center"/>
      </w:pPr>
      <w:r>
        <w:rPr>
          <w:b w:val="0"/>
          <w:i w:val="0"/>
          <w:sz w:val="26"/>
        </w:rPr>
        <w:t>Laboratorio de Visión Artificial – LabCG3</w:t>
      </w:r>
    </w:p>
    <w:p>
      <w:pPr>
        <w:jc w:val="center"/>
      </w:pPr>
      <w:r>
        <w:rPr>
          <w:b w:val="0"/>
          <w:i/>
          <w:sz w:val="26"/>
        </w:rPr>
        <w:t>Eigenfaces: redimensionar imágenes, normalización, proyección y PCA con OpenCV</w:t>
      </w:r>
    </w:p>
    <w:p>
      <w:r>
        <w:rPr>
          <w:b w:val="0"/>
          <w:i w:val="0"/>
        </w:rPr>
      </w:r>
    </w:p>
    <w:p>
      <w:r>
        <w:rPr>
          <w:b w:val="0"/>
          <w:i w:val="0"/>
        </w:rPr>
      </w:r>
    </w:p>
    <w:p>
      <w:r>
        <w:rPr>
          <w:b w:val="0"/>
          <w:i w:val="0"/>
        </w:rPr>
      </w:r>
    </w:p>
    <w:p>
      <w:r>
        <w:rPr>
          <w:b w:val="0"/>
          <w:i w:val="0"/>
        </w:rPr>
      </w:r>
    </w:p>
    <w:p>
      <w:pPr>
        <w:jc w:val="center"/>
      </w:pPr>
      <w:r>
        <w:rPr>
          <w:b w:val="0"/>
          <w:i w:val="0"/>
        </w:rPr>
        <w:t>Presentado por:</w:t>
      </w:r>
    </w:p>
    <w:p>
      <w:pPr>
        <w:jc w:val="center"/>
      </w:pPr>
      <w:r>
        <w:rPr>
          <w:b w:val="0"/>
          <w:i w:val="0"/>
        </w:rPr>
        <w:t>Karl Luckert German</w:t>
      </w:r>
    </w:p>
    <w:p>
      <w:r>
        <w:rPr>
          <w:b w:val="0"/>
          <w:i w:val="0"/>
        </w:rPr>
      </w:r>
    </w:p>
    <w:p>
      <w:r>
        <w:rPr>
          <w:b w:val="0"/>
          <w:i w:val="0"/>
        </w:rPr>
      </w:r>
    </w:p>
    <w:p>
      <w:r>
        <w:rPr>
          <w:b w:val="0"/>
          <w:i w:val="0"/>
        </w:rPr>
      </w:r>
    </w:p>
    <w:p>
      <w:r>
        <w:rPr>
          <w:b w:val="0"/>
          <w:i w:val="0"/>
        </w:rPr>
      </w:r>
    </w:p>
    <w:p>
      <w:r>
        <w:rPr>
          <w:b w:val="0"/>
          <w:i w:val="0"/>
        </w:rPr>
      </w:r>
    </w:p>
    <w:p>
      <w:r>
        <w:rPr>
          <w:b w:val="0"/>
          <w:i w:val="0"/>
        </w:rPr>
      </w:r>
    </w:p>
    <w:p>
      <w:pPr>
        <w:jc w:val="center"/>
      </w:pPr>
      <w:r>
        <w:rPr>
          <w:b w:val="0"/>
          <w:i w:val="0"/>
        </w:rPr>
        <w:t>Barranquilla, 2026</w:t>
      </w:r>
    </w:p>
    <w:p>
      <w:r>
        <w:br w:type="page"/>
      </w:r>
    </w:p>
    <w:p>
      <w:pPr>
        <w:pStyle w:val="Heading1"/>
      </w:pPr>
      <w:r>
        <w:t>1. Introducción</w:t>
      </w:r>
    </w:p>
    <w:p>
      <w:r>
        <w:rPr>
          <w:b w:val="0"/>
          <w:i w:val="0"/>
        </w:rPr>
        <w:t>Eigenfaces es uno de los primeros métodos de reconocimiento facial (Turk y Pentland, 1991) y consiste en aplicar Análisis de Componentes Principales (PCA) a imágenes de rostros. Cada imagen, redimensionada a un tamaño fijo y aplanada, se trata como un vector de miles de dimensiones; PCA encuentra las direcciones en las que más varían las caras (las eigenfaces) y permite representar cada rostro con unos pocos coeficientes. El reconocimiento se hace comparando esos coeficientes. En este laboratorio se implementó el método con OpenCV (cv2.PCACompute) sobre el dataset AT&amp;T/ORL, se evaluó la precisión con SVM y con vecino más cercano, se estudió el efecto del número de componentes y del ruido gaussiano, y se probó el código en tiempo real con la cámara.</w:t>
      </w:r>
    </w:p>
    <w:p>
      <w:pPr>
        <w:pStyle w:val="Heading1"/>
      </w:pPr>
      <w:r>
        <w:t>2. Objetivos</w:t>
      </w:r>
    </w:p>
    <w:p>
      <w:pPr>
        <w:pStyle w:val="ListBullet"/>
      </w:pPr>
      <w:r>
        <w:t>Entender Eigenfaces como PCA aplicado a imágenes faciales: mean face + eigenvectores para proyección.</w:t>
      </w:r>
    </w:p>
    <w:p>
      <w:pPr>
        <w:pStyle w:val="ListBullet"/>
      </w:pPr>
      <w:r>
        <w:t>Redimensionar y normalizar imágenes y aplanarlas a vectores 1D para PCA.</w:t>
      </w:r>
    </w:p>
    <w:p>
      <w:pPr>
        <w:pStyle w:val="ListBullet"/>
      </w:pPr>
      <w:r>
        <w:t>Visualizar eigenfaces y proyectar nuevas caras para reconocimiento básico.</w:t>
      </w:r>
    </w:p>
    <w:p>
      <w:pPr>
        <w:pStyle w:val="Heading1"/>
      </w:pPr>
      <w:r>
        <w:t>3. Materiales y datos</w:t>
      </w:r>
    </w:p>
    <w:tbl>
      <w:tblPr>
        <w:tblStyle w:val="TableGrid"/>
        <w:tblW w:type="auto" w:w="0"/>
        <w:jc w:val="center"/>
        <w:tblLook w:firstColumn="1" w:firstRow="1" w:lastColumn="0" w:lastRow="0" w:noHBand="0" w:noVBand="1" w:val="04A0"/>
      </w:tblPr>
      <w:tblGrid>
        <w:gridCol w:w="4703"/>
        <w:gridCol w:w="4703"/>
      </w:tblGrid>
      <w:tr>
        <w:trPr>
          <w:cantSplit/>
        </w:trPr>
        <w:tc>
          <w:tcPr>
            <w:tcW w:type="dxa" w:w="2154"/>
            <w:shd w:val="clear" w:color="auto" w:fill="1F3A5F"/>
          </w:tcPr>
          <w:p>
            <w:pPr>
              <w:keepNext/>
            </w:pPr>
            <w:r/>
            <w:r>
              <w:rPr>
                <w:b/>
                <w:color w:val="FFFFFF"/>
                <w:sz w:val="20"/>
              </w:rPr>
              <w:t>Elemento</w:t>
            </w:r>
          </w:p>
        </w:tc>
        <w:tc>
          <w:tcPr>
            <w:tcW w:type="dxa" w:w="6917"/>
            <w:shd w:val="clear" w:color="auto" w:fill="1F3A5F"/>
          </w:tcPr>
          <w:p>
            <w:pPr>
              <w:keepNext/>
            </w:pPr>
            <w:r/>
            <w:r>
              <w:rPr>
                <w:b/>
                <w:color w:val="FFFFFF"/>
                <w:sz w:val="20"/>
              </w:rPr>
              <w:t>Detalle</w:t>
            </w:r>
          </w:p>
        </w:tc>
      </w:tr>
      <w:tr>
        <w:trPr>
          <w:cantSplit/>
        </w:trPr>
        <w:tc>
          <w:tcPr>
            <w:tcW w:type="dxa" w:w="2154"/>
          </w:tcPr>
          <w:p>
            <w:r/>
            <w:r>
              <w:rPr>
                <w:sz w:val="20"/>
              </w:rPr>
              <w:t>Software</w:t>
            </w:r>
          </w:p>
        </w:tc>
        <w:tc>
          <w:tcPr>
            <w:tcW w:type="dxa" w:w="6917"/>
          </w:tcPr>
          <w:p>
            <w:r/>
            <w:r>
              <w:rPr>
                <w:sz w:val="20"/>
              </w:rPr>
              <w:t>Python 3, OpenCV 5.0.0, NumPy, scikit-learn, Matplotlib, Jupyter Notebook</w:t>
            </w:r>
          </w:p>
        </w:tc>
      </w:tr>
      <w:tr>
        <w:trPr>
          <w:cantSplit/>
        </w:trPr>
        <w:tc>
          <w:tcPr>
            <w:tcW w:type="dxa" w:w="2154"/>
            <w:shd w:val="clear" w:color="auto" w:fill="EEF2F7"/>
          </w:tcPr>
          <w:p>
            <w:r/>
            <w:r>
              <w:rPr>
                <w:sz w:val="20"/>
              </w:rPr>
              <w:t>Dataset</w:t>
            </w:r>
          </w:p>
        </w:tc>
        <w:tc>
          <w:tcPr>
            <w:tcW w:type="dxa" w:w="6917"/>
            <w:shd w:val="clear" w:color="auto" w:fill="EEF2F7"/>
          </w:tcPr>
          <w:p>
            <w:r/>
            <w:r>
              <w:rPr>
                <w:sz w:val="20"/>
              </w:rPr>
              <w:t>AT&amp;T / ORL Database of Faces (Olivetti Research Laboratory), descargado de Kaggle (kasikrit/att-database-of-faces)</w:t>
            </w:r>
          </w:p>
        </w:tc>
      </w:tr>
      <w:tr>
        <w:trPr>
          <w:cantSplit/>
        </w:trPr>
        <w:tc>
          <w:tcPr>
            <w:tcW w:type="dxa" w:w="2154"/>
          </w:tcPr>
          <w:p>
            <w:r/>
            <w:r>
              <w:rPr>
                <w:sz w:val="20"/>
              </w:rPr>
              <w:t>Contenido</w:t>
            </w:r>
          </w:p>
        </w:tc>
        <w:tc>
          <w:tcPr>
            <w:tcW w:type="dxa" w:w="6917"/>
          </w:tcPr>
          <w:p>
            <w:r/>
            <w:r>
              <w:rPr>
                <w:sz w:val="20"/>
              </w:rPr>
              <w:t>40 personas × 10 imágenes = 400 imágenes, 92 × 112 píxeles, 8 bits en escala de grises; variaciones de expresión, iluminación, gafas y pequeñas rotaciones</w:t>
            </w:r>
          </w:p>
        </w:tc>
      </w:tr>
      <w:tr>
        <w:trPr>
          <w:cantSplit/>
        </w:trPr>
        <w:tc>
          <w:tcPr>
            <w:tcW w:type="dxa" w:w="2154"/>
            <w:shd w:val="clear" w:color="auto" w:fill="EEF2F7"/>
          </w:tcPr>
          <w:p>
            <w:r/>
            <w:r>
              <w:rPr>
                <w:sz w:val="20"/>
              </w:rPr>
              <w:t>Cámara (parte 5)</w:t>
            </w:r>
          </w:p>
        </w:tc>
        <w:tc>
          <w:tcPr>
            <w:tcW w:type="dxa" w:w="6917"/>
            <w:shd w:val="clear" w:color="auto" w:fill="EEF2F7"/>
          </w:tcPr>
          <w:p>
            <w:r/>
            <w:r>
              <w:rPr>
                <w:sz w:val="20"/>
              </w:rPr>
              <w:t>Cámara web integrada del portátil, 640 × 480</w:t>
            </w:r>
          </w:p>
        </w:tc>
      </w:tr>
      <w:tr>
        <w:trPr>
          <w:cantSplit/>
        </w:trPr>
        <w:tc>
          <w:tcPr>
            <w:tcW w:type="dxa" w:w="2154"/>
          </w:tcPr>
          <w:p>
            <w:r/>
            <w:r>
              <w:rPr>
                <w:sz w:val="20"/>
              </w:rPr>
              <w:t>Notebook</w:t>
            </w:r>
          </w:p>
        </w:tc>
        <w:tc>
          <w:tcPr>
            <w:tcW w:type="dxa" w:w="6917"/>
          </w:tcPr>
          <w:p>
            <w:r/>
            <w:r>
              <w:rPr>
                <w:sz w:val="20"/>
              </w:rPr>
              <w:t>LabCG3_Eigenfaces.ipynb</w:t>
            </w:r>
          </w:p>
        </w:tc>
      </w:tr>
      <w:tr>
        <w:trPr>
          <w:cantSplit/>
        </w:trPr>
        <w:tc>
          <w:tcPr>
            <w:tcW w:type="dxa" w:w="2154"/>
            <w:shd w:val="clear" w:color="auto" w:fill="EEF2F7"/>
          </w:tcPr>
          <w:p>
            <w:r/>
            <w:r>
              <w:rPr>
                <w:sz w:val="20"/>
              </w:rPr>
              <w:t>Resultados</w:t>
            </w:r>
          </w:p>
        </w:tc>
        <w:tc>
          <w:tcPr>
            <w:tcW w:type="dxa" w:w="6917"/>
            <w:shd w:val="clear" w:color="auto" w:fill="EEF2F7"/>
          </w:tcPr>
          <w:p>
            <w:r/>
            <w:r>
              <w:rPr>
                <w:sz w:val="20"/>
              </w:rPr>
              <w:t>Carpeta resultados/ (figuras, datos_labcg3.json y modelo_eigenfaces.npz)</w:t>
            </w:r>
          </w:p>
        </w:tc>
      </w:tr>
    </w:tbl>
    <w:p>
      <w:pPr>
        <w:spacing w:after="40"/>
      </w:pPr>
    </w:p>
    <w:p>
      <w:pPr>
        <w:pStyle w:val="Heading1"/>
      </w:pPr>
      <w:r>
        <w:t>4. Procedimiento y resultados</w:t>
      </w:r>
    </w:p>
    <w:p>
      <w:pPr>
        <w:pStyle w:val="Heading2"/>
      </w:pPr>
      <w:r>
        <w:t>4.1 Carga y preparación de los datos</w:t>
      </w:r>
    </w:p>
    <w:p>
      <w:r>
        <w:rPr>
          <w:b w:val="0"/>
          <w:i w:val="0"/>
        </w:rPr>
        <w:t>Se usó la función load_faces de la guía, con dos ajustes: se ordenan las carpetas y las imágenes numéricamente (os.listdir no garantiza un orden, así que las "5 primeras" podían cambiar entre ejecuciones) y se agregó un parámetro para elegir cuántas imágenes por persona cargar. Cada imagen se lee en gris, se redimensiona a 100 × 100 y se aplana a un vector de 10 000 valores.</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cantSplit/>
        </w:trPr>
        <w:tc>
          <w:tcPr>
            <w:tcW w:type="dxa" w:w="2835"/>
            <w:shd w:val="clear" w:color="auto" w:fill="1F3A5F"/>
          </w:tcPr>
          <w:p>
            <w:pPr>
              <w:keepNext/>
            </w:pPr>
            <w:r/>
            <w:r>
              <w:rPr>
                <w:b/>
                <w:color w:val="FFFFFF"/>
                <w:sz w:val="20"/>
              </w:rPr>
              <w:t>Configuración</w:t>
            </w:r>
          </w:p>
        </w:tc>
        <w:tc>
          <w:tcPr>
            <w:tcW w:type="dxa" w:w="1247"/>
            <w:shd w:val="clear" w:color="auto" w:fill="1F3A5F"/>
          </w:tcPr>
          <w:p>
            <w:pPr>
              <w:keepNext/>
            </w:pPr>
            <w:r/>
            <w:r>
              <w:rPr>
                <w:b/>
                <w:color w:val="FFFFFF"/>
                <w:sz w:val="20"/>
              </w:rPr>
              <w:t>Vectores</w:t>
            </w:r>
          </w:p>
        </w:tc>
        <w:tc>
          <w:tcPr>
            <w:tcW w:type="dxa" w:w="1134"/>
            <w:shd w:val="clear" w:color="auto" w:fill="1F3A5F"/>
          </w:tcPr>
          <w:p>
            <w:pPr>
              <w:keepNext/>
            </w:pPr>
            <w:r/>
            <w:r>
              <w:rPr>
                <w:b/>
                <w:color w:val="FFFFFF"/>
                <w:sz w:val="20"/>
              </w:rPr>
              <w:t>Clases</w:t>
            </w:r>
          </w:p>
        </w:tc>
        <w:tc>
          <w:tcPr>
            <w:tcW w:type="dxa" w:w="1361"/>
            <w:shd w:val="clear" w:color="auto" w:fill="1F3A5F"/>
          </w:tcPr>
          <w:p>
            <w:pPr>
              <w:keepNext/>
            </w:pPr>
            <w:r/>
            <w:r>
              <w:rPr>
                <w:b/>
                <w:color w:val="FFFFFF"/>
                <w:sz w:val="20"/>
              </w:rPr>
              <w:t>Dimensión</w:t>
            </w:r>
          </w:p>
        </w:tc>
        <w:tc>
          <w:tcPr>
            <w:tcW w:type="dxa" w:w="1928"/>
            <w:shd w:val="clear" w:color="auto" w:fill="1F3A5F"/>
          </w:tcPr>
          <w:p>
            <w:pPr>
              <w:keepNext/>
            </w:pPr>
            <w:r/>
            <w:r>
              <w:rPr>
                <w:b/>
                <w:color w:val="FFFFFF"/>
                <w:sz w:val="20"/>
              </w:rPr>
              <w:t>Rango de valores</w:t>
            </w:r>
          </w:p>
        </w:tc>
      </w:tr>
      <w:tr>
        <w:trPr>
          <w:cantSplit/>
        </w:trPr>
        <w:tc>
          <w:tcPr>
            <w:tcW w:type="dxa" w:w="2835"/>
          </w:tcPr>
          <w:p>
            <w:r/>
            <w:r>
              <w:rPr>
                <w:sz w:val="20"/>
              </w:rPr>
              <w:t>5 imágenes por persona (guía)</w:t>
            </w:r>
          </w:p>
        </w:tc>
        <w:tc>
          <w:tcPr>
            <w:tcW w:type="dxa" w:w="1247"/>
          </w:tcPr>
          <w:p>
            <w:r/>
            <w:r>
              <w:rPr>
                <w:sz w:val="20"/>
              </w:rPr>
              <w:t>200</w:t>
            </w:r>
          </w:p>
        </w:tc>
        <w:tc>
          <w:tcPr>
            <w:tcW w:type="dxa" w:w="1134"/>
          </w:tcPr>
          <w:p>
            <w:r/>
            <w:r>
              <w:rPr>
                <w:sz w:val="20"/>
              </w:rPr>
              <w:t>40</w:t>
            </w:r>
          </w:p>
        </w:tc>
        <w:tc>
          <w:tcPr>
            <w:tcW w:type="dxa" w:w="1361"/>
          </w:tcPr>
          <w:p>
            <w:r/>
            <w:r>
              <w:rPr>
                <w:sz w:val="20"/>
              </w:rPr>
              <w:t>10 000</w:t>
            </w:r>
          </w:p>
        </w:tc>
        <w:tc>
          <w:tcPr>
            <w:tcW w:type="dxa" w:w="1928"/>
          </w:tcPr>
          <w:p>
            <w:r/>
            <w:r>
              <w:rPr>
                <w:sz w:val="20"/>
              </w:rPr>
              <w:t>0 – 239</w:t>
            </w:r>
          </w:p>
        </w:tc>
      </w:tr>
      <w:tr>
        <w:trPr>
          <w:cantSplit/>
        </w:trPr>
        <w:tc>
          <w:tcPr>
            <w:tcW w:type="dxa" w:w="2835"/>
            <w:shd w:val="clear" w:color="auto" w:fill="EEF2F7"/>
          </w:tcPr>
          <w:p>
            <w:r/>
            <w:r>
              <w:rPr>
                <w:sz w:val="20"/>
              </w:rPr>
              <w:t>10 imágenes por persona</w:t>
            </w:r>
          </w:p>
        </w:tc>
        <w:tc>
          <w:tcPr>
            <w:tcW w:type="dxa" w:w="1247"/>
            <w:shd w:val="clear" w:color="auto" w:fill="EEF2F7"/>
          </w:tcPr>
          <w:p>
            <w:r/>
            <w:r>
              <w:rPr>
                <w:sz w:val="20"/>
              </w:rPr>
              <w:t>400</w:t>
            </w:r>
          </w:p>
        </w:tc>
        <w:tc>
          <w:tcPr>
            <w:tcW w:type="dxa" w:w="1134"/>
            <w:shd w:val="clear" w:color="auto" w:fill="EEF2F7"/>
          </w:tcPr>
          <w:p>
            <w:r/>
            <w:r>
              <w:rPr>
                <w:sz w:val="20"/>
              </w:rPr>
              <w:t>40</w:t>
            </w:r>
          </w:p>
        </w:tc>
        <w:tc>
          <w:tcPr>
            <w:tcW w:type="dxa" w:w="1361"/>
            <w:shd w:val="clear" w:color="auto" w:fill="EEF2F7"/>
          </w:tcPr>
          <w:p>
            <w:r/>
            <w:r>
              <w:rPr>
                <w:sz w:val="20"/>
              </w:rPr>
              <w:t>10 000</w:t>
            </w:r>
          </w:p>
        </w:tc>
        <w:tc>
          <w:tcPr>
            <w:tcW w:type="dxa" w:w="1928"/>
            <w:shd w:val="clear" w:color="auto" w:fill="EEF2F7"/>
          </w:tcPr>
          <w:p>
            <w:r/>
            <w:r>
              <w:rPr>
                <w:sz w:val="20"/>
              </w:rPr>
              <w:t>0 – 239</w:t>
            </w:r>
          </w:p>
        </w:tc>
      </w:tr>
    </w:tbl>
    <w:p>
      <w:pPr>
        <w:spacing w:after="40"/>
      </w:pPr>
    </w:p>
    <w:p>
      <w:pPr>
        <w:jc w:val="center"/>
      </w:pPr>
      <w:r>
        <w:drawing>
          <wp:inline xmlns:a="http://schemas.openxmlformats.org/drawingml/2006/main" xmlns:pic="http://schemas.openxmlformats.org/drawingml/2006/picture">
            <wp:extent cx="5040000" cy="2210824"/>
            <wp:docPr id="1" name="Picture 1"/>
            <wp:cNvGraphicFramePr>
              <a:graphicFrameLocks noChangeAspect="1"/>
            </wp:cNvGraphicFramePr>
            <a:graphic>
              <a:graphicData uri="http://schemas.openxmlformats.org/drawingml/2006/picture">
                <pic:pic>
                  <pic:nvPicPr>
                    <pic:cNvPr id="0" name="1_muestras.png"/>
                    <pic:cNvPicPr/>
                  </pic:nvPicPr>
                  <pic:blipFill>
                    <a:blip r:embed="rId9"/>
                    <a:stretch>
                      <a:fillRect/>
                    </a:stretch>
                  </pic:blipFill>
                  <pic:spPr>
                    <a:xfrm>
                      <a:off x="0" y="0"/>
                      <a:ext cx="5040000" cy="2210824"/>
                    </a:xfrm>
                    <a:prstGeom prst="rect"/>
                  </pic:spPr>
                </pic:pic>
              </a:graphicData>
            </a:graphic>
          </wp:inline>
        </w:drawing>
      </w:r>
    </w:p>
    <w:p>
      <w:pPr>
        <w:spacing w:after="200"/>
        <w:jc w:val="center"/>
      </w:pPr>
      <w:r>
        <w:rPr>
          <w:b w:val="0"/>
          <w:i/>
          <w:sz w:val="18"/>
        </w:rPr>
        <w:t>Figura 1. Una imagen de cada una de las primeras 10 personas (100 × 100).</w:t>
      </w:r>
    </w:p>
    <w:p>
      <w:pPr>
        <w:jc w:val="center"/>
      </w:pPr>
      <w:r>
        <w:drawing>
          <wp:inline xmlns:a="http://schemas.openxmlformats.org/drawingml/2006/main" xmlns:pic="http://schemas.openxmlformats.org/drawingml/2006/picture">
            <wp:extent cx="4680000" cy="1830692"/>
            <wp:docPr id="2" name="Picture 2"/>
            <wp:cNvGraphicFramePr>
              <a:graphicFrameLocks noChangeAspect="1"/>
            </wp:cNvGraphicFramePr>
            <a:graphic>
              <a:graphicData uri="http://schemas.openxmlformats.org/drawingml/2006/picture">
                <pic:pic>
                  <pic:nvPicPr>
                    <pic:cNvPr id="0" name="1_redimensionar_aplanar.png"/>
                    <pic:cNvPicPr/>
                  </pic:nvPicPr>
                  <pic:blipFill>
                    <a:blip r:embed="rId10"/>
                    <a:stretch>
                      <a:fillRect/>
                    </a:stretch>
                  </pic:blipFill>
                  <pic:spPr>
                    <a:xfrm>
                      <a:off x="0" y="0"/>
                      <a:ext cx="4680000" cy="1830692"/>
                    </a:xfrm>
                    <a:prstGeom prst="rect"/>
                  </pic:spPr>
                </pic:pic>
              </a:graphicData>
            </a:graphic>
          </wp:inline>
        </w:drawing>
      </w:r>
    </w:p>
    <w:p>
      <w:pPr>
        <w:spacing w:after="200"/>
        <w:jc w:val="center"/>
      </w:pPr>
      <w:r>
        <w:rPr>
          <w:b w:val="0"/>
          <w:i/>
          <w:sz w:val="18"/>
        </w:rPr>
        <w:t>Figura 2. Imagen original 92 × 112, redimensionada a 100 × 100 y aplanada a un vector de 10 000.</w:t>
      </w:r>
    </w:p>
    <w:p>
      <w:r>
        <w:rPr>
          <w:b w:val="0"/>
          <w:i w:val="0"/>
        </w:rPr>
        <w:t>Al pasar de 92 × 112 a 100 × 100 la proporción cambia ligeramente, pero como todas las imágenes se deforman igual no afecta a PCA. Lo importante es que todas tengan el mismo tamaño, porque cada píxel se convierte en una dimensión y la misma posición del vector debe corresponder al mismo lugar de la cara en todas las imágenes.</w:t>
      </w:r>
    </w:p>
    <w:p>
      <w:pPr>
        <w:pStyle w:val="Heading2"/>
      </w:pPr>
      <w:r>
        <w:t>4.2 Normalización y mean face</w:t>
      </w:r>
    </w:p>
    <w:p>
      <w:r>
        <w:rPr>
          <w:b w:val="0"/>
          <w:i w:val="0"/>
        </w:rPr>
        <w:t>Se calculó la cara promedio (mean face) y se restó a cada imagen (mean centering). Después del centrado la media de los datos es 0, que es lo que requiere PCA para que las direcciones encontradas describan las diferencias entre caras y no la cara promedio.</w:t>
      </w:r>
    </w:p>
    <w:p>
      <w:pPr>
        <w:jc w:val="center"/>
      </w:pPr>
      <w:r>
        <w:drawing>
          <wp:inline xmlns:a="http://schemas.openxmlformats.org/drawingml/2006/main" xmlns:pic="http://schemas.openxmlformats.org/drawingml/2006/picture">
            <wp:extent cx="4320000" cy="1537761"/>
            <wp:docPr id="3" name="Picture 3"/>
            <wp:cNvGraphicFramePr>
              <a:graphicFrameLocks noChangeAspect="1"/>
            </wp:cNvGraphicFramePr>
            <a:graphic>
              <a:graphicData uri="http://schemas.openxmlformats.org/drawingml/2006/picture">
                <pic:pic>
                  <pic:nvPicPr>
                    <pic:cNvPr id="0" name="2_mean_face.png"/>
                    <pic:cNvPicPr/>
                  </pic:nvPicPr>
                  <pic:blipFill>
                    <a:blip r:embed="rId11"/>
                    <a:stretch>
                      <a:fillRect/>
                    </a:stretch>
                  </pic:blipFill>
                  <pic:spPr>
                    <a:xfrm>
                      <a:off x="0" y="0"/>
                      <a:ext cx="4320000" cy="1537761"/>
                    </a:xfrm>
                    <a:prstGeom prst="rect"/>
                  </pic:spPr>
                </pic:pic>
              </a:graphicData>
            </a:graphic>
          </wp:inline>
        </w:drawing>
      </w:r>
    </w:p>
    <w:p>
      <w:pPr>
        <w:spacing w:after="200"/>
        <w:jc w:val="center"/>
      </w:pPr>
      <w:r>
        <w:rPr>
          <w:b w:val="0"/>
          <w:i/>
          <w:sz w:val="18"/>
        </w:rPr>
        <w:t>Figura 3. Mean face, una imagen original y la misma imagen después de restar la media.</w:t>
      </w:r>
    </w:p>
    <w:p>
      <w:pPr>
        <w:pStyle w:val="Heading2"/>
      </w:pPr>
      <w:r>
        <w:t>4.3 PCA con OpenCV</w:t>
      </w:r>
    </w:p>
    <w:p>
      <w:r>
        <w:rPr>
          <w:b/>
          <w:i w:val="0"/>
        </w:rPr>
        <w:t>Al ejecutar el código de la guía se encontraron dos problemas:</w:t>
      </w:r>
    </w:p>
    <w:tbl>
      <w:tblPr>
        <w:tblStyle w:val="TableGrid"/>
        <w:tblW w:type="auto" w:w="0"/>
        <w:jc w:val="center"/>
        <w:tblLook w:firstColumn="1" w:firstRow="1" w:lastColumn="0" w:lastRow="0" w:noHBand="0" w:noVBand="1" w:val="04A0"/>
      </w:tblPr>
      <w:tblGrid>
        <w:gridCol w:w="3135"/>
        <w:gridCol w:w="3135"/>
        <w:gridCol w:w="3135"/>
      </w:tblGrid>
      <w:tr>
        <w:trPr>
          <w:cantSplit/>
        </w:trPr>
        <w:tc>
          <w:tcPr>
            <w:tcW w:type="dxa" w:w="1928"/>
            <w:shd w:val="clear" w:color="auto" w:fill="1F3A5F"/>
          </w:tcPr>
          <w:p>
            <w:pPr>
              <w:keepNext/>
            </w:pPr>
            <w:r/>
            <w:r>
              <w:rPr>
                <w:b/>
                <w:color w:val="FFFFFF"/>
                <w:sz w:val="20"/>
              </w:rPr>
              <w:t>Problema</w:t>
            </w:r>
          </w:p>
        </w:tc>
        <w:tc>
          <w:tcPr>
            <w:tcW w:type="dxa" w:w="4422"/>
            <w:shd w:val="clear" w:color="auto" w:fill="1F3A5F"/>
          </w:tcPr>
          <w:p>
            <w:pPr>
              <w:keepNext/>
            </w:pPr>
            <w:r/>
            <w:r>
              <w:rPr>
                <w:b/>
                <w:color w:val="FFFFFF"/>
                <w:sz w:val="20"/>
              </w:rPr>
              <w:t>Qué pasa</w:t>
            </w:r>
          </w:p>
        </w:tc>
        <w:tc>
          <w:tcPr>
            <w:tcW w:type="dxa" w:w="2721"/>
            <w:shd w:val="clear" w:color="auto" w:fill="1F3A5F"/>
          </w:tcPr>
          <w:p>
            <w:pPr>
              <w:keepNext/>
            </w:pPr>
            <w:r/>
            <w:r>
              <w:rPr>
                <w:b/>
                <w:color w:val="FFFFFF"/>
                <w:sz w:val="20"/>
              </w:rPr>
              <w:t>Corrección</w:t>
            </w:r>
          </w:p>
        </w:tc>
      </w:tr>
      <w:tr>
        <w:trPr>
          <w:cantSplit/>
        </w:trPr>
        <w:tc>
          <w:tcPr>
            <w:tcW w:type="dxa" w:w="1928"/>
          </w:tcPr>
          <w:p>
            <w:r/>
            <w:r>
              <w:rPr>
                <w:sz w:val="20"/>
              </w:rPr>
              <w:t>pca[i] no son las eigenfaces</w:t>
            </w:r>
          </w:p>
        </w:tc>
        <w:tc>
          <w:tcPr>
            <w:tcW w:type="dxa" w:w="4422"/>
          </w:tcPr>
          <w:p>
            <w:r/>
            <w:r>
              <w:rPr>
                <w:sz w:val="20"/>
              </w:rPr>
              <w:t>cv2.PCACompute devuelve la tupla (mean, eigenvectors). pca[0] es la media (se dibuja como "Eigenface 1"), pca[1] es la matriz 50 × 10 000 y su reshape a 100 × 100 falla con ValueError; pca[2] no existe</w:t>
            </w:r>
          </w:p>
        </w:tc>
        <w:tc>
          <w:tcPr>
            <w:tcW w:type="dxa" w:w="2721"/>
          </w:tcPr>
          <w:p>
            <w:r/>
            <w:r>
              <w:rPr>
                <w:sz w:val="20"/>
              </w:rPr>
              <w:t>mean, eigenvectors = cv2.PCACompute(...) y usar eigenvectors[i]</w:t>
            </w:r>
          </w:p>
        </w:tc>
      </w:tr>
      <w:tr>
        <w:trPr>
          <w:cantSplit/>
        </w:trPr>
        <w:tc>
          <w:tcPr>
            <w:tcW w:type="dxa" w:w="1928"/>
            <w:shd w:val="clear" w:color="auto" w:fill="EEF2F7"/>
          </w:tcPr>
          <w:p>
            <w:r/>
            <w:r>
              <w:rPr>
                <w:sz w:val="20"/>
              </w:rPr>
              <w:t>La media se resta dos veces</w:t>
            </w:r>
          </w:p>
        </w:tc>
        <w:tc>
          <w:tcPr>
            <w:tcW w:type="dxa" w:w="4422"/>
            <w:shd w:val="clear" w:color="auto" w:fill="EEF2F7"/>
          </w:tcPr>
          <w:p>
            <w:r/>
            <w:r>
              <w:rPr>
                <w:sz w:val="20"/>
              </w:rPr>
              <w:t>Se pasa faces_centered y además mean=mean_face, así que OpenCV vuelve a centrar y calcula PCA sobre faces − 2·mean_face</w:t>
            </w:r>
          </w:p>
        </w:tc>
        <w:tc>
          <w:tcPr>
            <w:tcW w:type="dxa" w:w="2721"/>
            <w:shd w:val="clear" w:color="auto" w:fill="EEF2F7"/>
          </w:tcPr>
          <w:p>
            <w:r/>
            <w:r>
              <w:rPr>
                <w:sz w:val="20"/>
              </w:rPr>
              <w:t>Pasar las caras sin centrar con mean=None, o las centradas con una media de ceros</w:t>
            </w:r>
          </w:p>
        </w:tc>
      </w:tr>
    </w:tbl>
    <w:p>
      <w:pPr>
        <w:spacing w:after="40"/>
      </w:pPr>
    </w:p>
    <w:p>
      <w:r>
        <w:rPr>
          <w:b w:val="0"/>
          <w:i w:val="0"/>
        </w:rPr>
        <w:t>Para ver el efecto del segundo error se comparó la primera eigenface de ambas versiones con la mean face mediante el coseno del ángulo entre los vectores:</w:t>
      </w:r>
    </w:p>
    <w:tbl>
      <w:tblPr>
        <w:tblStyle w:val="TableGrid"/>
        <w:tblW w:type="auto" w:w="0"/>
        <w:jc w:val="center"/>
        <w:tblLook w:firstColumn="1" w:firstRow="1" w:lastColumn="0" w:lastRow="0" w:noHBand="0" w:noVBand="1" w:val="04A0"/>
      </w:tblPr>
      <w:tblGrid>
        <w:gridCol w:w="4703"/>
        <w:gridCol w:w="4703"/>
      </w:tblGrid>
      <w:tr>
        <w:trPr>
          <w:cantSplit/>
        </w:trPr>
        <w:tc>
          <w:tcPr>
            <w:tcW w:type="dxa" w:w="4535"/>
            <w:shd w:val="clear" w:color="auto" w:fill="1F3A5F"/>
          </w:tcPr>
          <w:p>
            <w:pPr>
              <w:keepNext/>
            </w:pPr>
            <w:r/>
            <w:r>
              <w:rPr>
                <w:b/>
                <w:color w:val="FFFFFF"/>
                <w:sz w:val="20"/>
              </w:rPr>
              <w:t>Versión</w:t>
            </w:r>
          </w:p>
        </w:tc>
        <w:tc>
          <w:tcPr>
            <w:tcW w:type="dxa" w:w="4535"/>
            <w:shd w:val="clear" w:color="auto" w:fill="1F3A5F"/>
          </w:tcPr>
          <w:p>
            <w:pPr>
              <w:keepNext/>
            </w:pPr>
            <w:r/>
            <w:r>
              <w:rPr>
                <w:b/>
                <w:color w:val="FFFFFF"/>
                <w:sz w:val="20"/>
              </w:rPr>
              <w:t>|coseno| con la mean face</w:t>
            </w:r>
          </w:p>
        </w:tc>
      </w:tr>
      <w:tr>
        <w:trPr>
          <w:cantSplit/>
        </w:trPr>
        <w:tc>
          <w:tcPr>
            <w:tcW w:type="dxa" w:w="4535"/>
          </w:tcPr>
          <w:p>
            <w:r/>
            <w:r>
              <w:rPr>
                <w:sz w:val="20"/>
              </w:rPr>
              <w:t>Guía (media restada dos veces)</w:t>
            </w:r>
          </w:p>
        </w:tc>
        <w:tc>
          <w:tcPr>
            <w:tcW w:type="dxa" w:w="4535"/>
          </w:tcPr>
          <w:p>
            <w:r/>
            <w:r>
              <w:rPr>
                <w:sz w:val="20"/>
              </w:rPr>
              <w:t>1.000</w:t>
            </w:r>
          </w:p>
        </w:tc>
      </w:tr>
      <w:tr>
        <w:trPr>
          <w:cantSplit/>
        </w:trPr>
        <w:tc>
          <w:tcPr>
            <w:tcW w:type="dxa" w:w="4535"/>
            <w:shd w:val="clear" w:color="auto" w:fill="EEF2F7"/>
          </w:tcPr>
          <w:p>
            <w:r/>
            <w:r>
              <w:rPr>
                <w:sz w:val="20"/>
              </w:rPr>
              <w:t>Corregida</w:t>
            </w:r>
          </w:p>
        </w:tc>
        <w:tc>
          <w:tcPr>
            <w:tcW w:type="dxa" w:w="4535"/>
            <w:shd w:val="clear" w:color="auto" w:fill="EEF2F7"/>
          </w:tcPr>
          <w:p>
            <w:r/>
            <w:r>
              <w:rPr>
                <w:sz w:val="20"/>
              </w:rPr>
              <w:t>0.619</w:t>
            </w:r>
          </w:p>
        </w:tc>
      </w:tr>
    </w:tbl>
    <w:p>
      <w:pPr>
        <w:spacing w:after="40"/>
      </w:pPr>
    </w:p>
    <w:p>
      <w:pPr>
        <w:jc w:val="center"/>
      </w:pPr>
      <w:r>
        <w:drawing>
          <wp:inline xmlns:a="http://schemas.openxmlformats.org/drawingml/2006/main" xmlns:pic="http://schemas.openxmlformats.org/drawingml/2006/picture">
            <wp:extent cx="4320000" cy="1549091"/>
            <wp:docPr id="4" name="Picture 4"/>
            <wp:cNvGraphicFramePr>
              <a:graphicFrameLocks noChangeAspect="1"/>
            </wp:cNvGraphicFramePr>
            <a:graphic>
              <a:graphicData uri="http://schemas.openxmlformats.org/drawingml/2006/picture">
                <pic:pic>
                  <pic:nvPicPr>
                    <pic:cNvPr id="0" name="3_error_doble_media.png"/>
                    <pic:cNvPicPr/>
                  </pic:nvPicPr>
                  <pic:blipFill>
                    <a:blip r:embed="rId12"/>
                    <a:stretch>
                      <a:fillRect/>
                    </a:stretch>
                  </pic:blipFill>
                  <pic:spPr>
                    <a:xfrm>
                      <a:off x="0" y="0"/>
                      <a:ext cx="4320000" cy="1549091"/>
                    </a:xfrm>
                    <a:prstGeom prst="rect"/>
                  </pic:spPr>
                </pic:pic>
              </a:graphicData>
            </a:graphic>
          </wp:inline>
        </w:drawing>
      </w:r>
    </w:p>
    <w:p>
      <w:pPr>
        <w:spacing w:after="200"/>
        <w:jc w:val="center"/>
      </w:pPr>
      <w:r>
        <w:rPr>
          <w:b w:val="0"/>
          <w:i/>
          <w:sz w:val="18"/>
        </w:rPr>
        <w:t>Figura 4. Primera eigenface con la media restada dos veces (izq.), corregida (centro) y mean face (der.).</w:t>
      </w:r>
    </w:p>
    <w:p>
      <w:r>
        <w:rPr>
          <w:b w:val="0"/>
          <w:i w:val="0"/>
        </w:rPr>
        <w:t>Con el error, los datos quedan desplazados hacia −mean_face y la dirección de máxima varianza pasa a ser la propia cara promedio: la primera eigenface es la mean face invertida y se desperdicia. En la versión corregida se usó cv2.PCACompute2, que además devuelve los eigenvalores (la varianza de cada componente).</w:t>
      </w:r>
    </w:p>
    <w:p>
      <w:pPr>
        <w:jc w:val="center"/>
      </w:pPr>
      <w:r>
        <w:drawing>
          <wp:inline xmlns:a="http://schemas.openxmlformats.org/drawingml/2006/main" xmlns:pic="http://schemas.openxmlformats.org/drawingml/2006/picture">
            <wp:extent cx="5580000" cy="2340304"/>
            <wp:docPr id="5" name="Picture 5"/>
            <wp:cNvGraphicFramePr>
              <a:graphicFrameLocks noChangeAspect="1"/>
            </wp:cNvGraphicFramePr>
            <a:graphic>
              <a:graphicData uri="http://schemas.openxmlformats.org/drawingml/2006/picture">
                <pic:pic>
                  <pic:nvPicPr>
                    <pic:cNvPr id="0" name="3_eigenfaces.png"/>
                    <pic:cNvPicPr/>
                  </pic:nvPicPr>
                  <pic:blipFill>
                    <a:blip r:embed="rId13"/>
                    <a:stretch>
                      <a:fillRect/>
                    </a:stretch>
                  </pic:blipFill>
                  <pic:spPr>
                    <a:xfrm>
                      <a:off x="0" y="0"/>
                      <a:ext cx="5580000" cy="2340304"/>
                    </a:xfrm>
                    <a:prstGeom prst="rect"/>
                  </pic:spPr>
                </pic:pic>
              </a:graphicData>
            </a:graphic>
          </wp:inline>
        </w:drawing>
      </w:r>
    </w:p>
    <w:p>
      <w:pPr>
        <w:spacing w:after="200"/>
        <w:jc w:val="center"/>
      </w:pPr>
      <w:r>
        <w:rPr>
          <w:b w:val="0"/>
          <w:i/>
          <w:sz w:val="18"/>
        </w:rPr>
        <w:t>Figura 5. Las 10 primeras eigenfaces (5 imágenes por persona).</w:t>
      </w:r>
    </w:p>
    <w:p>
      <w:r>
        <w:rPr>
          <w:b w:val="0"/>
          <w:i w:val="0"/>
        </w:rPr>
        <w:t>Las eigenfaces son "caras fantasma" que representan las direcciones de mayor variación: las primeras describen la forma general de la cabeza, el pelo y la iluminación (la eigenface 4 muestra luz de un lado y sombra del otro), y otras capturan detalles como las gafas (eigenfaces 6 y 9) o la boca y el bigote (eigenface 10).</w:t>
      </w:r>
    </w:p>
    <w:tbl>
      <w:tblPr>
        <w:tblStyle w:val="TableGrid"/>
        <w:tblW w:type="auto" w:w="0"/>
        <w:jc w:val="center"/>
        <w:tblLook w:firstColumn="1" w:firstRow="1" w:lastColumn="0" w:lastRow="0" w:noHBand="0" w:noVBand="1" w:val="04A0"/>
      </w:tblPr>
      <w:tblGrid>
        <w:gridCol w:w="4703"/>
        <w:gridCol w:w="4703"/>
      </w:tblGrid>
      <w:tr>
        <w:trPr>
          <w:cantSplit/>
        </w:trPr>
        <w:tc>
          <w:tcPr>
            <w:tcW w:type="dxa" w:w="3402"/>
            <w:shd w:val="clear" w:color="auto" w:fill="1F3A5F"/>
          </w:tcPr>
          <w:p>
            <w:pPr>
              <w:keepNext/>
            </w:pPr>
            <w:r/>
            <w:r>
              <w:rPr>
                <w:b/>
                <w:color w:val="FFFFFF"/>
                <w:sz w:val="20"/>
              </w:rPr>
              <w:t>Componentes</w:t>
            </w:r>
          </w:p>
        </w:tc>
        <w:tc>
          <w:tcPr>
            <w:tcW w:type="dxa" w:w="5669"/>
            <w:shd w:val="clear" w:color="auto" w:fill="1F3A5F"/>
          </w:tcPr>
          <w:p>
            <w:pPr>
              <w:keepNext/>
            </w:pPr>
            <w:r/>
            <w:r>
              <w:rPr>
                <w:b/>
                <w:color w:val="FFFFFF"/>
                <w:sz w:val="20"/>
              </w:rPr>
              <w:t>% varianza acumulada</w:t>
            </w:r>
          </w:p>
        </w:tc>
      </w:tr>
      <w:tr>
        <w:trPr>
          <w:cantSplit/>
        </w:trPr>
        <w:tc>
          <w:tcPr>
            <w:tcW w:type="dxa" w:w="3402"/>
          </w:tcPr>
          <w:p>
            <w:r/>
            <w:r>
              <w:rPr>
                <w:sz w:val="20"/>
              </w:rPr>
              <w:t>1 – 5</w:t>
            </w:r>
          </w:p>
        </w:tc>
        <w:tc>
          <w:tcPr>
            <w:tcW w:type="dxa" w:w="5669"/>
          </w:tcPr>
          <w:p>
            <w:r/>
            <w:r>
              <w:rPr>
                <w:sz w:val="20"/>
              </w:rPr>
              <w:t>19.6 %, 13.1 %, 7.4 %, 5.9 %, 5.4 % (individual)</w:t>
            </w:r>
          </w:p>
        </w:tc>
      </w:tr>
      <w:tr>
        <w:trPr>
          <w:cantSplit/>
        </w:trPr>
        <w:tc>
          <w:tcPr>
            <w:tcW w:type="dxa" w:w="3402"/>
            <w:shd w:val="clear" w:color="auto" w:fill="EEF2F7"/>
          </w:tcPr>
          <w:p>
            <w:r/>
            <w:r>
              <w:rPr>
                <w:sz w:val="20"/>
              </w:rPr>
              <w:t>10</w:t>
            </w:r>
          </w:p>
        </w:tc>
        <w:tc>
          <w:tcPr>
            <w:tcW w:type="dxa" w:w="5669"/>
            <w:shd w:val="clear" w:color="auto" w:fill="EEF2F7"/>
          </w:tcPr>
          <w:p>
            <w:r/>
            <w:r>
              <w:rPr>
                <w:sz w:val="20"/>
              </w:rPr>
              <w:t>64.2 %</w:t>
            </w:r>
          </w:p>
        </w:tc>
      </w:tr>
      <w:tr>
        <w:trPr>
          <w:cantSplit/>
        </w:trPr>
        <w:tc>
          <w:tcPr>
            <w:tcW w:type="dxa" w:w="3402"/>
          </w:tcPr>
          <w:p>
            <w:r/>
            <w:r>
              <w:rPr>
                <w:sz w:val="20"/>
              </w:rPr>
              <w:t>20</w:t>
            </w:r>
          </w:p>
        </w:tc>
        <w:tc>
          <w:tcPr>
            <w:tcW w:type="dxa" w:w="5669"/>
          </w:tcPr>
          <w:p>
            <w:r/>
            <w:r>
              <w:rPr>
                <w:sz w:val="20"/>
              </w:rPr>
              <w:t>75.3 %</w:t>
            </w:r>
          </w:p>
        </w:tc>
      </w:tr>
      <w:tr>
        <w:trPr>
          <w:cantSplit/>
        </w:trPr>
        <w:tc>
          <w:tcPr>
            <w:tcW w:type="dxa" w:w="3402"/>
            <w:shd w:val="clear" w:color="auto" w:fill="EEF2F7"/>
          </w:tcPr>
          <w:p>
            <w:r/>
            <w:r>
              <w:rPr>
                <w:sz w:val="20"/>
              </w:rPr>
              <w:t>50 (guía)</w:t>
            </w:r>
          </w:p>
        </w:tc>
        <w:tc>
          <w:tcPr>
            <w:tcW w:type="dxa" w:w="5669"/>
            <w:shd w:val="clear" w:color="auto" w:fill="EEF2F7"/>
          </w:tcPr>
          <w:p>
            <w:r/>
            <w:r>
              <w:rPr>
                <w:sz w:val="20"/>
              </w:rPr>
              <w:t>87.9 %</w:t>
            </w:r>
          </w:p>
        </w:tc>
      </w:tr>
      <w:tr>
        <w:trPr>
          <w:cantSplit/>
        </w:trPr>
        <w:tc>
          <w:tcPr>
            <w:tcW w:type="dxa" w:w="3402"/>
          </w:tcPr>
          <w:p>
            <w:r/>
            <w:r>
              <w:rPr>
                <w:sz w:val="20"/>
              </w:rPr>
              <w:t>60</w:t>
            </w:r>
          </w:p>
        </w:tc>
        <w:tc>
          <w:tcPr>
            <w:tcW w:type="dxa" w:w="5669"/>
          </w:tcPr>
          <w:p>
            <w:r/>
            <w:r>
              <w:rPr>
                <w:sz w:val="20"/>
              </w:rPr>
              <w:t>≥ 90 %</w:t>
            </w:r>
          </w:p>
        </w:tc>
      </w:tr>
      <w:tr>
        <w:trPr>
          <w:cantSplit/>
        </w:trPr>
        <w:tc>
          <w:tcPr>
            <w:tcW w:type="dxa" w:w="3402"/>
            <w:shd w:val="clear" w:color="auto" w:fill="EEF2F7"/>
          </w:tcPr>
          <w:p>
            <w:r/>
            <w:r>
              <w:rPr>
                <w:sz w:val="20"/>
              </w:rPr>
              <w:t>98</w:t>
            </w:r>
          </w:p>
        </w:tc>
        <w:tc>
          <w:tcPr>
            <w:tcW w:type="dxa" w:w="5669"/>
            <w:shd w:val="clear" w:color="auto" w:fill="EEF2F7"/>
          </w:tcPr>
          <w:p>
            <w:r/>
            <w:r>
              <w:rPr>
                <w:sz w:val="20"/>
              </w:rPr>
              <w:t>≥ 95 %</w:t>
            </w:r>
          </w:p>
        </w:tc>
      </w:tr>
      <w:tr>
        <w:trPr>
          <w:cantSplit/>
        </w:trPr>
        <w:tc>
          <w:tcPr>
            <w:tcW w:type="dxa" w:w="3402"/>
          </w:tcPr>
          <w:p>
            <w:r/>
            <w:r>
              <w:rPr>
                <w:sz w:val="20"/>
              </w:rPr>
              <w:t>100</w:t>
            </w:r>
          </w:p>
        </w:tc>
        <w:tc>
          <w:tcPr>
            <w:tcW w:type="dxa" w:w="5669"/>
          </w:tcPr>
          <w:p>
            <w:r/>
            <w:r>
              <w:rPr>
                <w:sz w:val="20"/>
              </w:rPr>
              <w:t>95.2 %</w:t>
            </w:r>
          </w:p>
        </w:tc>
      </w:tr>
    </w:tbl>
    <w:p>
      <w:pPr>
        <w:spacing w:after="40"/>
      </w:pPr>
    </w:p>
    <w:p>
      <w:pPr>
        <w:jc w:val="center"/>
      </w:pPr>
      <w:r>
        <w:drawing>
          <wp:inline xmlns:a="http://schemas.openxmlformats.org/drawingml/2006/main" xmlns:pic="http://schemas.openxmlformats.org/drawingml/2006/picture">
            <wp:extent cx="4320000" cy="2439310"/>
            <wp:docPr id="6" name="Picture 6"/>
            <wp:cNvGraphicFramePr>
              <a:graphicFrameLocks noChangeAspect="1"/>
            </wp:cNvGraphicFramePr>
            <a:graphic>
              <a:graphicData uri="http://schemas.openxmlformats.org/drawingml/2006/picture">
                <pic:pic>
                  <pic:nvPicPr>
                    <pic:cNvPr id="0" name="3_varianza_acumulada.png"/>
                    <pic:cNvPicPr/>
                  </pic:nvPicPr>
                  <pic:blipFill>
                    <a:blip r:embed="rId14"/>
                    <a:stretch>
                      <a:fillRect/>
                    </a:stretch>
                  </pic:blipFill>
                  <pic:spPr>
                    <a:xfrm>
                      <a:off x="0" y="0"/>
                      <a:ext cx="4320000" cy="2439310"/>
                    </a:xfrm>
                    <a:prstGeom prst="rect"/>
                  </pic:spPr>
                </pic:pic>
              </a:graphicData>
            </a:graphic>
          </wp:inline>
        </w:drawing>
      </w:r>
    </w:p>
    <w:p>
      <w:pPr>
        <w:spacing w:after="200"/>
        <w:jc w:val="center"/>
      </w:pPr>
      <w:r>
        <w:rPr>
          <w:b w:val="0"/>
          <w:i/>
          <w:sz w:val="18"/>
        </w:rPr>
        <w:t>Figura 6. Varianza explicada acumulada. Los valores de OpenCV y de sklearn.PCA coinciden.</w:t>
      </w:r>
    </w:p>
    <w:p>
      <w:pPr>
        <w:pStyle w:val="Heading2"/>
      </w:pPr>
      <w:r>
        <w:t>4.4 Proyección y reconocimiento</w:t>
      </w:r>
    </w:p>
    <w:p>
      <w:r>
        <w:rPr>
          <w:b w:val="0"/>
          <w:i w:val="0"/>
        </w:rPr>
        <w:t>El código de la guía calcula el PCA con todas las imágenes y después separa entrenamiento y prueba, de modo que las caras de prueba participan en la construcción de las eigenfaces (fuga de datos). Se ejecutó primero así y luego de la forma correcta, calculando el PCA solo con las imágenes de entrenamiento y proyectando con cv2.PCAProject. Se usó test_size = 0.25, random_state = 42 y stratify para que todas las personas estén en ambos conjuntos. Además del SVM de la guía se evaluó el clasificador de vecino más cercano (1-NN, distancia euclídea), que es el del método original de Eigenfaces.</w:t>
      </w:r>
    </w:p>
    <w:tbl>
      <w:tblPr>
        <w:tblStyle w:val="TableGrid"/>
        <w:tblW w:type="auto" w:w="0"/>
        <w:jc w:val="center"/>
        <w:tblLook w:firstColumn="1" w:firstRow="1" w:lastColumn="0" w:lastRow="0" w:noHBand="0" w:noVBand="1" w:val="04A0"/>
      </w:tblPr>
      <w:tblGrid>
        <w:gridCol w:w="3135"/>
        <w:gridCol w:w="3135"/>
        <w:gridCol w:w="3135"/>
      </w:tblGrid>
      <w:tr>
        <w:trPr>
          <w:cantSplit/>
        </w:trPr>
        <w:tc>
          <w:tcPr>
            <w:tcW w:type="dxa" w:w="5102"/>
            <w:shd w:val="clear" w:color="auto" w:fill="1F3A5F"/>
          </w:tcPr>
          <w:p>
            <w:pPr>
              <w:keepNext/>
            </w:pPr>
            <w:r/>
            <w:r>
              <w:rPr>
                <w:b/>
                <w:color w:val="FFFFFF"/>
                <w:sz w:val="20"/>
              </w:rPr>
              <w:t>Configuración (k = 50, misma división)</w:t>
            </w:r>
          </w:p>
        </w:tc>
        <w:tc>
          <w:tcPr>
            <w:tcW w:type="dxa" w:w="1984"/>
            <w:shd w:val="clear" w:color="auto" w:fill="1F3A5F"/>
          </w:tcPr>
          <w:p>
            <w:pPr>
              <w:keepNext/>
            </w:pPr>
            <w:r/>
            <w:r>
              <w:rPr>
                <w:b/>
                <w:color w:val="FFFFFF"/>
                <w:sz w:val="20"/>
              </w:rPr>
              <w:t>SVM</w:t>
            </w:r>
          </w:p>
        </w:tc>
        <w:tc>
          <w:tcPr>
            <w:tcW w:type="dxa" w:w="1984"/>
            <w:shd w:val="clear" w:color="auto" w:fill="1F3A5F"/>
          </w:tcPr>
          <w:p>
            <w:pPr>
              <w:keepNext/>
            </w:pPr>
            <w:r/>
            <w:r>
              <w:rPr>
                <w:b/>
                <w:color w:val="FFFFFF"/>
                <w:sz w:val="20"/>
              </w:rPr>
              <w:t>1-NN</w:t>
            </w:r>
          </w:p>
        </w:tc>
      </w:tr>
      <w:tr>
        <w:trPr>
          <w:cantSplit/>
        </w:trPr>
        <w:tc>
          <w:tcPr>
            <w:tcW w:type="dxa" w:w="5102"/>
          </w:tcPr>
          <w:p>
            <w:r/>
            <w:r>
              <w:rPr>
                <w:sz w:val="20"/>
              </w:rPr>
              <w:t>5 por persona, PCA con todo (guía)</w:t>
            </w:r>
          </w:p>
        </w:tc>
        <w:tc>
          <w:tcPr>
            <w:tcW w:type="dxa" w:w="1984"/>
          </w:tcPr>
          <w:p>
            <w:r/>
            <w:r>
              <w:rPr>
                <w:sz w:val="20"/>
              </w:rPr>
              <w:t>0.88</w:t>
            </w:r>
          </w:p>
        </w:tc>
        <w:tc>
          <w:tcPr>
            <w:tcW w:type="dxa" w:w="1984"/>
          </w:tcPr>
          <w:p>
            <w:r/>
            <w:r>
              <w:rPr>
                <w:sz w:val="20"/>
              </w:rPr>
              <w:t>—</w:t>
            </w:r>
          </w:p>
        </w:tc>
      </w:tr>
      <w:tr>
        <w:trPr>
          <w:cantSplit/>
        </w:trPr>
        <w:tc>
          <w:tcPr>
            <w:tcW w:type="dxa" w:w="5102"/>
            <w:shd w:val="clear" w:color="auto" w:fill="EEF2F7"/>
          </w:tcPr>
          <w:p>
            <w:r/>
            <w:r>
              <w:rPr>
                <w:sz w:val="20"/>
              </w:rPr>
              <w:t>5 por persona, PCA solo con train</w:t>
            </w:r>
          </w:p>
        </w:tc>
        <w:tc>
          <w:tcPr>
            <w:tcW w:type="dxa" w:w="1984"/>
            <w:shd w:val="clear" w:color="auto" w:fill="EEF2F7"/>
          </w:tcPr>
          <w:p>
            <w:r/>
            <w:r>
              <w:rPr>
                <w:sz w:val="20"/>
              </w:rPr>
              <w:t>0.86</w:t>
            </w:r>
          </w:p>
        </w:tc>
        <w:tc>
          <w:tcPr>
            <w:tcW w:type="dxa" w:w="1984"/>
            <w:shd w:val="clear" w:color="auto" w:fill="EEF2F7"/>
          </w:tcPr>
          <w:p>
            <w:r/>
            <w:r>
              <w:rPr>
                <w:sz w:val="20"/>
              </w:rPr>
              <w:t>0.88</w:t>
            </w:r>
          </w:p>
        </w:tc>
      </w:tr>
      <w:tr>
        <w:trPr>
          <w:cantSplit/>
        </w:trPr>
        <w:tc>
          <w:tcPr>
            <w:tcW w:type="dxa" w:w="5102"/>
          </w:tcPr>
          <w:p>
            <w:r/>
            <w:r>
              <w:rPr>
                <w:sz w:val="20"/>
              </w:rPr>
              <w:t>10 por persona, PCA solo con train</w:t>
            </w:r>
          </w:p>
        </w:tc>
        <w:tc>
          <w:tcPr>
            <w:tcW w:type="dxa" w:w="1984"/>
          </w:tcPr>
          <w:p>
            <w:r/>
            <w:r>
              <w:rPr>
                <w:sz w:val="20"/>
              </w:rPr>
              <w:t>0.98</w:t>
            </w:r>
          </w:p>
        </w:tc>
        <w:tc>
          <w:tcPr>
            <w:tcW w:type="dxa" w:w="1984"/>
          </w:tcPr>
          <w:p>
            <w:r/>
            <w:r>
              <w:rPr>
                <w:sz w:val="20"/>
              </w:rPr>
              <w:t>0.97</w:t>
            </w:r>
          </w:p>
        </w:tc>
      </w:tr>
    </w:tbl>
    <w:p>
      <w:pPr>
        <w:spacing w:after="40"/>
      </w:pPr>
    </w:p>
    <w:p>
      <w:r>
        <w:rPr>
          <w:b w:val="0"/>
          <w:i w:val="0"/>
        </w:rPr>
        <w:t>Como una sola división puede ser favorable o desfavorable, se repitió con 10 divisiones aleatorias distintas:</w:t>
      </w:r>
    </w:p>
    <w:tbl>
      <w:tblPr>
        <w:tblStyle w:val="TableGrid"/>
        <w:tblW w:type="auto" w:w="0"/>
        <w:jc w:val="center"/>
        <w:tblLook w:firstColumn="1" w:firstRow="1" w:lastColumn="0" w:lastRow="0" w:noHBand="0" w:noVBand="1" w:val="04A0"/>
      </w:tblPr>
      <w:tblGrid>
        <w:gridCol w:w="2351"/>
        <w:gridCol w:w="2351"/>
        <w:gridCol w:w="2351"/>
        <w:gridCol w:w="2351"/>
      </w:tblGrid>
      <w:tr>
        <w:trPr>
          <w:cantSplit/>
        </w:trPr>
        <w:tc>
          <w:tcPr>
            <w:tcW w:type="dxa" w:w="2041"/>
            <w:shd w:val="clear" w:color="auto" w:fill="1F3A5F"/>
          </w:tcPr>
          <w:p>
            <w:pPr>
              <w:keepNext/>
            </w:pPr>
            <w:r/>
            <w:r>
              <w:rPr>
                <w:b/>
                <w:color w:val="FFFFFF"/>
                <w:sz w:val="20"/>
              </w:rPr>
              <w:t>Imágenes por persona</w:t>
            </w:r>
          </w:p>
        </w:tc>
        <w:tc>
          <w:tcPr>
            <w:tcW w:type="dxa" w:w="1701"/>
            <w:shd w:val="clear" w:color="auto" w:fill="1F3A5F"/>
          </w:tcPr>
          <w:p>
            <w:pPr>
              <w:keepNext/>
            </w:pPr>
            <w:r/>
            <w:r>
              <w:rPr>
                <w:b/>
                <w:color w:val="FFFFFF"/>
                <w:sz w:val="20"/>
              </w:rPr>
              <w:t>Train / test</w:t>
            </w:r>
          </w:p>
        </w:tc>
        <w:tc>
          <w:tcPr>
            <w:tcW w:type="dxa" w:w="2665"/>
            <w:shd w:val="clear" w:color="auto" w:fill="1F3A5F"/>
          </w:tcPr>
          <w:p>
            <w:pPr>
              <w:keepNext/>
            </w:pPr>
            <w:r/>
            <w:r>
              <w:rPr>
                <w:b/>
                <w:color w:val="FFFFFF"/>
                <w:sz w:val="20"/>
              </w:rPr>
              <w:t>SVM (media ± desv.)</w:t>
            </w:r>
          </w:p>
        </w:tc>
        <w:tc>
          <w:tcPr>
            <w:tcW w:type="dxa" w:w="2665"/>
            <w:shd w:val="clear" w:color="auto" w:fill="1F3A5F"/>
          </w:tcPr>
          <w:p>
            <w:pPr>
              <w:keepNext/>
            </w:pPr>
            <w:r/>
            <w:r>
              <w:rPr>
                <w:b/>
                <w:color w:val="FFFFFF"/>
                <w:sz w:val="20"/>
              </w:rPr>
              <w:t>1-NN (media ± desv.)</w:t>
            </w:r>
          </w:p>
        </w:tc>
      </w:tr>
      <w:tr>
        <w:trPr>
          <w:cantSplit/>
        </w:trPr>
        <w:tc>
          <w:tcPr>
            <w:tcW w:type="dxa" w:w="2041"/>
          </w:tcPr>
          <w:p>
            <w:r/>
            <w:r>
              <w:rPr>
                <w:sz w:val="20"/>
              </w:rPr>
              <w:t>5</w:t>
            </w:r>
          </w:p>
        </w:tc>
        <w:tc>
          <w:tcPr>
            <w:tcW w:type="dxa" w:w="1701"/>
          </w:tcPr>
          <w:p>
            <w:r/>
            <w:r>
              <w:rPr>
                <w:sz w:val="20"/>
              </w:rPr>
              <w:t>150 / 50</w:t>
            </w:r>
          </w:p>
        </w:tc>
        <w:tc>
          <w:tcPr>
            <w:tcW w:type="dxa" w:w="2665"/>
          </w:tcPr>
          <w:p>
            <w:r/>
            <w:r>
              <w:rPr>
                <w:sz w:val="20"/>
              </w:rPr>
              <w:t>0.920 ± 0.040</w:t>
            </w:r>
          </w:p>
        </w:tc>
        <w:tc>
          <w:tcPr>
            <w:tcW w:type="dxa" w:w="2665"/>
          </w:tcPr>
          <w:p>
            <w:r/>
            <w:r>
              <w:rPr>
                <w:sz w:val="20"/>
              </w:rPr>
              <w:t>0.950 ± 0.022</w:t>
            </w:r>
          </w:p>
        </w:tc>
      </w:tr>
      <w:tr>
        <w:trPr>
          <w:cantSplit/>
        </w:trPr>
        <w:tc>
          <w:tcPr>
            <w:tcW w:type="dxa" w:w="2041"/>
            <w:shd w:val="clear" w:color="auto" w:fill="EEF2F7"/>
          </w:tcPr>
          <w:p>
            <w:r/>
            <w:r>
              <w:rPr>
                <w:sz w:val="20"/>
              </w:rPr>
              <w:t>10</w:t>
            </w:r>
          </w:p>
        </w:tc>
        <w:tc>
          <w:tcPr>
            <w:tcW w:type="dxa" w:w="1701"/>
            <w:shd w:val="clear" w:color="auto" w:fill="EEF2F7"/>
          </w:tcPr>
          <w:p>
            <w:r/>
            <w:r>
              <w:rPr>
                <w:sz w:val="20"/>
              </w:rPr>
              <w:t>300 / 100</w:t>
            </w:r>
          </w:p>
        </w:tc>
        <w:tc>
          <w:tcPr>
            <w:tcW w:type="dxa" w:w="2665"/>
            <w:shd w:val="clear" w:color="auto" w:fill="EEF2F7"/>
          </w:tcPr>
          <w:p>
            <w:r/>
            <w:r>
              <w:rPr>
                <w:sz w:val="20"/>
              </w:rPr>
              <w:t>0.975 ± 0.013</w:t>
            </w:r>
          </w:p>
        </w:tc>
        <w:tc>
          <w:tcPr>
            <w:tcW w:type="dxa" w:w="2665"/>
            <w:shd w:val="clear" w:color="auto" w:fill="EEF2F7"/>
          </w:tcPr>
          <w:p>
            <w:r/>
            <w:r>
              <w:rPr>
                <w:sz w:val="20"/>
              </w:rPr>
              <w:t>0.980 ± 0.008</w:t>
            </w:r>
          </w:p>
        </w:tc>
      </w:tr>
    </w:tbl>
    <w:p>
      <w:pPr>
        <w:spacing w:after="40"/>
      </w:pPr>
    </w:p>
    <w:p>
      <w:pPr>
        <w:jc w:val="center"/>
      </w:pPr>
      <w:r>
        <w:drawing>
          <wp:inline xmlns:a="http://schemas.openxmlformats.org/drawingml/2006/main" xmlns:pic="http://schemas.openxmlformats.org/drawingml/2006/picture">
            <wp:extent cx="5760000" cy="2722532"/>
            <wp:docPr id="7" name="Picture 7"/>
            <wp:cNvGraphicFramePr>
              <a:graphicFrameLocks noChangeAspect="1"/>
            </wp:cNvGraphicFramePr>
            <a:graphic>
              <a:graphicData uri="http://schemas.openxmlformats.org/drawingml/2006/picture">
                <pic:pic>
                  <pic:nvPicPr>
                    <pic:cNvPr id="0" name="4_predicciones.png"/>
                    <pic:cNvPicPr/>
                  </pic:nvPicPr>
                  <pic:blipFill>
                    <a:blip r:embed="rId15"/>
                    <a:stretch>
                      <a:fillRect/>
                    </a:stretch>
                  </pic:blipFill>
                  <pic:spPr>
                    <a:xfrm>
                      <a:off x="0" y="0"/>
                      <a:ext cx="5760000" cy="2722532"/>
                    </a:xfrm>
                    <a:prstGeom prst="rect"/>
                  </pic:spPr>
                </pic:pic>
              </a:graphicData>
            </a:graphic>
          </wp:inline>
        </w:drawing>
      </w:r>
    </w:p>
    <w:p>
      <w:pPr>
        <w:spacing w:after="200"/>
        <w:jc w:val="center"/>
      </w:pPr>
      <w:r>
        <w:rPr>
          <w:b w:val="0"/>
          <w:i/>
          <w:sz w:val="18"/>
        </w:rPr>
        <w:t>Figura 7. Predicciones de 1-NN con 5 imágenes por persona: los 6 errores (rojo) y aciertos (verde).</w:t>
      </w:r>
    </w:p>
    <w:p>
      <w:r>
        <w:rPr>
          <w:b w:val="0"/>
          <w:i w:val="0"/>
        </w:rPr>
        <w:t>La fuga de datos casi no cambió el resultado (0.88 frente a 0.86), pero la versión correcta es la que representa un uso real, donde las caras nuevas no existen al construir el modelo. Con 10 imágenes por persona el entrenamiento tiene 7–8 imágenes de cada una en lugar de 3–4 y ve más variaciones (gestos, gafas, luz), lo que sube la precisión a ~0.98 y reduce la variación entre divisiones. Varios de los errores de la Figura 7 son de personas con una expresión distinta (por ejemplo sonriendo) o con gafas.</w:t>
      </w:r>
    </w:p>
    <w:p>
      <w:pPr>
        <w:pStyle w:val="Heading2"/>
      </w:pPr>
      <w:r>
        <w:t>4.5 Prueba en tiempo real</w:t>
      </w:r>
    </w:p>
    <w:p>
      <w:r>
        <w:rPr>
          <w:b w:val="0"/>
          <w:i w:val="0"/>
        </w:rPr>
        <w:t>Se guardó el modelo (mean face, 50 eigenfaces y proyecciones de las 400 imágenes) y se ejecutó el código de la guía con la cámara, agregando solo la verificación de ret, el dibujo de la ROI usada, un límite de 30 s y el guardado de un frame cada 2 s.</w:t>
      </w:r>
    </w:p>
    <w:p>
      <w:pPr>
        <w:jc w:val="center"/>
      </w:pPr>
      <w:r>
        <w:drawing>
          <wp:inline xmlns:a="http://schemas.openxmlformats.org/drawingml/2006/main" xmlns:pic="http://schemas.openxmlformats.org/drawingml/2006/picture">
            <wp:extent cx="5760000" cy="885709"/>
            <wp:docPr id="8" name="Picture 8"/>
            <wp:cNvGraphicFramePr>
              <a:graphicFrameLocks noChangeAspect="1"/>
            </wp:cNvGraphicFramePr>
            <a:graphic>
              <a:graphicData uri="http://schemas.openxmlformats.org/drawingml/2006/picture">
                <pic:pic>
                  <pic:nvPicPr>
                    <pic:cNvPr id="0" name="5_live_capturas.png"/>
                    <pic:cNvPicPr/>
                  </pic:nvPicPr>
                  <pic:blipFill>
                    <a:blip r:embed="rId16"/>
                    <a:stretch>
                      <a:fillRect/>
                    </a:stretch>
                  </pic:blipFill>
                  <pic:spPr>
                    <a:xfrm>
                      <a:off x="0" y="0"/>
                      <a:ext cx="5760000" cy="885709"/>
                    </a:xfrm>
                    <a:prstGeom prst="rect"/>
                  </pic:spPr>
                </pic:pic>
              </a:graphicData>
            </a:graphic>
          </wp:inline>
        </w:drawing>
      </w:r>
    </w:p>
    <w:p>
      <w:pPr>
        <w:spacing w:after="200"/>
        <w:jc w:val="center"/>
      </w:pPr>
      <w:r>
        <w:rPr>
          <w:b w:val="0"/>
          <w:i/>
          <w:sz w:val="18"/>
        </w:rPr>
        <w:t>Figura 8. Frames guardados durante la prueba en vivo; el cuadro amarillo es la ROI gray[:100, :100] de la guía.</w:t>
      </w:r>
    </w:p>
    <w:p>
      <w:r>
        <w:rPr>
          <w:b w:val="0"/>
          <w:i w:val="0"/>
        </w:rPr>
        <w:t>Los 440 fotogramas procesados se clasificaron como s1. La "ROI simple" de la guía toma la esquina superior izquierda de la imagen, donde solo aparece la pared, y el SVM siempre tiene que elegir una de las 40 personas, así que asigna la más cercana. Para analizarlo se tomaron los mismos frames y se compararon la esquina y la cara recortada con el detector YuNet, midiendo la distancia al vecino más cercano en el espacio de eigenfaces y el error de reconstrucción con 50 eigenfaces. Como referencia se usaron 100 caras del dataset no vistas por el modelo:</w:t>
      </w:r>
    </w:p>
    <w:tbl>
      <w:tblPr>
        <w:tblStyle w:val="TableGrid"/>
        <w:tblW w:type="auto" w:w="0"/>
        <w:jc w:val="center"/>
        <w:tblLook w:firstColumn="1" w:firstRow="1" w:lastColumn="0" w:lastRow="0" w:noHBand="0" w:noVBand="1" w:val="04A0"/>
      </w:tblPr>
      <w:tblGrid>
        <w:gridCol w:w="2351"/>
        <w:gridCol w:w="2351"/>
        <w:gridCol w:w="2351"/>
        <w:gridCol w:w="2351"/>
      </w:tblGrid>
      <w:tr>
        <w:trPr>
          <w:cantSplit/>
        </w:trPr>
        <w:tc>
          <w:tcPr>
            <w:tcW w:type="dxa" w:w="2608"/>
            <w:shd w:val="clear" w:color="auto" w:fill="1F3A5F"/>
          </w:tcPr>
          <w:p>
            <w:pPr>
              <w:keepNext/>
            </w:pPr>
            <w:r/>
            <w:r>
              <w:rPr>
                <w:b/>
                <w:color w:val="FFFFFF"/>
                <w:sz w:val="20"/>
              </w:rPr>
              <w:t>Entrada</w:t>
            </w:r>
          </w:p>
        </w:tc>
        <w:tc>
          <w:tcPr>
            <w:tcW w:type="dxa" w:w="2381"/>
            <w:shd w:val="clear" w:color="auto" w:fill="1F3A5F"/>
          </w:tcPr>
          <w:p>
            <w:pPr>
              <w:keepNext/>
            </w:pPr>
            <w:r/>
            <w:r>
              <w:rPr>
                <w:b/>
                <w:color w:val="FFFFFF"/>
                <w:sz w:val="20"/>
              </w:rPr>
              <w:t>Distancia al vecino más cercano</w:t>
            </w:r>
          </w:p>
        </w:tc>
        <w:tc>
          <w:tcPr>
            <w:tcW w:type="dxa" w:w="2041"/>
            <w:shd w:val="clear" w:color="auto" w:fill="1F3A5F"/>
          </w:tcPr>
          <w:p>
            <w:pPr>
              <w:keepNext/>
            </w:pPr>
            <w:r/>
            <w:r>
              <w:rPr>
                <w:b/>
                <w:color w:val="FFFFFF"/>
                <w:sz w:val="20"/>
              </w:rPr>
              <w:t>Error de reconstrucción</w:t>
            </w:r>
          </w:p>
        </w:tc>
        <w:tc>
          <w:tcPr>
            <w:tcW w:type="dxa" w:w="2041"/>
            <w:shd w:val="clear" w:color="auto" w:fill="1F3A5F"/>
          </w:tcPr>
          <w:p>
            <w:pPr>
              <w:keepNext/>
            </w:pPr>
            <w:r/>
            <w:r>
              <w:rPr>
                <w:b/>
                <w:color w:val="FFFFFF"/>
                <w:sz w:val="20"/>
              </w:rPr>
              <w:t>Predicción SVM</w:t>
            </w:r>
          </w:p>
        </w:tc>
      </w:tr>
      <w:tr>
        <w:trPr>
          <w:cantSplit/>
        </w:trPr>
        <w:tc>
          <w:tcPr>
            <w:tcW w:type="dxa" w:w="2608"/>
          </w:tcPr>
          <w:p>
            <w:r/>
            <w:r>
              <w:rPr>
                <w:sz w:val="20"/>
              </w:rPr>
              <w:t>Caras del dataset no vistas</w:t>
            </w:r>
          </w:p>
        </w:tc>
        <w:tc>
          <w:tcPr>
            <w:tcW w:type="dxa" w:w="2381"/>
          </w:tcPr>
          <w:p>
            <w:r/>
            <w:r>
              <w:rPr>
                <w:sz w:val="20"/>
              </w:rPr>
              <w:t>1353 (máx. 2808)</w:t>
            </w:r>
          </w:p>
        </w:tc>
        <w:tc>
          <w:tcPr>
            <w:tcW w:type="dxa" w:w="2041"/>
          </w:tcPr>
          <w:p>
            <w:r/>
            <w:r>
              <w:rPr>
                <w:sz w:val="20"/>
              </w:rPr>
              <w:t>18.0 (máx. 25.2)</w:t>
            </w:r>
          </w:p>
        </w:tc>
        <w:tc>
          <w:tcPr>
            <w:tcW w:type="dxa" w:w="2041"/>
          </w:tcPr>
          <w:p>
            <w:r/>
            <w:r>
              <w:rPr>
                <w:sz w:val="20"/>
              </w:rPr>
              <w:t>98 % correctas</w:t>
            </w:r>
          </w:p>
        </w:tc>
      </w:tr>
      <w:tr>
        <w:trPr>
          <w:cantSplit/>
        </w:trPr>
        <w:tc>
          <w:tcPr>
            <w:tcW w:type="dxa" w:w="2608"/>
            <w:shd w:val="clear" w:color="auto" w:fill="EEF2F7"/>
          </w:tcPr>
          <w:p>
            <w:r/>
            <w:r>
              <w:rPr>
                <w:sz w:val="20"/>
              </w:rPr>
              <w:t>Esquina de la guía (pared)</w:t>
            </w:r>
          </w:p>
        </w:tc>
        <w:tc>
          <w:tcPr>
            <w:tcW w:type="dxa" w:w="2381"/>
            <w:shd w:val="clear" w:color="auto" w:fill="EEF2F7"/>
          </w:tcPr>
          <w:p>
            <w:r/>
            <w:r>
              <w:rPr>
                <w:sz w:val="20"/>
              </w:rPr>
              <w:t>5095</w:t>
            </w:r>
          </w:p>
        </w:tc>
        <w:tc>
          <w:tcPr>
            <w:tcW w:type="dxa" w:w="2041"/>
            <w:shd w:val="clear" w:color="auto" w:fill="EEF2F7"/>
          </w:tcPr>
          <w:p>
            <w:r/>
            <w:r>
              <w:rPr>
                <w:sz w:val="20"/>
              </w:rPr>
              <w:t>16.9</w:t>
            </w:r>
          </w:p>
        </w:tc>
        <w:tc>
          <w:tcPr>
            <w:tcW w:type="dxa" w:w="2041"/>
            <w:shd w:val="clear" w:color="auto" w:fill="EEF2F7"/>
          </w:tcPr>
          <w:p>
            <w:r/>
            <w:r>
              <w:rPr>
                <w:sz w:val="20"/>
              </w:rPr>
              <w:t>s1 (5 de 5)</w:t>
            </w:r>
          </w:p>
        </w:tc>
      </w:tr>
      <w:tr>
        <w:trPr>
          <w:cantSplit/>
        </w:trPr>
        <w:tc>
          <w:tcPr>
            <w:tcW w:type="dxa" w:w="2608"/>
          </w:tcPr>
          <w:p>
            <w:r/>
            <w:r>
              <w:rPr>
                <w:sz w:val="20"/>
              </w:rPr>
              <w:t>Mi cara recortada con YuNet</w:t>
            </w:r>
          </w:p>
        </w:tc>
        <w:tc>
          <w:tcPr>
            <w:tcW w:type="dxa" w:w="2381"/>
          </w:tcPr>
          <w:p>
            <w:r/>
            <w:r>
              <w:rPr>
                <w:sz w:val="20"/>
              </w:rPr>
              <w:t>2692</w:t>
            </w:r>
          </w:p>
        </w:tc>
        <w:tc>
          <w:tcPr>
            <w:tcW w:type="dxa" w:w="2041"/>
          </w:tcPr>
          <w:p>
            <w:r/>
            <w:r>
              <w:rPr>
                <w:sz w:val="20"/>
              </w:rPr>
              <w:t>23.3</w:t>
            </w:r>
          </w:p>
        </w:tc>
        <w:tc>
          <w:tcPr>
            <w:tcW w:type="dxa" w:w="2041"/>
          </w:tcPr>
          <w:p>
            <w:r/>
            <w:r>
              <w:rPr>
                <w:sz w:val="20"/>
              </w:rPr>
              <w:t>s29 y s39</w:t>
            </w:r>
          </w:p>
        </w:tc>
      </w:tr>
    </w:tbl>
    <w:p>
      <w:pPr>
        <w:spacing w:after="40"/>
      </w:pPr>
    </w:p>
    <w:p>
      <w:pPr>
        <w:jc w:val="center"/>
      </w:pPr>
      <w:r>
        <w:drawing>
          <wp:inline xmlns:a="http://schemas.openxmlformats.org/drawingml/2006/main" xmlns:pic="http://schemas.openxmlformats.org/drawingml/2006/picture">
            <wp:extent cx="5400000" cy="1465714"/>
            <wp:docPr id="9" name="Picture 9"/>
            <wp:cNvGraphicFramePr>
              <a:graphicFrameLocks noChangeAspect="1"/>
            </wp:cNvGraphicFramePr>
            <a:graphic>
              <a:graphicData uri="http://schemas.openxmlformats.org/drawingml/2006/picture">
                <pic:pic>
                  <pic:nvPicPr>
                    <pic:cNvPr id="0" name="5_analisis_live.png"/>
                    <pic:cNvPicPr/>
                  </pic:nvPicPr>
                  <pic:blipFill>
                    <a:blip r:embed="rId17"/>
                    <a:stretch>
                      <a:fillRect/>
                    </a:stretch>
                  </pic:blipFill>
                  <pic:spPr>
                    <a:xfrm>
                      <a:off x="0" y="0"/>
                      <a:ext cx="5400000" cy="1465714"/>
                    </a:xfrm>
                    <a:prstGeom prst="rect"/>
                  </pic:spPr>
                </pic:pic>
              </a:graphicData>
            </a:graphic>
          </wp:inline>
        </w:drawing>
      </w:r>
    </w:p>
    <w:p>
      <w:pPr>
        <w:spacing w:after="200"/>
        <w:jc w:val="center"/>
      </w:pPr>
      <w:r>
        <w:rPr>
          <w:b w:val="0"/>
          <w:i/>
          <w:sz w:val="18"/>
        </w:rPr>
        <w:t>Figura 9. ROI de la guía, cara recortada, su reconstrucción con 50 eigenfaces y la cara del dataset más cercana.</w:t>
      </w:r>
    </w:p>
    <w:p>
      <w:r>
        <w:rPr>
          <w:b w:val="0"/>
          <w:i w:val="0"/>
        </w:rPr>
        <w:t>La esquina queda casi al doble de la distancia máxima de una cara conocida; su error de reconstrucción es bajo solo porque es una zona casi uniforme que la cara promedio representa bien. La cara recortada queda mucho más cerca, en el límite de las caras del dataset, pero con un error de reconstrucción mayor que el promedio porque es una persona que no está entre las 40, con otra cámara, iluminación y encuadre. Para un reconocimiento en vivo útil haría falta detectar la cara en lugar de usar una ROI fija, incluir imágenes de la persona en el entrenamiento y usar un umbral de distancia para responder "desconocido". (Los frames se guardaron después de dibujar el texto y el cuadro, por lo que la esquina analizada incluye esas marcas; en vivo el modelo solo veía la pared.)</w:t>
      </w:r>
    </w:p>
    <w:p>
      <w:pPr>
        <w:pStyle w:val="Heading1"/>
      </w:pPr>
      <w:r>
        <w:t>5. Tareas</w:t>
      </w:r>
    </w:p>
    <w:p>
      <w:pPr>
        <w:pStyle w:val="Heading2"/>
      </w:pPr>
      <w:r>
        <w:t>5.1 Tarea 1: número de componentes (10 – 100)</w:t>
      </w:r>
    </w:p>
    <w:p>
      <w:r>
        <w:rPr>
          <w:b w:val="0"/>
          <w:i w:val="0"/>
        </w:rPr>
        <w:t>Accuracy promedio de 10 divisiones para cada número de componentes k:</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cantSplit/>
        </w:trPr>
        <w:tc>
          <w:tcPr>
            <w:tcW w:type="dxa" w:w="907"/>
            <w:shd w:val="clear" w:color="auto" w:fill="1F3A5F"/>
          </w:tcPr>
          <w:p>
            <w:pPr>
              <w:keepNext/>
            </w:pPr>
            <w:r/>
            <w:r>
              <w:rPr>
                <w:b/>
                <w:color w:val="FFFFFF"/>
                <w:sz w:val="20"/>
              </w:rPr>
              <w:t>k</w:t>
            </w:r>
          </w:p>
        </w:tc>
        <w:tc>
          <w:tcPr>
            <w:tcW w:type="dxa" w:w="2041"/>
            <w:shd w:val="clear" w:color="auto" w:fill="1F3A5F"/>
          </w:tcPr>
          <w:p>
            <w:pPr>
              <w:keepNext/>
            </w:pPr>
            <w:r/>
            <w:r>
              <w:rPr>
                <w:b/>
                <w:color w:val="FFFFFF"/>
                <w:sz w:val="20"/>
              </w:rPr>
              <w:t>5/persona SVM</w:t>
            </w:r>
          </w:p>
        </w:tc>
        <w:tc>
          <w:tcPr>
            <w:tcW w:type="dxa" w:w="2041"/>
            <w:shd w:val="clear" w:color="auto" w:fill="1F3A5F"/>
          </w:tcPr>
          <w:p>
            <w:pPr>
              <w:keepNext/>
            </w:pPr>
            <w:r/>
            <w:r>
              <w:rPr>
                <w:b/>
                <w:color w:val="FFFFFF"/>
                <w:sz w:val="20"/>
              </w:rPr>
              <w:t>5/persona 1-NN</w:t>
            </w:r>
          </w:p>
        </w:tc>
        <w:tc>
          <w:tcPr>
            <w:tcW w:type="dxa" w:w="2041"/>
            <w:shd w:val="clear" w:color="auto" w:fill="1F3A5F"/>
          </w:tcPr>
          <w:p>
            <w:pPr>
              <w:keepNext/>
            </w:pPr>
            <w:r/>
            <w:r>
              <w:rPr>
                <w:b/>
                <w:color w:val="FFFFFF"/>
                <w:sz w:val="20"/>
              </w:rPr>
              <w:t>10/persona SVM</w:t>
            </w:r>
          </w:p>
        </w:tc>
        <w:tc>
          <w:tcPr>
            <w:tcW w:type="dxa" w:w="2041"/>
            <w:shd w:val="clear" w:color="auto" w:fill="1F3A5F"/>
          </w:tcPr>
          <w:p>
            <w:pPr>
              <w:keepNext/>
            </w:pPr>
            <w:r/>
            <w:r>
              <w:rPr>
                <w:b/>
                <w:color w:val="FFFFFF"/>
                <w:sz w:val="20"/>
              </w:rPr>
              <w:t>10/persona 1-NN</w:t>
            </w:r>
          </w:p>
        </w:tc>
      </w:tr>
      <w:tr>
        <w:trPr>
          <w:cantSplit/>
        </w:trPr>
        <w:tc>
          <w:tcPr>
            <w:tcW w:type="dxa" w:w="907"/>
          </w:tcPr>
          <w:p>
            <w:r/>
            <w:r>
              <w:rPr>
                <w:sz w:val="20"/>
              </w:rPr>
              <w:t>5</w:t>
            </w:r>
          </w:p>
        </w:tc>
        <w:tc>
          <w:tcPr>
            <w:tcW w:type="dxa" w:w="2041"/>
          </w:tcPr>
          <w:p>
            <w:r/>
            <w:r>
              <w:rPr>
                <w:sz w:val="20"/>
              </w:rPr>
              <w:t>0.564</w:t>
            </w:r>
          </w:p>
        </w:tc>
        <w:tc>
          <w:tcPr>
            <w:tcW w:type="dxa" w:w="2041"/>
          </w:tcPr>
          <w:p>
            <w:r/>
            <w:r>
              <w:rPr>
                <w:sz w:val="20"/>
              </w:rPr>
              <w:t>0.840</w:t>
            </w:r>
          </w:p>
        </w:tc>
        <w:tc>
          <w:tcPr>
            <w:tcW w:type="dxa" w:w="2041"/>
          </w:tcPr>
          <w:p>
            <w:r/>
            <w:r>
              <w:rPr>
                <w:sz w:val="20"/>
              </w:rPr>
              <w:t>0.687</w:t>
            </w:r>
          </w:p>
        </w:tc>
        <w:tc>
          <w:tcPr>
            <w:tcW w:type="dxa" w:w="2041"/>
          </w:tcPr>
          <w:p>
            <w:r/>
            <w:r>
              <w:rPr>
                <w:sz w:val="20"/>
              </w:rPr>
              <w:t>0.834</w:t>
            </w:r>
          </w:p>
        </w:tc>
      </w:tr>
      <w:tr>
        <w:trPr>
          <w:cantSplit/>
        </w:trPr>
        <w:tc>
          <w:tcPr>
            <w:tcW w:type="dxa" w:w="907"/>
            <w:shd w:val="clear" w:color="auto" w:fill="EEF2F7"/>
          </w:tcPr>
          <w:p>
            <w:r/>
            <w:r>
              <w:rPr>
                <w:sz w:val="20"/>
              </w:rPr>
              <w:t>10</w:t>
            </w:r>
          </w:p>
        </w:tc>
        <w:tc>
          <w:tcPr>
            <w:tcW w:type="dxa" w:w="2041"/>
            <w:shd w:val="clear" w:color="auto" w:fill="EEF2F7"/>
          </w:tcPr>
          <w:p>
            <w:r/>
            <w:r>
              <w:rPr>
                <w:sz w:val="20"/>
              </w:rPr>
              <w:t>0.836</w:t>
            </w:r>
          </w:p>
        </w:tc>
        <w:tc>
          <w:tcPr>
            <w:tcW w:type="dxa" w:w="2041"/>
            <w:shd w:val="clear" w:color="auto" w:fill="EEF2F7"/>
          </w:tcPr>
          <w:p>
            <w:r/>
            <w:r>
              <w:rPr>
                <w:sz w:val="20"/>
              </w:rPr>
              <w:t>0.912</w:t>
            </w:r>
          </w:p>
        </w:tc>
        <w:tc>
          <w:tcPr>
            <w:tcW w:type="dxa" w:w="2041"/>
            <w:shd w:val="clear" w:color="auto" w:fill="EEF2F7"/>
          </w:tcPr>
          <w:p>
            <w:r/>
            <w:r>
              <w:rPr>
                <w:sz w:val="20"/>
              </w:rPr>
              <w:t>0.898</w:t>
            </w:r>
          </w:p>
        </w:tc>
        <w:tc>
          <w:tcPr>
            <w:tcW w:type="dxa" w:w="2041"/>
            <w:shd w:val="clear" w:color="auto" w:fill="EEF2F7"/>
          </w:tcPr>
          <w:p>
            <w:r/>
            <w:r>
              <w:rPr>
                <w:sz w:val="20"/>
              </w:rPr>
              <w:t>0.957</w:t>
            </w:r>
          </w:p>
        </w:tc>
      </w:tr>
      <w:tr>
        <w:trPr>
          <w:cantSplit/>
        </w:trPr>
        <w:tc>
          <w:tcPr>
            <w:tcW w:type="dxa" w:w="907"/>
          </w:tcPr>
          <w:p>
            <w:r/>
            <w:r>
              <w:rPr>
                <w:sz w:val="20"/>
              </w:rPr>
              <w:t>20</w:t>
            </w:r>
          </w:p>
        </w:tc>
        <w:tc>
          <w:tcPr>
            <w:tcW w:type="dxa" w:w="2041"/>
          </w:tcPr>
          <w:p>
            <w:r/>
            <w:r>
              <w:rPr>
                <w:sz w:val="20"/>
              </w:rPr>
              <w:t>0.888</w:t>
            </w:r>
          </w:p>
        </w:tc>
        <w:tc>
          <w:tcPr>
            <w:tcW w:type="dxa" w:w="2041"/>
          </w:tcPr>
          <w:p>
            <w:r/>
            <w:r>
              <w:rPr>
                <w:sz w:val="20"/>
              </w:rPr>
              <w:t>0.932</w:t>
            </w:r>
          </w:p>
        </w:tc>
        <w:tc>
          <w:tcPr>
            <w:tcW w:type="dxa" w:w="2041"/>
          </w:tcPr>
          <w:p>
            <w:r/>
            <w:r>
              <w:rPr>
                <w:sz w:val="20"/>
              </w:rPr>
              <w:t>0.946</w:t>
            </w:r>
          </w:p>
        </w:tc>
        <w:tc>
          <w:tcPr>
            <w:tcW w:type="dxa" w:w="2041"/>
          </w:tcPr>
          <w:p>
            <w:r/>
            <w:r>
              <w:rPr>
                <w:sz w:val="20"/>
              </w:rPr>
              <w:t>0.970</w:t>
            </w:r>
          </w:p>
        </w:tc>
      </w:tr>
      <w:tr>
        <w:trPr>
          <w:cantSplit/>
        </w:trPr>
        <w:tc>
          <w:tcPr>
            <w:tcW w:type="dxa" w:w="907"/>
            <w:shd w:val="clear" w:color="auto" w:fill="EEF2F7"/>
          </w:tcPr>
          <w:p>
            <w:r/>
            <w:r>
              <w:rPr>
                <w:sz w:val="20"/>
              </w:rPr>
              <w:t>30</w:t>
            </w:r>
          </w:p>
        </w:tc>
        <w:tc>
          <w:tcPr>
            <w:tcW w:type="dxa" w:w="2041"/>
            <w:shd w:val="clear" w:color="auto" w:fill="EEF2F7"/>
          </w:tcPr>
          <w:p>
            <w:r/>
            <w:r>
              <w:rPr>
                <w:sz w:val="20"/>
              </w:rPr>
              <w:t>0.904</w:t>
            </w:r>
          </w:p>
        </w:tc>
        <w:tc>
          <w:tcPr>
            <w:tcW w:type="dxa" w:w="2041"/>
            <w:shd w:val="clear" w:color="auto" w:fill="EEF2F7"/>
          </w:tcPr>
          <w:p>
            <w:r/>
            <w:r>
              <w:rPr>
                <w:sz w:val="20"/>
              </w:rPr>
              <w:t>0.940</w:t>
            </w:r>
          </w:p>
        </w:tc>
        <w:tc>
          <w:tcPr>
            <w:tcW w:type="dxa" w:w="2041"/>
            <w:shd w:val="clear" w:color="auto" w:fill="EEF2F7"/>
          </w:tcPr>
          <w:p>
            <w:r/>
            <w:r>
              <w:rPr>
                <w:sz w:val="20"/>
              </w:rPr>
              <w:t>0.967</w:t>
            </w:r>
          </w:p>
        </w:tc>
        <w:tc>
          <w:tcPr>
            <w:tcW w:type="dxa" w:w="2041"/>
            <w:shd w:val="clear" w:color="auto" w:fill="EEF2F7"/>
          </w:tcPr>
          <w:p>
            <w:r/>
            <w:r>
              <w:rPr>
                <w:sz w:val="20"/>
              </w:rPr>
              <w:t>0.979</w:t>
            </w:r>
          </w:p>
        </w:tc>
      </w:tr>
      <w:tr>
        <w:trPr>
          <w:cantSplit/>
        </w:trPr>
        <w:tc>
          <w:tcPr>
            <w:tcW w:type="dxa" w:w="907"/>
          </w:tcPr>
          <w:p>
            <w:r/>
            <w:r>
              <w:rPr>
                <w:sz w:val="20"/>
              </w:rPr>
              <w:t>40</w:t>
            </w:r>
          </w:p>
        </w:tc>
        <w:tc>
          <w:tcPr>
            <w:tcW w:type="dxa" w:w="2041"/>
          </w:tcPr>
          <w:p>
            <w:r/>
            <w:r>
              <w:rPr>
                <w:sz w:val="20"/>
              </w:rPr>
              <w:t>0.916</w:t>
            </w:r>
          </w:p>
        </w:tc>
        <w:tc>
          <w:tcPr>
            <w:tcW w:type="dxa" w:w="2041"/>
          </w:tcPr>
          <w:p>
            <w:r/>
            <w:r>
              <w:rPr>
                <w:sz w:val="20"/>
              </w:rPr>
              <w:t>0.950</w:t>
            </w:r>
          </w:p>
        </w:tc>
        <w:tc>
          <w:tcPr>
            <w:tcW w:type="dxa" w:w="2041"/>
          </w:tcPr>
          <w:p>
            <w:r/>
            <w:r>
              <w:rPr>
                <w:sz w:val="20"/>
              </w:rPr>
              <w:t>0.975</w:t>
            </w:r>
          </w:p>
        </w:tc>
        <w:tc>
          <w:tcPr>
            <w:tcW w:type="dxa" w:w="2041"/>
          </w:tcPr>
          <w:p>
            <w:r/>
            <w:r>
              <w:rPr>
                <w:sz w:val="20"/>
              </w:rPr>
              <w:t>0.977</w:t>
            </w:r>
          </w:p>
        </w:tc>
      </w:tr>
      <w:tr>
        <w:trPr>
          <w:cantSplit/>
        </w:trPr>
        <w:tc>
          <w:tcPr>
            <w:tcW w:type="dxa" w:w="907"/>
            <w:shd w:val="clear" w:color="auto" w:fill="EEF2F7"/>
          </w:tcPr>
          <w:p>
            <w:r/>
            <w:r>
              <w:rPr>
                <w:sz w:val="20"/>
              </w:rPr>
              <w:t>50</w:t>
            </w:r>
          </w:p>
        </w:tc>
        <w:tc>
          <w:tcPr>
            <w:tcW w:type="dxa" w:w="2041"/>
            <w:shd w:val="clear" w:color="auto" w:fill="EEF2F7"/>
          </w:tcPr>
          <w:p>
            <w:r/>
            <w:r>
              <w:rPr>
                <w:sz w:val="20"/>
              </w:rPr>
              <w:t>0.920</w:t>
            </w:r>
          </w:p>
        </w:tc>
        <w:tc>
          <w:tcPr>
            <w:tcW w:type="dxa" w:w="2041"/>
            <w:shd w:val="clear" w:color="auto" w:fill="EEF2F7"/>
          </w:tcPr>
          <w:p>
            <w:r/>
            <w:r>
              <w:rPr>
                <w:sz w:val="20"/>
              </w:rPr>
              <w:t>0.950</w:t>
            </w:r>
          </w:p>
        </w:tc>
        <w:tc>
          <w:tcPr>
            <w:tcW w:type="dxa" w:w="2041"/>
            <w:shd w:val="clear" w:color="auto" w:fill="EEF2F7"/>
          </w:tcPr>
          <w:p>
            <w:r/>
            <w:r>
              <w:rPr>
                <w:sz w:val="20"/>
              </w:rPr>
              <w:t>0.975</w:t>
            </w:r>
          </w:p>
        </w:tc>
        <w:tc>
          <w:tcPr>
            <w:tcW w:type="dxa" w:w="2041"/>
            <w:shd w:val="clear" w:color="auto" w:fill="EEF2F7"/>
          </w:tcPr>
          <w:p>
            <w:r/>
            <w:r>
              <w:rPr>
                <w:sz w:val="20"/>
              </w:rPr>
              <w:t>0.980</w:t>
            </w:r>
          </w:p>
        </w:tc>
      </w:tr>
      <w:tr>
        <w:trPr>
          <w:cantSplit/>
        </w:trPr>
        <w:tc>
          <w:tcPr>
            <w:tcW w:type="dxa" w:w="907"/>
          </w:tcPr>
          <w:p>
            <w:r/>
            <w:r>
              <w:rPr>
                <w:sz w:val="20"/>
              </w:rPr>
              <w:t>60</w:t>
            </w:r>
          </w:p>
        </w:tc>
        <w:tc>
          <w:tcPr>
            <w:tcW w:type="dxa" w:w="2041"/>
          </w:tcPr>
          <w:p>
            <w:r/>
            <w:r>
              <w:rPr>
                <w:sz w:val="20"/>
              </w:rPr>
              <w:t>0.920</w:t>
            </w:r>
          </w:p>
        </w:tc>
        <w:tc>
          <w:tcPr>
            <w:tcW w:type="dxa" w:w="2041"/>
          </w:tcPr>
          <w:p>
            <w:r/>
            <w:r>
              <w:rPr>
                <w:sz w:val="20"/>
              </w:rPr>
              <w:t>0.950</w:t>
            </w:r>
          </w:p>
        </w:tc>
        <w:tc>
          <w:tcPr>
            <w:tcW w:type="dxa" w:w="2041"/>
          </w:tcPr>
          <w:p>
            <w:r/>
            <w:r>
              <w:rPr>
                <w:sz w:val="20"/>
              </w:rPr>
              <w:t>0.981</w:t>
            </w:r>
          </w:p>
        </w:tc>
        <w:tc>
          <w:tcPr>
            <w:tcW w:type="dxa" w:w="2041"/>
          </w:tcPr>
          <w:p>
            <w:r/>
            <w:r>
              <w:rPr>
                <w:sz w:val="20"/>
              </w:rPr>
              <w:t>0.979</w:t>
            </w:r>
          </w:p>
        </w:tc>
      </w:tr>
      <w:tr>
        <w:trPr>
          <w:cantSplit/>
        </w:trPr>
        <w:tc>
          <w:tcPr>
            <w:tcW w:type="dxa" w:w="907"/>
            <w:shd w:val="clear" w:color="auto" w:fill="EEF2F7"/>
          </w:tcPr>
          <w:p>
            <w:r/>
            <w:r>
              <w:rPr>
                <w:sz w:val="20"/>
              </w:rPr>
              <w:t>80</w:t>
            </w:r>
          </w:p>
        </w:tc>
        <w:tc>
          <w:tcPr>
            <w:tcW w:type="dxa" w:w="2041"/>
            <w:shd w:val="clear" w:color="auto" w:fill="EEF2F7"/>
          </w:tcPr>
          <w:p>
            <w:r/>
            <w:r>
              <w:rPr>
                <w:sz w:val="20"/>
              </w:rPr>
              <w:t>0.926</w:t>
            </w:r>
          </w:p>
        </w:tc>
        <w:tc>
          <w:tcPr>
            <w:tcW w:type="dxa" w:w="2041"/>
            <w:shd w:val="clear" w:color="auto" w:fill="EEF2F7"/>
          </w:tcPr>
          <w:p>
            <w:r/>
            <w:r>
              <w:rPr>
                <w:sz w:val="20"/>
              </w:rPr>
              <w:t>0.950</w:t>
            </w:r>
          </w:p>
        </w:tc>
        <w:tc>
          <w:tcPr>
            <w:tcW w:type="dxa" w:w="2041"/>
            <w:shd w:val="clear" w:color="auto" w:fill="EEF2F7"/>
          </w:tcPr>
          <w:p>
            <w:r/>
            <w:r>
              <w:rPr>
                <w:sz w:val="20"/>
              </w:rPr>
              <w:t>0.980</w:t>
            </w:r>
          </w:p>
        </w:tc>
        <w:tc>
          <w:tcPr>
            <w:tcW w:type="dxa" w:w="2041"/>
            <w:shd w:val="clear" w:color="auto" w:fill="EEF2F7"/>
          </w:tcPr>
          <w:p>
            <w:r/>
            <w:r>
              <w:rPr>
                <w:sz w:val="20"/>
              </w:rPr>
              <w:t>0.978</w:t>
            </w:r>
          </w:p>
        </w:tc>
      </w:tr>
      <w:tr>
        <w:trPr>
          <w:cantSplit/>
        </w:trPr>
        <w:tc>
          <w:tcPr>
            <w:tcW w:type="dxa" w:w="907"/>
          </w:tcPr>
          <w:p>
            <w:r/>
            <w:r>
              <w:rPr>
                <w:sz w:val="20"/>
              </w:rPr>
              <w:t>100</w:t>
            </w:r>
          </w:p>
        </w:tc>
        <w:tc>
          <w:tcPr>
            <w:tcW w:type="dxa" w:w="2041"/>
          </w:tcPr>
          <w:p>
            <w:r/>
            <w:r>
              <w:rPr>
                <w:sz w:val="20"/>
              </w:rPr>
              <w:t>0.928</w:t>
            </w:r>
          </w:p>
        </w:tc>
        <w:tc>
          <w:tcPr>
            <w:tcW w:type="dxa" w:w="2041"/>
          </w:tcPr>
          <w:p>
            <w:r/>
            <w:r>
              <w:rPr>
                <w:sz w:val="20"/>
              </w:rPr>
              <w:t>0.950</w:t>
            </w:r>
          </w:p>
        </w:tc>
        <w:tc>
          <w:tcPr>
            <w:tcW w:type="dxa" w:w="2041"/>
          </w:tcPr>
          <w:p>
            <w:r/>
            <w:r>
              <w:rPr>
                <w:sz w:val="20"/>
              </w:rPr>
              <w:t>0.981</w:t>
            </w:r>
          </w:p>
        </w:tc>
        <w:tc>
          <w:tcPr>
            <w:tcW w:type="dxa" w:w="2041"/>
          </w:tcPr>
          <w:p>
            <w:r/>
            <w:r>
              <w:rPr>
                <w:sz w:val="20"/>
              </w:rPr>
              <w:t>0.980</w:t>
            </w:r>
          </w:p>
        </w:tc>
      </w:tr>
    </w:tbl>
    <w:p>
      <w:pPr>
        <w:spacing w:after="40"/>
      </w:pPr>
    </w:p>
    <w:p>
      <w:pPr>
        <w:jc w:val="center"/>
      </w:pPr>
      <w:r>
        <w:drawing>
          <wp:inline xmlns:a="http://schemas.openxmlformats.org/drawingml/2006/main" xmlns:pic="http://schemas.openxmlformats.org/drawingml/2006/picture">
            <wp:extent cx="5040000" cy="2831313"/>
            <wp:docPr id="10" name="Picture 10"/>
            <wp:cNvGraphicFramePr>
              <a:graphicFrameLocks noChangeAspect="1"/>
            </wp:cNvGraphicFramePr>
            <a:graphic>
              <a:graphicData uri="http://schemas.openxmlformats.org/drawingml/2006/picture">
                <pic:pic>
                  <pic:nvPicPr>
                    <pic:cNvPr id="0" name="t1_accuracy_vs_componentes.png"/>
                    <pic:cNvPicPr/>
                  </pic:nvPicPr>
                  <pic:blipFill>
                    <a:blip r:embed="rId18"/>
                    <a:stretch>
                      <a:fillRect/>
                    </a:stretch>
                  </pic:blipFill>
                  <pic:spPr>
                    <a:xfrm>
                      <a:off x="0" y="0"/>
                      <a:ext cx="5040000" cy="2831313"/>
                    </a:xfrm>
                    <a:prstGeom prst="rect"/>
                  </pic:spPr>
                </pic:pic>
              </a:graphicData>
            </a:graphic>
          </wp:inline>
        </w:drawing>
      </w:r>
    </w:p>
    <w:p>
      <w:pPr>
        <w:spacing w:after="200"/>
        <w:jc w:val="center"/>
      </w:pPr>
      <w:r>
        <w:rPr>
          <w:b w:val="0"/>
          <w:i/>
          <w:sz w:val="18"/>
        </w:rPr>
        <w:t>Figura 10. Accuracy frente al número de componentes.</w:t>
      </w:r>
    </w:p>
    <w:p>
      <w:pPr>
        <w:jc w:val="center"/>
      </w:pPr>
      <w:r>
        <w:drawing>
          <wp:inline xmlns:a="http://schemas.openxmlformats.org/drawingml/2006/main" xmlns:pic="http://schemas.openxmlformats.org/drawingml/2006/picture">
            <wp:extent cx="5760000" cy="1005101"/>
            <wp:docPr id="11" name="Picture 11"/>
            <wp:cNvGraphicFramePr>
              <a:graphicFrameLocks noChangeAspect="1"/>
            </wp:cNvGraphicFramePr>
            <a:graphic>
              <a:graphicData uri="http://schemas.openxmlformats.org/drawingml/2006/picture">
                <pic:pic>
                  <pic:nvPicPr>
                    <pic:cNvPr id="0" name="t1_reconstruccion.png"/>
                    <pic:cNvPicPr/>
                  </pic:nvPicPr>
                  <pic:blipFill>
                    <a:blip r:embed="rId19"/>
                    <a:stretch>
                      <a:fillRect/>
                    </a:stretch>
                  </pic:blipFill>
                  <pic:spPr>
                    <a:xfrm>
                      <a:off x="0" y="0"/>
                      <a:ext cx="5760000" cy="1005101"/>
                    </a:xfrm>
                    <a:prstGeom prst="rect"/>
                  </pic:spPr>
                </pic:pic>
              </a:graphicData>
            </a:graphic>
          </wp:inline>
        </w:drawing>
      </w:r>
    </w:p>
    <w:p>
      <w:pPr>
        <w:spacing w:after="200"/>
        <w:jc w:val="center"/>
      </w:pPr>
      <w:r>
        <w:rPr>
          <w:b w:val="0"/>
          <w:i/>
          <w:sz w:val="18"/>
        </w:rPr>
        <w:t>Figura 11. Reconstrucción de una cara con distinto número de eigenfaces y su error (RMSE).</w:t>
      </w:r>
    </w:p>
    <w:p>
      <w:pPr>
        <w:pStyle w:val="ListBullet"/>
      </w:pPr>
      <w:r>
        <w:t>Con muy pocos componentes la precisión cae mucho, sobre todo con SVM (0.564 con k = 5 y 5 imágenes por persona): cinco dimensiones no bastan para separar 40 personas.</w:t>
      </w:r>
    </w:p>
    <w:p>
      <w:pPr>
        <w:pStyle w:val="ListBullet"/>
      </w:pPr>
      <w:r>
        <w:t>Entre 10 y 40 componentes la precisión sube rápido y luego se estabiliza: con 10 imágenes por persona el SVM pasa de 0.898 (k = 10) a 0.975 (k = 40) y a partir de ahí se mantiene en ~0.98. Los componentes adicionales describen detalles finos y ruido que no ayudan a distinguir personas.</w:t>
      </w:r>
    </w:p>
    <w:p>
      <w:pPr>
        <w:pStyle w:val="ListBullet"/>
      </w:pPr>
      <w:r>
        <w:t>1-NN supera a SVM con pocos componentes y es más estable; el SVM con kernel rbf sobre proyecciones sin escalar necesita más dimensiones.</w:t>
      </w:r>
    </w:p>
    <w:p>
      <w:pPr>
        <w:pStyle w:val="ListBullet"/>
      </w:pPr>
      <w:r>
        <w:t>En la visualización, con 5–10 componentes la reconstrucción es casi la cara promedio, con 50 ya se reconoce a la persona y con 200 aparecen los detalles (el error baja de 24.9 a 7.5). Para reconocer no hace falta una reconstrucción perfecta: basta con que las proyecciones de personas distintas queden separadas.</w:t>
      </w:r>
    </w:p>
    <w:p>
      <w:pPr>
        <w:pStyle w:val="Heading2"/>
      </w:pPr>
      <w:r>
        <w:t>5.2 Tarea 2: robustez al ruido gaussiano</w:t>
      </w:r>
    </w:p>
    <w:p>
      <w:r>
        <w:rPr>
          <w:b w:val="0"/>
          <w:i w:val="0"/>
        </w:rPr>
        <w:t>Se sumó ruido gaussiano de media 0 y desviación σ (en niveles de gris 0–255) solo a las imágenes de prueba, con k = 50 y promedio de 10 divisiones:</w:t>
      </w:r>
    </w:p>
    <w:tbl>
      <w:tblPr>
        <w:tblStyle w:val="TableGrid"/>
        <w:tblW w:type="auto" w:w="0"/>
        <w:jc w:val="center"/>
        <w:tblLook w:firstColumn="1" w:firstRow="1" w:lastColumn="0" w:lastRow="0" w:noHBand="0" w:noVBand="1" w:val="04A0"/>
      </w:tblPr>
      <w:tblGrid>
        <w:gridCol w:w="1881"/>
        <w:gridCol w:w="1881"/>
        <w:gridCol w:w="1881"/>
        <w:gridCol w:w="1881"/>
        <w:gridCol w:w="1881"/>
      </w:tblGrid>
      <w:tr>
        <w:trPr>
          <w:cantSplit/>
        </w:trPr>
        <w:tc>
          <w:tcPr>
            <w:tcW w:type="dxa" w:w="907"/>
            <w:shd w:val="clear" w:color="auto" w:fill="1F3A5F"/>
          </w:tcPr>
          <w:p>
            <w:pPr>
              <w:keepNext/>
            </w:pPr>
            <w:r/>
            <w:r>
              <w:rPr>
                <w:b/>
                <w:color w:val="FFFFFF"/>
                <w:sz w:val="20"/>
              </w:rPr>
              <w:t>σ</w:t>
            </w:r>
          </w:p>
        </w:tc>
        <w:tc>
          <w:tcPr>
            <w:tcW w:type="dxa" w:w="2041"/>
            <w:shd w:val="clear" w:color="auto" w:fill="1F3A5F"/>
          </w:tcPr>
          <w:p>
            <w:pPr>
              <w:keepNext/>
            </w:pPr>
            <w:r/>
            <w:r>
              <w:rPr>
                <w:b/>
                <w:color w:val="FFFFFF"/>
                <w:sz w:val="20"/>
              </w:rPr>
              <w:t>5/persona SVM</w:t>
            </w:r>
          </w:p>
        </w:tc>
        <w:tc>
          <w:tcPr>
            <w:tcW w:type="dxa" w:w="2041"/>
            <w:shd w:val="clear" w:color="auto" w:fill="1F3A5F"/>
          </w:tcPr>
          <w:p>
            <w:pPr>
              <w:keepNext/>
            </w:pPr>
            <w:r/>
            <w:r>
              <w:rPr>
                <w:b/>
                <w:color w:val="FFFFFF"/>
                <w:sz w:val="20"/>
              </w:rPr>
              <w:t>5/persona 1-NN</w:t>
            </w:r>
          </w:p>
        </w:tc>
        <w:tc>
          <w:tcPr>
            <w:tcW w:type="dxa" w:w="2041"/>
            <w:shd w:val="clear" w:color="auto" w:fill="1F3A5F"/>
          </w:tcPr>
          <w:p>
            <w:pPr>
              <w:keepNext/>
            </w:pPr>
            <w:r/>
            <w:r>
              <w:rPr>
                <w:b/>
                <w:color w:val="FFFFFF"/>
                <w:sz w:val="20"/>
              </w:rPr>
              <w:t>10/persona SVM</w:t>
            </w:r>
          </w:p>
        </w:tc>
        <w:tc>
          <w:tcPr>
            <w:tcW w:type="dxa" w:w="2041"/>
            <w:shd w:val="clear" w:color="auto" w:fill="1F3A5F"/>
          </w:tcPr>
          <w:p>
            <w:pPr>
              <w:keepNext/>
            </w:pPr>
            <w:r/>
            <w:r>
              <w:rPr>
                <w:b/>
                <w:color w:val="FFFFFF"/>
                <w:sz w:val="20"/>
              </w:rPr>
              <w:t>10/persona 1-NN</w:t>
            </w:r>
          </w:p>
        </w:tc>
      </w:tr>
      <w:tr>
        <w:trPr>
          <w:cantSplit/>
        </w:trPr>
        <w:tc>
          <w:tcPr>
            <w:tcW w:type="dxa" w:w="907"/>
          </w:tcPr>
          <w:p>
            <w:r/>
            <w:r>
              <w:rPr>
                <w:sz w:val="20"/>
              </w:rPr>
              <w:t>0</w:t>
            </w:r>
          </w:p>
        </w:tc>
        <w:tc>
          <w:tcPr>
            <w:tcW w:type="dxa" w:w="2041"/>
          </w:tcPr>
          <w:p>
            <w:r/>
            <w:r>
              <w:rPr>
                <w:sz w:val="20"/>
              </w:rPr>
              <w:t>0.920</w:t>
            </w:r>
          </w:p>
        </w:tc>
        <w:tc>
          <w:tcPr>
            <w:tcW w:type="dxa" w:w="2041"/>
          </w:tcPr>
          <w:p>
            <w:r/>
            <w:r>
              <w:rPr>
                <w:sz w:val="20"/>
              </w:rPr>
              <w:t>0.950</w:t>
            </w:r>
          </w:p>
        </w:tc>
        <w:tc>
          <w:tcPr>
            <w:tcW w:type="dxa" w:w="2041"/>
          </w:tcPr>
          <w:p>
            <w:r/>
            <w:r>
              <w:rPr>
                <w:sz w:val="20"/>
              </w:rPr>
              <w:t>0.975</w:t>
            </w:r>
          </w:p>
        </w:tc>
        <w:tc>
          <w:tcPr>
            <w:tcW w:type="dxa" w:w="2041"/>
          </w:tcPr>
          <w:p>
            <w:r/>
            <w:r>
              <w:rPr>
                <w:sz w:val="20"/>
              </w:rPr>
              <w:t>0.980</w:t>
            </w:r>
          </w:p>
        </w:tc>
      </w:tr>
      <w:tr>
        <w:trPr>
          <w:cantSplit/>
        </w:trPr>
        <w:tc>
          <w:tcPr>
            <w:tcW w:type="dxa" w:w="907"/>
            <w:shd w:val="clear" w:color="auto" w:fill="EEF2F7"/>
          </w:tcPr>
          <w:p>
            <w:r/>
            <w:r>
              <w:rPr>
                <w:sz w:val="20"/>
              </w:rPr>
              <w:t>10</w:t>
            </w:r>
          </w:p>
        </w:tc>
        <w:tc>
          <w:tcPr>
            <w:tcW w:type="dxa" w:w="2041"/>
            <w:shd w:val="clear" w:color="auto" w:fill="EEF2F7"/>
          </w:tcPr>
          <w:p>
            <w:r/>
            <w:r>
              <w:rPr>
                <w:sz w:val="20"/>
              </w:rPr>
              <w:t>0.920</w:t>
            </w:r>
          </w:p>
        </w:tc>
        <w:tc>
          <w:tcPr>
            <w:tcW w:type="dxa" w:w="2041"/>
            <w:shd w:val="clear" w:color="auto" w:fill="EEF2F7"/>
          </w:tcPr>
          <w:p>
            <w:r/>
            <w:r>
              <w:rPr>
                <w:sz w:val="20"/>
              </w:rPr>
              <w:t>0.950</w:t>
            </w:r>
          </w:p>
        </w:tc>
        <w:tc>
          <w:tcPr>
            <w:tcW w:type="dxa" w:w="2041"/>
            <w:shd w:val="clear" w:color="auto" w:fill="EEF2F7"/>
          </w:tcPr>
          <w:p>
            <w:r/>
            <w:r>
              <w:rPr>
                <w:sz w:val="20"/>
              </w:rPr>
              <w:t>0.975</w:t>
            </w:r>
          </w:p>
        </w:tc>
        <w:tc>
          <w:tcPr>
            <w:tcW w:type="dxa" w:w="2041"/>
            <w:shd w:val="clear" w:color="auto" w:fill="EEF2F7"/>
          </w:tcPr>
          <w:p>
            <w:r/>
            <w:r>
              <w:rPr>
                <w:sz w:val="20"/>
              </w:rPr>
              <w:t>0.980</w:t>
            </w:r>
          </w:p>
        </w:tc>
      </w:tr>
      <w:tr>
        <w:trPr>
          <w:cantSplit/>
        </w:trPr>
        <w:tc>
          <w:tcPr>
            <w:tcW w:type="dxa" w:w="907"/>
          </w:tcPr>
          <w:p>
            <w:r/>
            <w:r>
              <w:rPr>
                <w:sz w:val="20"/>
              </w:rPr>
              <w:t>20</w:t>
            </w:r>
          </w:p>
        </w:tc>
        <w:tc>
          <w:tcPr>
            <w:tcW w:type="dxa" w:w="2041"/>
          </w:tcPr>
          <w:p>
            <w:r/>
            <w:r>
              <w:rPr>
                <w:sz w:val="20"/>
              </w:rPr>
              <w:t>0.922</w:t>
            </w:r>
          </w:p>
        </w:tc>
        <w:tc>
          <w:tcPr>
            <w:tcW w:type="dxa" w:w="2041"/>
          </w:tcPr>
          <w:p>
            <w:r/>
            <w:r>
              <w:rPr>
                <w:sz w:val="20"/>
              </w:rPr>
              <w:t>0.948</w:t>
            </w:r>
          </w:p>
        </w:tc>
        <w:tc>
          <w:tcPr>
            <w:tcW w:type="dxa" w:w="2041"/>
          </w:tcPr>
          <w:p>
            <w:r/>
            <w:r>
              <w:rPr>
                <w:sz w:val="20"/>
              </w:rPr>
              <w:t>0.975</w:t>
            </w:r>
          </w:p>
        </w:tc>
        <w:tc>
          <w:tcPr>
            <w:tcW w:type="dxa" w:w="2041"/>
          </w:tcPr>
          <w:p>
            <w:r/>
            <w:r>
              <w:rPr>
                <w:sz w:val="20"/>
              </w:rPr>
              <w:t>0.979</w:t>
            </w:r>
          </w:p>
        </w:tc>
      </w:tr>
      <w:tr>
        <w:trPr>
          <w:cantSplit/>
        </w:trPr>
        <w:tc>
          <w:tcPr>
            <w:tcW w:type="dxa" w:w="907"/>
            <w:shd w:val="clear" w:color="auto" w:fill="EEF2F7"/>
          </w:tcPr>
          <w:p>
            <w:r/>
            <w:r>
              <w:rPr>
                <w:sz w:val="20"/>
              </w:rPr>
              <w:t>30</w:t>
            </w:r>
          </w:p>
        </w:tc>
        <w:tc>
          <w:tcPr>
            <w:tcW w:type="dxa" w:w="2041"/>
            <w:shd w:val="clear" w:color="auto" w:fill="EEF2F7"/>
          </w:tcPr>
          <w:p>
            <w:r/>
            <w:r>
              <w:rPr>
                <w:sz w:val="20"/>
              </w:rPr>
              <w:t>0.920</w:t>
            </w:r>
          </w:p>
        </w:tc>
        <w:tc>
          <w:tcPr>
            <w:tcW w:type="dxa" w:w="2041"/>
            <w:shd w:val="clear" w:color="auto" w:fill="EEF2F7"/>
          </w:tcPr>
          <w:p>
            <w:r/>
            <w:r>
              <w:rPr>
                <w:sz w:val="20"/>
              </w:rPr>
              <w:t>0.948</w:t>
            </w:r>
          </w:p>
        </w:tc>
        <w:tc>
          <w:tcPr>
            <w:tcW w:type="dxa" w:w="2041"/>
            <w:shd w:val="clear" w:color="auto" w:fill="EEF2F7"/>
          </w:tcPr>
          <w:p>
            <w:r/>
            <w:r>
              <w:rPr>
                <w:sz w:val="20"/>
              </w:rPr>
              <w:t>0.975</w:t>
            </w:r>
          </w:p>
        </w:tc>
        <w:tc>
          <w:tcPr>
            <w:tcW w:type="dxa" w:w="2041"/>
            <w:shd w:val="clear" w:color="auto" w:fill="EEF2F7"/>
          </w:tcPr>
          <w:p>
            <w:r/>
            <w:r>
              <w:rPr>
                <w:sz w:val="20"/>
              </w:rPr>
              <w:t>0.979</w:t>
            </w:r>
          </w:p>
        </w:tc>
      </w:tr>
      <w:tr>
        <w:trPr>
          <w:cantSplit/>
        </w:trPr>
        <w:tc>
          <w:tcPr>
            <w:tcW w:type="dxa" w:w="907"/>
          </w:tcPr>
          <w:p>
            <w:r/>
            <w:r>
              <w:rPr>
                <w:sz w:val="20"/>
              </w:rPr>
              <w:t>50</w:t>
            </w:r>
          </w:p>
        </w:tc>
        <w:tc>
          <w:tcPr>
            <w:tcW w:type="dxa" w:w="2041"/>
          </w:tcPr>
          <w:p>
            <w:r/>
            <w:r>
              <w:rPr>
                <w:sz w:val="20"/>
              </w:rPr>
              <w:t>0.920</w:t>
            </w:r>
          </w:p>
        </w:tc>
        <w:tc>
          <w:tcPr>
            <w:tcW w:type="dxa" w:w="2041"/>
          </w:tcPr>
          <w:p>
            <w:r/>
            <w:r>
              <w:rPr>
                <w:sz w:val="20"/>
              </w:rPr>
              <w:t>0.946</w:t>
            </w:r>
          </w:p>
        </w:tc>
        <w:tc>
          <w:tcPr>
            <w:tcW w:type="dxa" w:w="2041"/>
          </w:tcPr>
          <w:p>
            <w:r/>
            <w:r>
              <w:rPr>
                <w:sz w:val="20"/>
              </w:rPr>
              <w:t>0.973</w:t>
            </w:r>
          </w:p>
        </w:tc>
        <w:tc>
          <w:tcPr>
            <w:tcW w:type="dxa" w:w="2041"/>
          </w:tcPr>
          <w:p>
            <w:r/>
            <w:r>
              <w:rPr>
                <w:sz w:val="20"/>
              </w:rPr>
              <w:t>0.977</w:t>
            </w:r>
          </w:p>
        </w:tc>
      </w:tr>
      <w:tr>
        <w:trPr>
          <w:cantSplit/>
        </w:trPr>
        <w:tc>
          <w:tcPr>
            <w:tcW w:type="dxa" w:w="907"/>
            <w:shd w:val="clear" w:color="auto" w:fill="EEF2F7"/>
          </w:tcPr>
          <w:p>
            <w:r/>
            <w:r>
              <w:rPr>
                <w:sz w:val="20"/>
              </w:rPr>
              <w:t>75</w:t>
            </w:r>
          </w:p>
        </w:tc>
        <w:tc>
          <w:tcPr>
            <w:tcW w:type="dxa" w:w="2041"/>
            <w:shd w:val="clear" w:color="auto" w:fill="EEF2F7"/>
          </w:tcPr>
          <w:p>
            <w:r/>
            <w:r>
              <w:rPr>
                <w:sz w:val="20"/>
              </w:rPr>
              <w:t>0.904</w:t>
            </w:r>
          </w:p>
        </w:tc>
        <w:tc>
          <w:tcPr>
            <w:tcW w:type="dxa" w:w="2041"/>
            <w:shd w:val="clear" w:color="auto" w:fill="EEF2F7"/>
          </w:tcPr>
          <w:p>
            <w:r/>
            <w:r>
              <w:rPr>
                <w:sz w:val="20"/>
              </w:rPr>
              <w:t>0.938</w:t>
            </w:r>
          </w:p>
        </w:tc>
        <w:tc>
          <w:tcPr>
            <w:tcW w:type="dxa" w:w="2041"/>
            <w:shd w:val="clear" w:color="auto" w:fill="EEF2F7"/>
          </w:tcPr>
          <w:p>
            <w:r/>
            <w:r>
              <w:rPr>
                <w:sz w:val="20"/>
              </w:rPr>
              <w:t>0.968</w:t>
            </w:r>
          </w:p>
        </w:tc>
        <w:tc>
          <w:tcPr>
            <w:tcW w:type="dxa" w:w="2041"/>
            <w:shd w:val="clear" w:color="auto" w:fill="EEF2F7"/>
          </w:tcPr>
          <w:p>
            <w:r/>
            <w:r>
              <w:rPr>
                <w:sz w:val="20"/>
              </w:rPr>
              <w:t>0.976</w:t>
            </w:r>
          </w:p>
        </w:tc>
      </w:tr>
      <w:tr>
        <w:trPr>
          <w:cantSplit/>
        </w:trPr>
        <w:tc>
          <w:tcPr>
            <w:tcW w:type="dxa" w:w="907"/>
          </w:tcPr>
          <w:p>
            <w:r/>
            <w:r>
              <w:rPr>
                <w:sz w:val="20"/>
              </w:rPr>
              <w:t>100</w:t>
            </w:r>
          </w:p>
        </w:tc>
        <w:tc>
          <w:tcPr>
            <w:tcW w:type="dxa" w:w="2041"/>
          </w:tcPr>
          <w:p>
            <w:r/>
            <w:r>
              <w:rPr>
                <w:sz w:val="20"/>
              </w:rPr>
              <w:t>0.864</w:t>
            </w:r>
          </w:p>
        </w:tc>
        <w:tc>
          <w:tcPr>
            <w:tcW w:type="dxa" w:w="2041"/>
          </w:tcPr>
          <w:p>
            <w:r/>
            <w:r>
              <w:rPr>
                <w:sz w:val="20"/>
              </w:rPr>
              <w:t>0.924</w:t>
            </w:r>
          </w:p>
        </w:tc>
        <w:tc>
          <w:tcPr>
            <w:tcW w:type="dxa" w:w="2041"/>
          </w:tcPr>
          <w:p>
            <w:r/>
            <w:r>
              <w:rPr>
                <w:sz w:val="20"/>
              </w:rPr>
              <w:t>0.943</w:t>
            </w:r>
          </w:p>
        </w:tc>
        <w:tc>
          <w:tcPr>
            <w:tcW w:type="dxa" w:w="2041"/>
          </w:tcPr>
          <w:p>
            <w:r/>
            <w:r>
              <w:rPr>
                <w:sz w:val="20"/>
              </w:rPr>
              <w:t>0.953</w:t>
            </w:r>
          </w:p>
        </w:tc>
      </w:tr>
    </w:tbl>
    <w:p>
      <w:pPr>
        <w:spacing w:after="40"/>
      </w:pPr>
    </w:p>
    <w:p>
      <w:pPr>
        <w:jc w:val="center"/>
      </w:pPr>
      <w:r>
        <w:drawing>
          <wp:inline xmlns:a="http://schemas.openxmlformats.org/drawingml/2006/main" xmlns:pic="http://schemas.openxmlformats.org/drawingml/2006/picture">
            <wp:extent cx="5040000" cy="2828437"/>
            <wp:docPr id="12" name="Picture 12"/>
            <wp:cNvGraphicFramePr>
              <a:graphicFrameLocks noChangeAspect="1"/>
            </wp:cNvGraphicFramePr>
            <a:graphic>
              <a:graphicData uri="http://schemas.openxmlformats.org/drawingml/2006/picture">
                <pic:pic>
                  <pic:nvPicPr>
                    <pic:cNvPr id="0" name="t2_accuracy_vs_ruido.png"/>
                    <pic:cNvPicPr/>
                  </pic:nvPicPr>
                  <pic:blipFill>
                    <a:blip r:embed="rId20"/>
                    <a:stretch>
                      <a:fillRect/>
                    </a:stretch>
                  </pic:blipFill>
                  <pic:spPr>
                    <a:xfrm>
                      <a:off x="0" y="0"/>
                      <a:ext cx="5040000" cy="2828437"/>
                    </a:xfrm>
                    <a:prstGeom prst="rect"/>
                  </pic:spPr>
                </pic:pic>
              </a:graphicData>
            </a:graphic>
          </wp:inline>
        </w:drawing>
      </w:r>
    </w:p>
    <w:p>
      <w:pPr>
        <w:spacing w:after="200"/>
        <w:jc w:val="center"/>
      </w:pPr>
      <w:r>
        <w:rPr>
          <w:b w:val="0"/>
          <w:i/>
          <w:sz w:val="18"/>
        </w:rPr>
        <w:t>Figura 12. Accuracy frente a la desviación del ruido (k = 50).</w:t>
      </w:r>
    </w:p>
    <w:p>
      <w:pPr>
        <w:jc w:val="center"/>
      </w:pPr>
      <w:r>
        <w:drawing>
          <wp:inline xmlns:a="http://schemas.openxmlformats.org/drawingml/2006/main" xmlns:pic="http://schemas.openxmlformats.org/drawingml/2006/picture">
            <wp:extent cx="5400000" cy="2281395"/>
            <wp:docPr id="13" name="Picture 13"/>
            <wp:cNvGraphicFramePr>
              <a:graphicFrameLocks noChangeAspect="1"/>
            </wp:cNvGraphicFramePr>
            <a:graphic>
              <a:graphicData uri="http://schemas.openxmlformats.org/drawingml/2006/picture">
                <pic:pic>
                  <pic:nvPicPr>
                    <pic:cNvPr id="0" name="t2_ruido_ejemplos.png"/>
                    <pic:cNvPicPr/>
                  </pic:nvPicPr>
                  <pic:blipFill>
                    <a:blip r:embed="rId21"/>
                    <a:stretch>
                      <a:fillRect/>
                    </a:stretch>
                  </pic:blipFill>
                  <pic:spPr>
                    <a:xfrm>
                      <a:off x="0" y="0"/>
                      <a:ext cx="5400000" cy="2281395"/>
                    </a:xfrm>
                    <a:prstGeom prst="rect"/>
                  </pic:spPr>
                </pic:pic>
              </a:graphicData>
            </a:graphic>
          </wp:inline>
        </w:drawing>
      </w:r>
    </w:p>
    <w:p>
      <w:pPr>
        <w:spacing w:after="200"/>
        <w:jc w:val="center"/>
      </w:pPr>
      <w:r>
        <w:rPr>
          <w:b w:val="0"/>
          <w:i/>
          <w:sz w:val="18"/>
        </w:rPr>
        <w:t>Figura 13. Imagen con ruido creciente (arriba) y su reconstrucción con 50 eigenfaces (abajo).</w:t>
      </w:r>
    </w:p>
    <w:p>
      <w:r>
        <w:rPr>
          <w:b w:val="0"/>
          <w:i w:val="0"/>
        </w:rPr>
        <w:t>El método es muy robusto: hasta σ = 50 la precisión prácticamente no cambia (0.980 → 0.977 con 1-NN y 10 imágenes por persona) y solo con σ = 100, una imagen muy degradada, baja a 0.953 (0.943 con SVM). La razón se ve en la Figura 13: el ruido gaussiano se reparte por igual en las 10 000 dimensiones, mientras que las 50 eigenfaces solo conservan las direcciones típicas de las caras, así que la proyección descarta casi todo el ruido y actúa como filtro. 1-NN resultó algo más robusto que SVM, y con 5 imágenes por persona el deterioro es mayor.</w:t>
      </w:r>
    </w:p>
    <w:p>
      <w:pPr>
        <w:pStyle w:val="Heading2"/>
      </w:pPr>
      <w:r>
        <w:t>5.3 Tarea 3: comparación con la guía</w:t>
      </w:r>
    </w:p>
    <w:p>
      <w:r>
        <w:rPr>
          <w:b w:val="0"/>
          <w:i w:val="0"/>
        </w:rPr>
        <w:t>La guía indica que el método puede llegar a ~100 % de precisión en reconocimiento facial con pocos usuarios.</w:t>
      </w:r>
    </w:p>
    <w:tbl>
      <w:tblPr>
        <w:tblStyle w:val="TableGrid"/>
        <w:tblW w:type="auto" w:w="0"/>
        <w:jc w:val="center"/>
        <w:tblLook w:firstColumn="1" w:firstRow="1" w:lastColumn="0" w:lastRow="0" w:noHBand="0" w:noVBand="1" w:val="04A0"/>
      </w:tblPr>
      <w:tblGrid>
        <w:gridCol w:w="4703"/>
        <w:gridCol w:w="4703"/>
      </w:tblGrid>
      <w:tr>
        <w:trPr>
          <w:cantSplit/>
        </w:trPr>
        <w:tc>
          <w:tcPr>
            <w:tcW w:type="dxa" w:w="5953"/>
            <w:shd w:val="clear" w:color="auto" w:fill="1F3A5F"/>
          </w:tcPr>
          <w:p>
            <w:pPr>
              <w:keepNext/>
            </w:pPr>
            <w:r/>
            <w:r>
              <w:rPr>
                <w:b/>
                <w:color w:val="FFFFFF"/>
                <w:sz w:val="20"/>
              </w:rPr>
              <w:t>Fuente / configuración</w:t>
            </w:r>
          </w:p>
        </w:tc>
        <w:tc>
          <w:tcPr>
            <w:tcW w:type="dxa" w:w="3118"/>
            <w:shd w:val="clear" w:color="auto" w:fill="1F3A5F"/>
          </w:tcPr>
          <w:p>
            <w:pPr>
              <w:keepNext/>
            </w:pPr>
            <w:r/>
            <w:r>
              <w:rPr>
                <w:b/>
                <w:color w:val="FFFFFF"/>
                <w:sz w:val="20"/>
              </w:rPr>
              <w:t>Precisión</w:t>
            </w:r>
          </w:p>
        </w:tc>
      </w:tr>
      <w:tr>
        <w:trPr>
          <w:cantSplit/>
        </w:trPr>
        <w:tc>
          <w:tcPr>
            <w:tcW w:type="dxa" w:w="5953"/>
          </w:tcPr>
          <w:p>
            <w:r/>
            <w:r>
              <w:rPr>
                <w:sz w:val="20"/>
              </w:rPr>
              <w:t>Referencia de la guía (pocos usuarios)</w:t>
            </w:r>
          </w:p>
        </w:tc>
        <w:tc>
          <w:tcPr>
            <w:tcW w:type="dxa" w:w="3118"/>
          </w:tcPr>
          <w:p>
            <w:r/>
            <w:r>
              <w:rPr>
                <w:sz w:val="20"/>
              </w:rPr>
              <w:t>~100 %</w:t>
            </w:r>
          </w:p>
        </w:tc>
      </w:tr>
      <w:tr>
        <w:trPr>
          <w:cantSplit/>
        </w:trPr>
        <w:tc>
          <w:tcPr>
            <w:tcW w:type="dxa" w:w="5953"/>
            <w:shd w:val="clear" w:color="auto" w:fill="EEF2F7"/>
          </w:tcPr>
          <w:p>
            <w:r/>
            <w:r>
              <w:rPr>
                <w:sz w:val="20"/>
              </w:rPr>
              <w:t>Este laboratorio: 10 imágenes por persona, k = 50, 1-NN</w:t>
            </w:r>
          </w:p>
        </w:tc>
        <w:tc>
          <w:tcPr>
            <w:tcW w:type="dxa" w:w="3118"/>
            <w:shd w:val="clear" w:color="auto" w:fill="EEF2F7"/>
          </w:tcPr>
          <w:p>
            <w:r/>
            <w:r>
              <w:rPr>
                <w:sz w:val="20"/>
              </w:rPr>
              <w:t>98.0 % ± 0.8</w:t>
            </w:r>
          </w:p>
        </w:tc>
      </w:tr>
      <w:tr>
        <w:trPr>
          <w:cantSplit/>
        </w:trPr>
        <w:tc>
          <w:tcPr>
            <w:tcW w:type="dxa" w:w="5953"/>
          </w:tcPr>
          <w:p>
            <w:r/>
            <w:r>
              <w:rPr>
                <w:sz w:val="20"/>
              </w:rPr>
              <w:t>Este laboratorio: 10 imágenes por persona, k = 50, SVM</w:t>
            </w:r>
          </w:p>
        </w:tc>
        <w:tc>
          <w:tcPr>
            <w:tcW w:type="dxa" w:w="3118"/>
          </w:tcPr>
          <w:p>
            <w:r/>
            <w:r>
              <w:rPr>
                <w:sz w:val="20"/>
              </w:rPr>
              <w:t>97.5 % ± 1.3</w:t>
            </w:r>
          </w:p>
        </w:tc>
      </w:tr>
      <w:tr>
        <w:trPr>
          <w:cantSplit/>
        </w:trPr>
        <w:tc>
          <w:tcPr>
            <w:tcW w:type="dxa" w:w="5953"/>
            <w:shd w:val="clear" w:color="auto" w:fill="EEF2F7"/>
          </w:tcPr>
          <w:p>
            <w:r/>
            <w:r>
              <w:rPr>
                <w:sz w:val="20"/>
              </w:rPr>
              <w:t>Este laboratorio: 5 imágenes por persona, k = 50, 1-NN</w:t>
            </w:r>
          </w:p>
        </w:tc>
        <w:tc>
          <w:tcPr>
            <w:tcW w:type="dxa" w:w="3118"/>
            <w:shd w:val="clear" w:color="auto" w:fill="EEF2F7"/>
          </w:tcPr>
          <w:p>
            <w:r/>
            <w:r>
              <w:rPr>
                <w:sz w:val="20"/>
              </w:rPr>
              <w:t>95.0 % ± 2.2</w:t>
            </w:r>
          </w:p>
        </w:tc>
      </w:tr>
      <w:tr>
        <w:trPr>
          <w:cantSplit/>
        </w:trPr>
        <w:tc>
          <w:tcPr>
            <w:tcW w:type="dxa" w:w="5953"/>
          </w:tcPr>
          <w:p>
            <w:r/>
            <w:r>
              <w:rPr>
                <w:sz w:val="20"/>
              </w:rPr>
              <w:t>Este laboratorio: 5 imágenes por persona, k = 50, SVM</w:t>
            </w:r>
          </w:p>
        </w:tc>
        <w:tc>
          <w:tcPr>
            <w:tcW w:type="dxa" w:w="3118"/>
          </w:tcPr>
          <w:p>
            <w:r/>
            <w:r>
              <w:rPr>
                <w:sz w:val="20"/>
              </w:rPr>
              <w:t>92.0 % ± 4.0</w:t>
            </w:r>
          </w:p>
        </w:tc>
      </w:tr>
      <w:tr>
        <w:trPr>
          <w:cantSplit/>
        </w:trPr>
        <w:tc>
          <w:tcPr>
            <w:tcW w:type="dxa" w:w="5953"/>
            <w:shd w:val="clear" w:color="auto" w:fill="EEF2F7"/>
          </w:tcPr>
          <w:p>
            <w:r/>
            <w:r>
              <w:rPr>
                <w:sz w:val="20"/>
              </w:rPr>
              <w:t>Una sola división, random_state = 42 (10 por persona, SVM)</w:t>
            </w:r>
          </w:p>
        </w:tc>
        <w:tc>
          <w:tcPr>
            <w:tcW w:type="dxa" w:w="3118"/>
            <w:shd w:val="clear" w:color="auto" w:fill="EEF2F7"/>
          </w:tcPr>
          <w:p>
            <w:r/>
            <w:r>
              <w:rPr>
                <w:sz w:val="20"/>
              </w:rPr>
              <w:t>98 %</w:t>
            </w:r>
          </w:p>
        </w:tc>
      </w:tr>
    </w:tbl>
    <w:p>
      <w:pPr>
        <w:spacing w:after="40"/>
      </w:pPr>
    </w:p>
    <w:p>
      <w:r>
        <w:rPr>
          <w:b w:val="0"/>
          <w:i w:val="0"/>
        </w:rPr>
        <w:t>Los resultados se acercan al ~100 % de referencia: con 10 imágenes por persona se obtiene 98 %, es decir, en promedio se fallan 2 de cada 100 imágenes de prueba. La diferencia se explica por:</w:t>
      </w:r>
    </w:p>
    <w:p>
      <w:pPr>
        <w:pStyle w:val="ListBullet"/>
      </w:pPr>
      <w:r>
        <w:t>Número de personas: la referencia habla de "bajos usuarios"; aquí se reconocen 40 personas a la vez, y más clases implican más posibilidades de confusión.</w:t>
      </w:r>
    </w:p>
    <w:p>
      <w:pPr>
        <w:pStyle w:val="ListBullet"/>
      </w:pPr>
      <w:r>
        <w:t>Imágenes de entrenamiento por persona: con 5 (3–4 en entrenamiento) la precisión cae al 92–95 %; con 10 (7–8 en entrenamiento) sube al 98 %. Eigenfaces depende de haber visto las variaciones de cada persona.</w:t>
      </w:r>
    </w:p>
    <w:p>
      <w:pPr>
        <w:pStyle w:val="ListBullet"/>
      </w:pPr>
      <w:r>
        <w:t>Variaciones del dataset: AT&amp;T incluye cambios de expresión, gafas, iluminación y pequeñas rotaciones, que son justamente las causas de los errores observados (Figura 7). Eigenfaces es sensible a pose e iluminación porque trabaja directamente con los píxeles.</w:t>
      </w:r>
    </w:p>
    <w:p>
      <w:pPr>
        <w:pStyle w:val="ListBullet"/>
      </w:pPr>
      <w:r>
        <w:t>Evaluación: aquí el PCA se calcula solo con el entrenamiento y se promedian 10 divisiones; evaluar con el PCA de todo el conjunto o con una sola división favorable puede dar valores más altos.</w:t>
      </w:r>
    </w:p>
    <w:p>
      <w:r>
        <w:rPr>
          <w:b w:val="0"/>
          <w:i w:val="0"/>
        </w:rPr>
        <w:t>En condiciones reales (parte 5) la precisión cae mucho más: sin detectar y alinear la cara, y con una persona que no está en el entrenamiento, el sistema no puede reconocer correctamente. El ~100 % solo se alcanza en condiciones controladas, con caras alineadas, del mismo tamaño y de personas conocidas.</w:t>
      </w:r>
    </w:p>
    <w:p>
      <w:pPr>
        <w:pStyle w:val="Heading1"/>
      </w:pPr>
      <w:r>
        <w:t>6. Análisis general</w:t>
      </w:r>
    </w:p>
    <w:p>
      <w:pPr>
        <w:pStyle w:val="ListBullet"/>
      </w:pPr>
      <w:r>
        <w:t>Redimensionar a un tamaño fijo y aplanar es indispensable: PCA necesita que todas las muestras tengan la misma dimensión y que cada dimensión corresponda a la misma zona de la cara.</w:t>
      </w:r>
    </w:p>
    <w:p>
      <w:pPr>
        <w:pStyle w:val="ListBullet"/>
      </w:pPr>
      <w:r>
        <w:t>Centrar los datos (restar la mean face) es parte del método; hacerlo dos veces, como en el código de la guía, convierte la primera eigenface en una copia de la cara promedio.</w:t>
      </w:r>
    </w:p>
    <w:p>
      <w:pPr>
        <w:pStyle w:val="ListBullet"/>
      </w:pPr>
      <w:r>
        <w:t>PCA reduce 10 000 dimensiones a 50 conservando el 88 % de la varianza, y con esas 50 se reconoce al 98 %: la información que distingue a las personas está concentrada en pocas direcciones.</w:t>
      </w:r>
    </w:p>
    <w:p>
      <w:pPr>
        <w:pStyle w:val="ListBullet"/>
      </w:pPr>
      <w:r>
        <w:t>El clasificador más simple (1-NN) funcionó igual o mejor que SVM, con menos sensibilidad al número de componentes y al ruido.</w:t>
      </w:r>
    </w:p>
    <w:p>
      <w:pPr>
        <w:pStyle w:val="ListBullet"/>
      </w:pPr>
      <w:r>
        <w:t>La proyección en eigenfaces es robusta al ruido aleatorio, pero no a cambios de encuadre, escala o persona desconocida, como mostró la prueba en vivo.</w:t>
      </w:r>
    </w:p>
    <w:p>
      <w:pPr>
        <w:pStyle w:val="Heading1"/>
      </w:pPr>
      <w:r>
        <w:t>7. Conclusiones</w:t>
      </w:r>
    </w:p>
    <w:p>
      <w:pPr>
        <w:pStyle w:val="ListBullet"/>
      </w:pPr>
      <w:r>
        <w:t>Implementé Eigenfaces con OpenCV: redimensionamiento a 100 × 100, aplanado a 10 000 dimensiones, mean face, PCA con cv2.PCACompute2 y proyección con cv2.PCAProject, alcanzando 98 % de precisión con 10 imágenes por persona.</w:t>
      </w:r>
    </w:p>
    <w:p>
      <w:pPr>
        <w:pStyle w:val="ListBullet"/>
      </w:pPr>
      <w:r>
        <w:t>El código de la guía tiene dos errores: interpreta mal lo que devuelve cv2.PCACompute y resta la media dos veces. Al corregirlos las eigenfaces representan variaciones reales de las caras.</w:t>
      </w:r>
    </w:p>
    <w:p>
      <w:pPr>
        <w:pStyle w:val="ListBullet"/>
      </w:pPr>
      <w:r>
        <w:t>El número de componentes tiene un punto de saturación alrededor de 40–50: menos componentes pierden información y más no mejoran la precisión.</w:t>
      </w:r>
    </w:p>
    <w:p>
      <w:pPr>
        <w:pStyle w:val="ListBullet"/>
      </w:pPr>
      <w:r>
        <w:t>Tener más imágenes por persona mejora más la precisión (92–95 % → 97.5–98 %) que aumentar los componentes.</w:t>
      </w:r>
    </w:p>
    <w:p>
      <w:pPr>
        <w:pStyle w:val="ListBullet"/>
      </w:pPr>
      <w:r>
        <w:t>El método es muy tolerante al ruido gaussiano porque la proyección actúa como filtro, pero en tiempo real necesita detección de rostros, personas registradas y un umbral de rechazo para ser útil.</w:t>
      </w:r>
    </w:p>
    <w:p>
      <w:pPr>
        <w:pStyle w:val="Heading1"/>
      </w:pPr>
      <w:r>
        <w:t>8. Archivos entregados</w:t>
      </w:r>
    </w:p>
    <w:tbl>
      <w:tblPr>
        <w:tblStyle w:val="TableGrid"/>
        <w:tblW w:type="auto" w:w="0"/>
        <w:jc w:val="center"/>
        <w:tblLook w:firstColumn="1" w:firstRow="1" w:lastColumn="0" w:lastRow="0" w:noHBand="0" w:noVBand="1" w:val="04A0"/>
      </w:tblPr>
      <w:tblGrid>
        <w:gridCol w:w="4703"/>
        <w:gridCol w:w="4703"/>
      </w:tblGrid>
      <w:tr>
        <w:trPr>
          <w:cantSplit/>
        </w:trPr>
        <w:tc>
          <w:tcPr>
            <w:tcW w:type="dxa" w:w="2835"/>
            <w:shd w:val="clear" w:color="auto" w:fill="1F3A5F"/>
          </w:tcPr>
          <w:p>
            <w:pPr>
              <w:keepNext/>
            </w:pPr>
            <w:r/>
            <w:r>
              <w:rPr>
                <w:b/>
                <w:color w:val="FFFFFF"/>
                <w:sz w:val="20"/>
              </w:rPr>
              <w:t>Entregable</w:t>
            </w:r>
          </w:p>
        </w:tc>
        <w:tc>
          <w:tcPr>
            <w:tcW w:type="dxa" w:w="6236"/>
            <w:shd w:val="clear" w:color="auto" w:fill="1F3A5F"/>
          </w:tcPr>
          <w:p>
            <w:pPr>
              <w:keepNext/>
            </w:pPr>
            <w:r/>
            <w:r>
              <w:rPr>
                <w:b/>
                <w:color w:val="FFFFFF"/>
                <w:sz w:val="20"/>
              </w:rPr>
              <w:t>Ubicación (LabCG3_Eigenfaces/)</w:t>
            </w:r>
          </w:p>
        </w:tc>
      </w:tr>
      <w:tr>
        <w:trPr>
          <w:cantSplit/>
        </w:trPr>
        <w:tc>
          <w:tcPr>
            <w:tcW w:type="dxa" w:w="2835"/>
          </w:tcPr>
          <w:p>
            <w:r/>
            <w:r>
              <w:rPr>
                <w:sz w:val="20"/>
              </w:rPr>
              <w:t>Código funcional</w:t>
            </w:r>
          </w:p>
        </w:tc>
        <w:tc>
          <w:tcPr>
            <w:tcW w:type="dxa" w:w="6236"/>
          </w:tcPr>
          <w:p>
            <w:r/>
            <w:r>
              <w:rPr>
                <w:sz w:val="20"/>
              </w:rPr>
              <w:t>LabCG3_Eigenfaces.ipynb</w:t>
            </w:r>
          </w:p>
        </w:tc>
      </w:tr>
      <w:tr>
        <w:trPr>
          <w:cantSplit/>
        </w:trPr>
        <w:tc>
          <w:tcPr>
            <w:tcW w:type="dxa" w:w="2835"/>
            <w:shd w:val="clear" w:color="auto" w:fill="EEF2F7"/>
          </w:tcPr>
          <w:p>
            <w:r/>
            <w:r>
              <w:rPr>
                <w:sz w:val="20"/>
              </w:rPr>
              <w:t>Gráficos de eigenfaces</w:t>
            </w:r>
          </w:p>
        </w:tc>
        <w:tc>
          <w:tcPr>
            <w:tcW w:type="dxa" w:w="6236"/>
            <w:shd w:val="clear" w:color="auto" w:fill="EEF2F7"/>
          </w:tcPr>
          <w:p>
            <w:r/>
            <w:r>
              <w:rPr>
                <w:sz w:val="20"/>
              </w:rPr>
              <w:t>resultados/3_eigenfaces.png, 3_error_doble_media.png, 3_varianza_acumulada.png</w:t>
            </w:r>
          </w:p>
        </w:tc>
      </w:tr>
      <w:tr>
        <w:trPr>
          <w:cantSplit/>
        </w:trPr>
        <w:tc>
          <w:tcPr>
            <w:tcW w:type="dxa" w:w="2835"/>
          </w:tcPr>
          <w:p>
            <w:r/>
            <w:r>
              <w:rPr>
                <w:sz w:val="20"/>
              </w:rPr>
              <w:t>Accuracy vs. componentes</w:t>
            </w:r>
          </w:p>
        </w:tc>
        <w:tc>
          <w:tcPr>
            <w:tcW w:type="dxa" w:w="6236"/>
          </w:tcPr>
          <w:p>
            <w:r/>
            <w:r>
              <w:rPr>
                <w:sz w:val="20"/>
              </w:rPr>
              <w:t>resultados/t1_accuracy_vs_componentes.png, t1_reconstruccion.png</w:t>
            </w:r>
          </w:p>
        </w:tc>
      </w:tr>
      <w:tr>
        <w:trPr>
          <w:cantSplit/>
        </w:trPr>
        <w:tc>
          <w:tcPr>
            <w:tcW w:type="dxa" w:w="2835"/>
            <w:shd w:val="clear" w:color="auto" w:fill="EEF2F7"/>
          </w:tcPr>
          <w:p>
            <w:r/>
            <w:r>
              <w:rPr>
                <w:sz w:val="20"/>
              </w:rPr>
              <w:t>Robustez al ruido</w:t>
            </w:r>
          </w:p>
        </w:tc>
        <w:tc>
          <w:tcPr>
            <w:tcW w:type="dxa" w:w="6236"/>
            <w:shd w:val="clear" w:color="auto" w:fill="EEF2F7"/>
          </w:tcPr>
          <w:p>
            <w:r/>
            <w:r>
              <w:rPr>
                <w:sz w:val="20"/>
              </w:rPr>
              <w:t>resultados/t2_accuracy_vs_ruido.png, t2_ruido_ejemplos.png</w:t>
            </w:r>
          </w:p>
        </w:tc>
      </w:tr>
      <w:tr>
        <w:trPr>
          <w:cantSplit/>
        </w:trPr>
        <w:tc>
          <w:tcPr>
            <w:tcW w:type="dxa" w:w="2835"/>
          </w:tcPr>
          <w:p>
            <w:r/>
            <w:r>
              <w:rPr>
                <w:sz w:val="20"/>
              </w:rPr>
              <w:t>Prueba en tiempo real</w:t>
            </w:r>
          </w:p>
        </w:tc>
        <w:tc>
          <w:tcPr>
            <w:tcW w:type="dxa" w:w="6236"/>
          </w:tcPr>
          <w:p>
            <w:r/>
            <w:r>
              <w:rPr>
                <w:sz w:val="20"/>
              </w:rPr>
              <w:t>resultados/5_live_*.jpg, 5_live.json, 5_analisis_live.png</w:t>
            </w:r>
          </w:p>
        </w:tc>
      </w:tr>
      <w:tr>
        <w:trPr>
          <w:cantSplit/>
        </w:trPr>
        <w:tc>
          <w:tcPr>
            <w:tcW w:type="dxa" w:w="2835"/>
            <w:shd w:val="clear" w:color="auto" w:fill="EEF2F7"/>
          </w:tcPr>
          <w:p>
            <w:r/>
            <w:r>
              <w:rPr>
                <w:sz w:val="20"/>
              </w:rPr>
              <w:t>Datos y modelo</w:t>
            </w:r>
          </w:p>
        </w:tc>
        <w:tc>
          <w:tcPr>
            <w:tcW w:type="dxa" w:w="6236"/>
            <w:shd w:val="clear" w:color="auto" w:fill="EEF2F7"/>
          </w:tcPr>
          <w:p>
            <w:r/>
            <w:r>
              <w:rPr>
                <w:sz w:val="20"/>
              </w:rPr>
              <w:t>resultados/datos_labcg3.json, modelo_eigenfaces.npz</w:t>
            </w:r>
          </w:p>
        </w:tc>
      </w:tr>
      <w:tr>
        <w:trPr>
          <w:cantSplit/>
        </w:trPr>
        <w:tc>
          <w:tcPr>
            <w:tcW w:type="dxa" w:w="2835"/>
          </w:tcPr>
          <w:p>
            <w:r/>
            <w:r>
              <w:rPr>
                <w:sz w:val="20"/>
              </w:rPr>
              <w:t>Dataset</w:t>
            </w:r>
          </w:p>
        </w:tc>
        <w:tc>
          <w:tcPr>
            <w:tcW w:type="dxa" w:w="6236"/>
          </w:tcPr>
          <w:p>
            <w:r/>
            <w:r>
              <w:rPr>
                <w:sz w:val="20"/>
              </w:rPr>
              <w:t>datos/att_faces/</w:t>
            </w:r>
          </w:p>
        </w:tc>
      </w:tr>
    </w:tbl>
    <w:p>
      <w:pPr>
        <w:spacing w:after="40"/>
      </w:pPr>
    </w:p>
    <w:p>
      <w:pPr>
        <w:pStyle w:val="Heading1"/>
      </w:pPr>
      <w:r>
        <w:t>9. Bibliografía</w:t>
      </w:r>
    </w:p>
    <w:p>
      <w:pPr>
        <w:pStyle w:val="ListBullet"/>
      </w:pPr>
      <w:r>
        <w:t>Turk, M., &amp; Pentland, A. (1991). Eigenfaces for recognition. Journal of Cognitive Neuroscience, 3(1), 71–86.</w:t>
      </w:r>
    </w:p>
    <w:p>
      <w:pPr>
        <w:pStyle w:val="ListBullet"/>
      </w:pPr>
      <w:r>
        <w:t>Samaria, F., &amp; Harter, A. (1994). Parameterisation of a stochastic model for human face identification. IEEE Workshop on Applications of Computer Vision. (ORL / AT&amp;T Database of Faces)</w:t>
      </w:r>
    </w:p>
    <w:p>
      <w:pPr>
        <w:pStyle w:val="ListBullet"/>
      </w:pPr>
      <w:r>
        <w:t>OpenCV Documentation: cv::PCA, PCACompute, PCAProject, PCABackProject, FaceDetectorYN. https://docs.opencv.org/</w:t>
      </w:r>
    </w:p>
    <w:p>
      <w:pPr>
        <w:pStyle w:val="ListBullet"/>
      </w:pPr>
      <w:r>
        <w:t>scikit-learn Documentation: PCA, SVC, KNeighborsClassifier. https://scikit-learn.org/</w:t>
      </w:r>
    </w:p>
    <w:p>
      <w:pPr>
        <w:pStyle w:val="ListBullet"/>
      </w:pPr>
      <w:r>
        <w:t>Kaggle: AT&amp;T Database of Faces. https://www.kaggle.com/datasets/kasikrit/att-database-of-faces</w:t>
      </w:r>
    </w:p>
    <w:p>
      <w:pPr>
        <w:pStyle w:val="ListBullet"/>
      </w:pPr>
      <w:r>
        <w:t>PyImageSearch y LearnOpenCV: tutoriales de Eigenfaces y PCA (recursos de la guía).</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b/>
      <w:bCs/>
      <w:color w:val="1F3A5F"/>
      <w:sz w:val="30"/>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1F3A5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