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64"/>
          <w:szCs w:val="64"/>
          <w:rtl w:val="0"/>
        </w:rPr>
        <w:t xml:space="preserve">SOKO.MARKET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40"/>
          <w:szCs w:val="40"/>
          <w:rtl w:val="0"/>
        </w:rPr>
        <w:t xml:space="preserve">Master Control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24"/>
          <w:szCs w:val="24"/>
          <w:rtl w:val="0"/>
        </w:rPr>
        <w:t xml:space="preserve">Gap Resolution, Alignment &amp; Authority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dc3c7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18"/>
                <w:szCs w:val="18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SOKO-MCD-001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Active — Supersedes conflicting content in Docs 1–3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18"/>
                <w:szCs w:val="18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Where this document conflicts with Docs 1, 2, or 3, this document takes precedence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18"/>
                <w:szCs w:val="18"/>
                <w:rtl w:val="0"/>
              </w:rPr>
              <w:t xml:space="preserve">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Doc 1 (Architecture v3), Doc 2 (Technical Spec v1), Doc 3 (PRD v1)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June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1. Purpose &amp; Authority</w:t>
      </w:r>
    </w:p>
    <w:p w:rsidR="00000000" w:rsidDel="00000000" w:rsidP="00000000" w:rsidRDefault="00000000" w:rsidRPr="00000000" w14:paraId="00000017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This Master Control Document (MCD) exists to do three things: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Fill gaps — add the decisions that are missing from the three companion documents.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Resolve conflicts — where Doc 2 and Doc 3 contradict each other, this document rules.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Set authority — any team member uncertain which document to follow should default to this one.</w:t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This document does not replace the companion documents. It sits above them. Read the companion docs for detail; come here to resolve disagreement or find what is absent.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Document Hierarchy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600"/>
        <w:gridCol w:w="4026"/>
        <w:tblGridChange w:id="0">
          <w:tblGrid>
            <w:gridCol w:w="1400"/>
            <w:gridCol w:w="3600"/>
            <w:gridCol w:w="4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1 (Highest)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This MCD — SOKO-MCD-001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Gap fills, conflict resolution, final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 2 — Technical Spec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Engineering implementation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 3 — PRD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scope, user stories, delivery roadmap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 1 — Architecture 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Vision, data model, system behaviour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2. Cross-Document Conflict Register</w:t>
      </w:r>
    </w:p>
    <w:p w:rsidR="00000000" w:rsidDel="00000000" w:rsidP="00000000" w:rsidRDefault="00000000" w:rsidRPr="00000000" w14:paraId="0000003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The following conflicts were identified between the companion documents. The ruling in the rightmost column is binding.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600"/>
        <w:gridCol w:w="3000"/>
        <w:gridCol w:w="3826"/>
        <w:tblGridChange w:id="0">
          <w:tblGrid>
            <w:gridCol w:w="600"/>
            <w:gridCol w:w="1600"/>
            <w:gridCol w:w="3000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Ruling (this document governs)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Sprint roadmap vs Milestones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84212"/>
                <w:sz w:val="17"/>
                <w:szCs w:val="17"/>
                <w:rtl w:val="0"/>
              </w:rPr>
              <w:t xml:space="preserve">Doc 3 defines 10 sprints. Doc 2 defines 6 milestones. They do not map to each 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7"/>
                <w:szCs w:val="17"/>
                <w:rtl w:val="0"/>
              </w:rPr>
              <w:t xml:space="preserve">The sprint map in Doc 3 is the delivery unit. The milestones in Doc 2 are release gates. Section 3 of this document provides the unified mapping. Teams use sprints for day-to-day delivery and milestones for release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AI assistant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84212"/>
                <w:sz w:val="17"/>
                <w:szCs w:val="17"/>
                <w:rtl w:val="0"/>
              </w:rPr>
              <w:t xml:space="preserve">Doc 3 places AI assistant in Sprint 5. Doc 2 Milestone 5 is also AI Runtime, but after 4 infrastructure milestones.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7"/>
                <w:szCs w:val="17"/>
                <w:rtl w:val="0"/>
              </w:rPr>
              <w:t xml:space="preserve">AI must enter in Sprint 1 as a thin command parser and grow each sprint. Full AI Runtime remains Milestone 5 for cloud/model features, but a basic local parser is Sprint 1 non-negotiable. See Section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84212"/>
                <w:sz w:val="17"/>
                <w:szCs w:val="17"/>
                <w:rtl w:val="0"/>
              </w:rPr>
              <w:t xml:space="preserve">Doc 3 has a Definition of Done checklist. Doc 2 has performance targets and testing strategy. Neither references the 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7"/>
                <w:szCs w:val="17"/>
                <w:rtl w:val="0"/>
              </w:rPr>
              <w:t xml:space="preserve">The single Definition of Done is defined in Section 5 of this document. It incorporates both sources. Doc 3 Section 12 and Doc 2 Section 25 are superseded by Section 5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Marketplace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84212"/>
                <w:sz w:val="17"/>
                <w:szCs w:val="17"/>
                <w:rtl w:val="0"/>
              </w:rPr>
              <w:t xml:space="preserve">Doc 3 includes Marketplace as Epic 8 and Sprint 10 (in scope). Doc 1 Phase 9 treats it as a late phase.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7"/>
                <w:szCs w:val="17"/>
                <w:rtl w:val="0"/>
              </w:rPr>
              <w:t xml:space="preserve">Marketplace is out of scope for MVP and Beta. It enters the roadmap only after Public Launch stability is confirmed. Sprint 10 in Doc 3 is deferred. See Section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Offline sync conflict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84212"/>
                <w:sz w:val="17"/>
                <w:szCs w:val="17"/>
                <w:rtl w:val="0"/>
              </w:rPr>
              <w:t xml:space="preserve">Doc 1 Section 8.3 lists 4 rules. Doc 2 Section 9.4 lists 5 rules with slightly different wording on the 'latest action wins'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7"/>
                <w:szCs w:val="17"/>
                <w:rtl w:val="0"/>
              </w:rPr>
              <w:t xml:space="preserve">The authoritative conflict rules are defined in Section 7 of this document. Both prior versions are 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Performance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84212"/>
                <w:sz w:val="17"/>
                <w:szCs w:val="17"/>
                <w:rtl w:val="0"/>
              </w:rPr>
              <w:t xml:space="preserve">Doc 3 states chat response &lt; 2s. Doc 2 states basic local action &lt; 500ms and chat screen load &lt; 3s. These are measuring different things without clear definitions.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7"/>
                <w:szCs w:val="17"/>
                <w:rtl w:val="0"/>
              </w:rPr>
              <w:t xml:space="preserve">Unified performance targets are defined in Section 8 of this document with clear measurement definitions.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Payment 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84212"/>
                <w:sz w:val="17"/>
                <w:szCs w:val="17"/>
                <w:rtl w:val="0"/>
              </w:rPr>
              <w:t xml:space="preserve">Doc 1 lists M-Pesa, Stripe, PayPal, Pogo, MoneySwitch. Doc 2 Section 18.1 lists M-Pesa, Stripe, PayPal only as initial, with regional providers later.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7"/>
                <w:szCs w:val="17"/>
                <w:rtl w:val="0"/>
              </w:rPr>
              <w:t xml:space="preserve">Doc 2 is correct. Initial: M-Pesa and manual recording only. Stripe and PayPal are Milestone 3 stretch. Pogo and MoneySwitch are post-launch regional expansion.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Team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84212"/>
                <w:sz w:val="17"/>
                <w:szCs w:val="17"/>
                <w:rtl w:val="0"/>
              </w:rPr>
              <w:t xml:space="preserve">Doc 3 Section 16 lists 10 core roles. No team size or timeline is attached to any sprint or milestone in any document.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7"/>
                <w:szCs w:val="17"/>
                <w:rtl w:val="0"/>
              </w:rPr>
              <w:t xml:space="preserve">The binding team model and sprint duration assumptions are defined in Section 9 of this document.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3. Unified Sprint-to-Milestone Map</w:t>
      </w:r>
    </w:p>
    <w:p w:rsidR="00000000" w:rsidDel="00000000" w:rsidP="00000000" w:rsidRDefault="00000000" w:rsidRPr="00000000" w14:paraId="0000005A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This is the single authoritative delivery plan. Sprint duration: 2 weeks. Team size assumption: 5 engineers (1 mobile, 1 backend, 1 AI/ML, 1 full-stack, 1 QA). Total calendar time to Public Launch: approximately 6 months. See Section 9 for team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00"/>
        <w:gridCol w:w="1800"/>
        <w:gridCol w:w="1400"/>
        <w:gridCol w:w="1926"/>
        <w:tblGridChange w:id="0">
          <w:tblGrid>
            <w:gridCol w:w="700"/>
            <w:gridCol w:w="3200"/>
            <w:gridCol w:w="1800"/>
            <w:gridCol w:w="1400"/>
            <w:gridCol w:w="1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Milestone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Release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Exit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OTP auth, business creation, language selection, basic rule-based chat parser (local, no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M1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Internal 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6"/>
                <w:szCs w:val="16"/>
                <w:rtl w:val="0"/>
              </w:rPr>
              <w:t xml:space="preserve">Owner can log in and type a command that is understood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Products CRUD, customers CRUD, AI parser handles product + customer intents with confidence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d6d7e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Internal 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6"/>
                <w:szCs w:val="16"/>
                <w:rtl w:val="0"/>
              </w:rPr>
              <w:t xml:space="preserve">Agent correctly handles 10 predefined commands with &gt;80% accuracy on test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Invoice creation (chat-driven), inventory tracking, tax line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M1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Internal 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6"/>
                <w:szCs w:val="16"/>
                <w:rtl w:val="0"/>
              </w:rPr>
              <w:t xml:space="preserve">End-to-end: chat → invoice → PDF in under 2 seconds on low-end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Local IndexedDB, offline queue, delta sync, conflict resolution, retry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M2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Internal 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6"/>
                <w:szCs w:val="16"/>
                <w:rtl w:val="0"/>
              </w:rPr>
              <w:t xml:space="preserve">Create invoice offline, reconnect, sync succeeds with no data loss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Manual payments, M-Pesa webhook integration, payment status on invoice, debt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M3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Closed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6"/>
                <w:szCs w:val="16"/>
                <w:rtl w:val="0"/>
              </w:rPr>
              <w:t xml:space="preserve">Payment received → invoice marked paid within 30 seconds of 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Spreadsheet and PDF import, field extraction, preview and confirmation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M3 / M4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Closed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6"/>
                <w:szCs w:val="16"/>
                <w:rtl w:val="0"/>
              </w:rPr>
              <w:t xml:space="preserve">Upload a supplier CSV → products appear in confirmation screen → saved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Full AI Runtime: Intent Router, Planner, Tool Executor, memory, context builder, cloud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M5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Closed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6"/>
                <w:szCs w:val="16"/>
                <w:rtl w:val="0"/>
              </w:rPr>
              <w:t xml:space="preserve">AI task completion rate &gt;85% on 50-command evaluation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Reports (sales summary, debt report, stock report), audit logs, notification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d6d7e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Closed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6"/>
                <w:szCs w:val="16"/>
                <w:rtl w:val="0"/>
              </w:rPr>
              <w:t xml:space="preserve">Owner can generate a monthly sales report from 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Logistics module, vehicle and driver records, delivery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M6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Public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6"/>
                <w:szCs w:val="16"/>
                <w:rtl w:val="0"/>
              </w:rPr>
              <w:t xml:space="preserve">Delivery dispatched → customer notified → status updated on 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Performance hardening, accessibility, regional tax config, SMS fallback, USSD stub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Public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Public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6"/>
                <w:szCs w:val="16"/>
                <w:rtl w:val="0"/>
              </w:rPr>
              <w:t xml:space="preserve">All NFRs from Section 8 pass on 1 GB RAM test device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4. AI Implementation Strategy (Gap Fill)</w:t>
      </w:r>
    </w:p>
    <w:p w:rsidR="00000000" w:rsidDel="00000000" w:rsidP="00000000" w:rsidRDefault="00000000" w:rsidRPr="00000000" w14:paraId="00000096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The companion documents describe AI goals and architecture but omit three critical operational decisions: when AI enters the build, what accuracy is required before each release, and what the product looks and feels like when the AI fails. This section fills those 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4.1 AI Entry Point</w:t>
      </w:r>
    </w:p>
    <w:p w:rsidR="00000000" w:rsidDel="00000000" w:rsidP="00000000" w:rsidRDefault="00000000" w:rsidRPr="00000000" w14:paraId="0000009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AI enters in Sprint 1, not Sprint 5. The Sprint 1 AI is a deterministic rule-based command parser — no model, no inference, no cloud. It maps typed phrases to intents using pattern matching. This is intentional: it forces the team to design the intent taxonomy, confirmation flows, and error states before any model is involved. Every later AI upgrade is a drop-in replacement behind the same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3200"/>
        <w:gridCol w:w="3126"/>
        <w:tblGridChange w:id="0">
          <w:tblGrid>
            <w:gridCol w:w="700"/>
            <w:gridCol w:w="2000"/>
            <w:gridCol w:w="3200"/>
            <w:gridCol w:w="3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AI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Accuracy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Rule-based 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Keyword → intent mapping. Handles ~20 predefined command patterns.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8449"/>
                <w:sz w:val="17"/>
                <w:szCs w:val="17"/>
                <w:rtl w:val="0"/>
              </w:rPr>
              <w:t xml:space="preserve">&gt;80% on internal 50-command test set before Sprint 3 begins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Rule-based + entity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Extracts product names, quantities, customer names from natural phrasing.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8449"/>
                <w:sz w:val="17"/>
                <w:szCs w:val="17"/>
                <w:rtl w:val="0"/>
              </w:rPr>
              <w:t xml:space="preserve">&gt;85% entity extraction accuracy on 100-phrase eval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Tiny local SLM (optional, Wi-Fi download)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Handles ambiguous phrasing, mixed-language input, clarification questions.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8449"/>
                <w:sz w:val="17"/>
                <w:szCs w:val="17"/>
                <w:rtl w:val="0"/>
              </w:rPr>
              <w:t xml:space="preserve">&gt;85% intent accuracy on 200-command multilingual eval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Full AI Runtime (cloud fallback)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Complex reasoning, document extraction, long-context tasks.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8449"/>
                <w:sz w:val="17"/>
                <w:szCs w:val="17"/>
                <w:rtl w:val="0"/>
              </w:rPr>
              <w:t xml:space="preserve">&gt;90% task completion rate; cloud fallback rate &lt;30% of all requests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4.2 AI Failure Protocol</w:t>
      </w:r>
    </w:p>
    <w:p w:rsidR="00000000" w:rsidDel="00000000" w:rsidP="00000000" w:rsidRDefault="00000000" w:rsidRPr="00000000" w14:paraId="000000B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This is the most important gap in the companion documents. The product must define exactly what happens at each confidence level. These rules are binding across all AI modes: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800"/>
        <w:gridCol w:w="3826"/>
        <w:tblGridChange w:id="0">
          <w:tblGrid>
            <w:gridCol w:w="1400"/>
            <w:gridCol w:w="3800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System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7"/>
                <w:szCs w:val="17"/>
                <w:rtl w:val="0"/>
              </w:rPr>
              <w:t xml:space="preserve">&gt;0.85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Execute with confirmation for medium/high risk actions. Execute silently for read-only.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Agent says what it understood and what it did. One-tap undo available for 30 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7"/>
                <w:szCs w:val="17"/>
                <w:rtl w:val="0"/>
              </w:rPr>
              <w:t xml:space="preserve">0.60–0.85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Ask one clarifying question before acting. Do not guess.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Agent says: 'Did you mean [most likely intent]?' with 2–3 tap options.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84212"/>
                <w:sz w:val="17"/>
                <w:szCs w:val="17"/>
                <w:rtl w:val="0"/>
              </w:rPr>
              <w:t xml:space="preserve">0.40–0.60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 not attempt execution. Show shortcut menu of common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Agent says: 'I am not sure what you meant. Here are common actions:' + 4 quick-tap buttons.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&lt;0.40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 not attempt execution. Log the unrecognised phrase for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Agent says: 'I did not understand that. Try saying something like: Add 10 bags of maize.'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7"/>
                <w:szCs w:val="17"/>
                <w:rtl w:val="0"/>
              </w:rPr>
              <w:t xml:space="preserve">3 consecutive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Offer to open a structured form for the last attempted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Agent says: 'Would you like me to open a form instead?' Two-tap: Yes / 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4.3 AI Evaluation Dataset Requirements</w:t>
      </w:r>
    </w:p>
    <w:p w:rsidR="00000000" w:rsidDel="00000000" w:rsidP="00000000" w:rsidRDefault="00000000" w:rsidRPr="00000000" w14:paraId="000000C7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Before Sprint 3 begins, the team must produce and maintain an evaluation dataset. This dataset is the source of truth for all accuracy gates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Minimum 200 commands at Sprint 3. Minimum 500 by Sprint 7.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At least 40% of commands must be in Swahili or Swahili-English mixed language.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Must include deliberately ambiguous phrases to test clarification behaviour.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Must include adversarial inputs (gibberish, very long messages, repeated commands).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Dataset is version-controlled in the monorepo under /tests/ai-eval/.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Evaluation runs automatically on every PR that touches the AI runtime.</w:t>
      </w:r>
    </w:p>
    <w:p w:rsidR="00000000" w:rsidDel="00000000" w:rsidP="00000000" w:rsidRDefault="00000000" w:rsidRPr="00000000" w14:paraId="000000C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5. Unified Definition of Done</w:t>
      </w:r>
    </w:p>
    <w:p w:rsidR="00000000" w:rsidDel="00000000" w:rsidP="00000000" w:rsidRDefault="00000000" w:rsidRPr="00000000" w14:paraId="000000D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This supersedes Doc 3 Section 12. A feature is not complete until every item below is checked. No exceptions without a written waiver from the Engineering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5.1 Code Quality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Code implemented and peer-reviewed (minimum 1 reviewer who did not write the code).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No new lint errors or type errors introduced.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No TODO comments left in production code paths.</w:t>
      </w:r>
    </w:p>
    <w:p w:rsidR="00000000" w:rsidDel="00000000" w:rsidP="00000000" w:rsidRDefault="00000000" w:rsidRPr="00000000" w14:paraId="000000D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5.2 Testing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Unit tests pass with &gt;80% coverage on new business logic.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Integration tests pass for all API routes introduced.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Offline test: feature works with network disabled and syncs correctly on reconnect.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Device test: feature verified on a physical or emulated 1 GB RAM Android device.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If the feature touches AI: AI evaluation suite run and accuracy gate met (see Section 4.1).</w:t>
      </w:r>
    </w:p>
    <w:p w:rsidR="00000000" w:rsidDel="00000000" w:rsidP="00000000" w:rsidRDefault="00000000" w:rsidRPr="00000000" w14:paraId="000000D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5.3 Safety &amp; Security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AI safety review: no new high/critical risk tool can execute without a confirmation step.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RBAC check: feature respects role permissions. Owner-only features are gated.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Sensitive data is not logged in plaintext (payment references, phone numbers).</w:t>
      </w:r>
    </w:p>
    <w:p w:rsidR="00000000" w:rsidDel="00000000" w:rsidP="00000000" w:rsidRDefault="00000000" w:rsidRPr="00000000" w14:paraId="000000E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5.4 Performance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Chat response for local actions: under 2 seconds on low-end device (see Section 8).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No new API route with p95 latency above 500ms under 50 concurrent users.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App shell size has not increased by more than 200 KB for this feature.</w:t>
      </w:r>
    </w:p>
    <w:p w:rsidR="00000000" w:rsidDel="00000000" w:rsidP="00000000" w:rsidRDefault="00000000" w:rsidRPr="00000000" w14:paraId="000000E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5.5 Product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All acceptance criteria in the user story are met.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Feature is reachable from the chat interface without navigating a menu.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Feature works in English and Swahili (text labels, AI commands, error messages).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Accessibility: interactive elements meet 44x44 pt minimum tap target.</w:t>
      </w:r>
    </w:p>
    <w:p w:rsidR="00000000" w:rsidDel="00000000" w:rsidP="00000000" w:rsidRDefault="00000000" w:rsidRPr="00000000" w14:paraId="000000E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5.6 Documentation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API routes documented in /docs/api/ with request/response examples.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If new tool defined: tool definition JSON added to tool registry.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CHANGELOG entry added.</w:t>
      </w:r>
    </w:p>
    <w:p w:rsidR="00000000" w:rsidDel="00000000" w:rsidP="00000000" w:rsidRDefault="00000000" w:rsidRPr="00000000" w14:paraId="000000F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rtl w:val="0"/>
        </w:rPr>
        <w:t xml:space="preserve">6. Marketplace Scope Ruling</w:t>
      </w:r>
    </w:p>
    <w:p w:rsidR="00000000" w:rsidDel="00000000" w:rsidP="00000000" w:rsidRDefault="00000000" w:rsidRPr="00000000" w14:paraId="000000F6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Conflict C-04 ruled that the Marketplace (Doc 3 Epic 8 / Sprint 10) is deferred. This section defines what that means precisely.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tl w:val="0"/>
        </w:rPr>
        <w:t xml:space="preserve">6.1 What Is Deferred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Skill installation, skill registry, skill sandbox.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Third-party developer access, skill signing and verification.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Skill marketplace listing, reviews, updates, revenue sharing.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Industry template packs sold through the marketplace.</w:t>
      </w:r>
    </w:p>
    <w:p w:rsidR="00000000" w:rsidDel="00000000" w:rsidP="00000000" w:rsidRDefault="00000000" w:rsidRPr="00000000" w14:paraId="000000F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6.2 What Remains In Scope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Internal first-party skills: the team may build and ship pre-installed skills (e.g. a KRA tax calculator) that ship as part of the app. These are not marketplace items — they are features.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The skill architecture in Doc 2 Section 21 should still be designed and partially built, so that marketplace can be activated post-launch without a rewrite.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The tool permission model, sandbox interface, and skill.json spec should be finalised in the technical design during Sprint 7.</w:t>
      </w:r>
    </w:p>
    <w:p w:rsidR="00000000" w:rsidDel="00000000" w:rsidP="00000000" w:rsidRDefault="00000000" w:rsidRPr="00000000" w14:paraId="000001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6.3 Trigger Conditions for Reactivation</w:t>
      </w:r>
    </w:p>
    <w:p w:rsidR="00000000" w:rsidDel="00000000" w:rsidP="00000000" w:rsidRDefault="00000000" w:rsidRPr="00000000" w14:paraId="0000010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The marketplace roadmap is reactivated when all three conditions are met after Public Launch: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500+ active businesses on the platform for 60+ consecutive days.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Sync success rate &gt;98% for 30 consecutive days.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At least 3 identified external developers who have requested API access.</w:t>
      </w:r>
    </w:p>
    <w:p w:rsidR="00000000" w:rsidDel="00000000" w:rsidP="00000000" w:rsidRDefault="00000000" w:rsidRPr="00000000" w14:paraId="000001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r w:rsidDel="00000000" w:rsidR="00000000" w:rsidRPr="00000000">
        <w:rPr>
          <w:rtl w:val="0"/>
        </w:rPr>
        <w:t xml:space="preserve">7. Authoritative Sync Conflict Rules</w:t>
      </w:r>
    </w:p>
    <w:p w:rsidR="00000000" w:rsidDel="00000000" w:rsidP="00000000" w:rsidRDefault="00000000" w:rsidRPr="00000000" w14:paraId="0000010B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Conflict C-05: Doc 1 Section 8.3 and Doc 2 Section 9.4 contain inconsistent conflict resolution rules. The following rules supersede both. These rules are implemented in the Sync Service and are not overridable by client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5426"/>
        <w:tblGridChange w:id="0">
          <w:tblGrid>
            <w:gridCol w:w="600"/>
            <w:gridCol w:w="3000"/>
            <w:gridCol w:w="5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Any conflict involving a payment amount, transaction reference, or payment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BLOCK. Do not auto-resolve. Surface to account owner with both versions. No write until owner selects one. Log both versions permanently.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Any conflict involving invoice total, tax amount, or discount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BLOCK. Do not auto-resolve. Surface to the user who created the invoice. Preserve both versions in the event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Any conflict involving product 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BLOCK. Surface to owner with both values and the timestamps of each action. Owner selects correct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Non-financial fields (product name, customer address, notes) where two edits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Apply the edit with the later server-confirmed timestamp. Log the overwritten value in the event log for 90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Two records created offline that appear to be duplicates (same customer name + phone, or same invoice number)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 not merge. Create both. Flag both as potential duplicates in the UI. Owner resolves manually.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 deletion conflicts with an edit (one device deleted a record; another device edited 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Prefer the edit. Restore the record. Flag it as 'deletion attempted' in the audit log. Notify the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SR-7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Any conflict where the correct resolution cannot be determined by rules SR-1 through SR-6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Preserve both versions. Mark the record as 'conflict — pending resolution'. Surface in a dedicated conflict resolution screen. Never silently discard either 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r w:rsidDel="00000000" w:rsidR="00000000" w:rsidRPr="00000000">
        <w:rPr>
          <w:rtl w:val="0"/>
        </w:rPr>
        <w:t xml:space="preserve">8. Unified Performance Targets</w:t>
      </w:r>
    </w:p>
    <w:p w:rsidR="00000000" w:rsidDel="00000000" w:rsidP="00000000" w:rsidRDefault="00000000" w:rsidRPr="00000000" w14:paraId="00000128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Conflict C-06: performance targets across documents measured different things with the same names. The following definitions and targets are authoritative. All targets are measured on the reference device: a 1 GB RAM Android phone on a 3G connection unless stated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1400"/>
        <w:gridCol w:w="2026"/>
        <w:tblGridChange w:id="0">
          <w:tblGrid>
            <w:gridCol w:w="2400"/>
            <w:gridCol w:w="3200"/>
            <w:gridCol w:w="1400"/>
            <w:gridCol w:w="2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Measured 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App shell load (cold start)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Time from tap to chat input visible, no data 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&lt; 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Device, offline cache warm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Local action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Time from user send to agent reply for fully local actions (e.g. 'show my products')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&lt; 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Device,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Invoice creation (chat, online)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Time from user sends final confirmation to invoice saved and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&lt; 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Device, 3G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Invoice creation (chat, offline)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Time from user sends final confirmation to invoice saved locally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&lt; 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Device,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Sync cycle (small delta)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Time to push 10 events and receive server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&lt; 30s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3G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AI cloud fallback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Time from message sent to response received using cloud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&lt; 4s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3G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Document import (spreadsheet)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Time from upload complete to preview shown (async 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&lt; 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Server-side, measured from upload 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API p95 latency (core routes)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95th percentile response time for /products, /customers, /invoices, /payments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&lt; 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Server under 50 concurrent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Payment webhook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Time from webhook received to invoice status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&lt; 30s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Crash-free session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Percentage of sessions with no JS exception or app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&gt; 99.5%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Production telemetry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rPr/>
      </w:pPr>
      <w:r w:rsidDel="00000000" w:rsidR="00000000" w:rsidRPr="00000000">
        <w:rPr>
          <w:rtl w:val="0"/>
        </w:rPr>
        <w:t xml:space="preserve">9. Team Model &amp; Delivery Assumptions</w:t>
      </w:r>
    </w:p>
    <w:p w:rsidR="00000000" w:rsidDel="00000000" w:rsidP="00000000" w:rsidRDefault="00000000" w:rsidRPr="00000000" w14:paraId="0000015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Conflict C-08: no document attaches a team size or calendar timeline to the sprint roadmap. This section fills that gap. All timeline estimates in this document assume the following.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tl w:val="0"/>
        </w:rPr>
        <w:t xml:space="preserve">9.1 Core Team (MVP to Public Launch)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3026"/>
        <w:tblGridChange w:id="0">
          <w:tblGrid>
            <w:gridCol w:w="2400"/>
            <w:gridCol w:w="360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Responsibility in Soko.market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Enters 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Product Manager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Sprint roadmap, user stories, stakeholder communication, acceptance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86c1"/>
                <w:sz w:val="17"/>
                <w:szCs w:val="17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Technical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System design, PR review, technical decision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86c1"/>
                <w:sz w:val="17"/>
                <w:szCs w:val="17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Mobile / Frontend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PWA, chat UI, offline DB, sync queue, camera,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86c1"/>
                <w:sz w:val="17"/>
                <w:szCs w:val="17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Backend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API service, sync service, database, auth,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86c1"/>
                <w:sz w:val="17"/>
                <w:szCs w:val="17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AI / 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Intent router, AI runtime, eval dataset, model integration, cloud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86c1"/>
                <w:sz w:val="17"/>
                <w:szCs w:val="17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Test plans, device testing, AI eval runs, offline testing, security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86c1"/>
                <w:sz w:val="17"/>
                <w:szCs w:val="17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UX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Chat UI patterns, form designs, onboarding flow, error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86c1"/>
                <w:sz w:val="17"/>
                <w:szCs w:val="17"/>
                <w:rtl w:val="0"/>
              </w:rPr>
              <w:t xml:space="preserve">Sprint 1 (part-time), Sprint 3 (full-time)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Docker, CI/CD, cloud infra, observability, secrets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e86c1"/>
                <w:sz w:val="17"/>
                <w:szCs w:val="17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r w:rsidDel="00000000" w:rsidR="00000000" w:rsidRPr="00000000">
        <w:rPr>
          <w:rtl w:val="0"/>
        </w:rPr>
        <w:t xml:space="preserve">9.2 Calendar Timeline</w:t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2000"/>
        <w:gridCol w:w="3826"/>
        <w:tblGridChange w:id="0">
          <w:tblGrid>
            <w:gridCol w:w="2000"/>
            <w:gridCol w:w="1200"/>
            <w:gridCol w:w="2000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Calendar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Internal 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S1–S4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8 weeks (~2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Internal team can replace paper ledger with the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Closed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S5–S7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6 weeks (~1.5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 selected merchants actively using the app daily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Public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S8–S9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 weeks (~1 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50 businesses onboarded; sync and payment 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7"/>
                <w:szCs w:val="17"/>
                <w:rtl w:val="0"/>
              </w:rPr>
              <w:t xml:space="preserve">Public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All NFRs from Section 8 pass; support process in place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r w:rsidDel="00000000" w:rsidR="00000000" w:rsidRPr="00000000">
        <w:rPr>
          <w:rtl w:val="0"/>
        </w:rPr>
        <w:t xml:space="preserve">10. Remaining Gap Fills</w:t>
      </w:r>
    </w:p>
    <w:p w:rsidR="00000000" w:rsidDel="00000000" w:rsidP="00000000" w:rsidRDefault="00000000" w:rsidRPr="00000000" w14:paraId="00000190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The items below are decisions required to build the product that do not appear in any companion document. Each is authoritative.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rPr/>
      </w:pPr>
      <w:r w:rsidDel="00000000" w:rsidR="00000000" w:rsidRPr="00000000">
        <w:rPr>
          <w:rtl w:val="0"/>
        </w:rPr>
        <w:t xml:space="preserve">10.1 Cloud AI Cost Control</w:t>
      </w:r>
    </w:p>
    <w:p w:rsidR="00000000" w:rsidDel="00000000" w:rsidP="00000000" w:rsidRDefault="00000000" w:rsidRPr="00000000" w14:paraId="0000019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No companion document addresses the cost of cloud AI fallback at scale. The following controls are mandatory from Sprint 7 onwards: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Per-account daily cloud AI call limit: 200 calls/day on the free tier; 1,000/day on Business; unlimited on Pro.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If a user hits their daily limit, the AI downgrades to rule-based mode and notifies the user.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Cloud fallback is never triggered for actions the rule-based parser can handle with &gt;0.85 confidence.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Cloud AI spend is tracked per account and surfaced in the admin dashboard.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 monthly cloud AI budget alert fires when the platform-wide cost exceeds a pre-set threshold.</w:t>
      </w:r>
    </w:p>
    <w:p w:rsidR="00000000" w:rsidDel="00000000" w:rsidP="00000000" w:rsidRDefault="00000000" w:rsidRPr="00000000" w14:paraId="0000019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r w:rsidDel="00000000" w:rsidR="00000000" w:rsidRPr="00000000">
        <w:rPr>
          <w:rtl w:val="0"/>
        </w:rPr>
        <w:t xml:space="preserve">10.2 Agent Action Rate Limits</w:t>
      </w:r>
    </w:p>
    <w:p w:rsidR="00000000" w:rsidDel="00000000" w:rsidP="00000000" w:rsidRDefault="00000000" w:rsidRPr="00000000" w14:paraId="0000019B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No companion document addresses what happens if an AI agent issues a rapid sequence of harmful tool calls (hallucination or injection attack). The following limits are enforced by the Tool Executor: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Maximum 10 tool executions per conversation turn. Any turn that would require more is blocked and surfaced as an error.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Maximum 50 high-risk or critical tool calls per account per hour. Exceeded limit triggers owner notification and temporary agent suspension.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No tool can be called more than 5 times in a single conversation turn (duplicate call detection).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Any tool call that would affect more than 20 records at once requires explicit owner confirmation, regardless of risk level.</w:t>
      </w:r>
    </w:p>
    <w:p w:rsidR="00000000" w:rsidDel="00000000" w:rsidP="00000000" w:rsidRDefault="00000000" w:rsidRPr="00000000" w14:paraId="000001A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tl w:val="0"/>
        </w:rPr>
        <w:t xml:space="preserve">10.3 Onboarding Success Definition</w:t>
      </w:r>
    </w:p>
    <w:p w:rsidR="00000000" w:rsidDel="00000000" w:rsidP="00000000" w:rsidRDefault="00000000" w:rsidRPr="00000000" w14:paraId="000001A2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Doc 3 Section 5 states 'phone onboarding under 3 minutes' and 'first invoice within 5 minutes' as launch goals but provides no funnel definition. The binding onboarding funnel is: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400"/>
        <w:gridCol w:w="1800"/>
        <w:gridCol w:w="3226"/>
        <w:tblGridChange w:id="0">
          <w:tblGrid>
            <w:gridCol w:w="600"/>
            <w:gridCol w:w="3400"/>
            <w:gridCol w:w="1800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Target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Drop-off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Phone number entry + OTP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4f72"/>
                <w:sz w:val="17"/>
                <w:szCs w:val="17"/>
                <w:rtl w:val="0"/>
              </w:rPr>
              <w:t xml:space="preserve">&lt; 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84212"/>
                <w:sz w:val="17"/>
                <w:szCs w:val="17"/>
                <w:rtl w:val="0"/>
              </w:rPr>
              <w:t xml:space="preserve">Alert if &gt;15% of users drop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Business name + type selection (3 taps)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4f72"/>
                <w:sz w:val="17"/>
                <w:szCs w:val="17"/>
                <w:rtl w:val="0"/>
              </w:rPr>
              <w:t xml:space="preserve">&lt; 30s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84212"/>
                <w:sz w:val="17"/>
                <w:szCs w:val="17"/>
                <w:rtl w:val="0"/>
              </w:rPr>
              <w:t xml:space="preserve">Alert if &gt;10% drop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Language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4f72"/>
                <w:sz w:val="17"/>
                <w:szCs w:val="17"/>
                <w:rtl w:val="0"/>
              </w:rPr>
              <w:t xml:space="preserve">&lt; 15s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84212"/>
                <w:sz w:val="17"/>
                <w:szCs w:val="17"/>
                <w:rtl w:val="0"/>
              </w:rPr>
              <w:t xml:space="preserve">Alert if &gt;5% drop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Agent introduction + first chat message sent by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4f72"/>
                <w:sz w:val="17"/>
                <w:szCs w:val="17"/>
                <w:rtl w:val="0"/>
              </w:rPr>
              <w:t xml:space="preserve">&lt; 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84212"/>
                <w:sz w:val="17"/>
                <w:szCs w:val="17"/>
                <w:rtl w:val="0"/>
              </w:rPr>
              <w:t xml:space="preserve">Alert if &gt;20% drop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First product added (via chat)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4f72"/>
                <w:sz w:val="17"/>
                <w:szCs w:val="17"/>
                <w:rtl w:val="0"/>
              </w:rPr>
              <w:t xml:space="preserve">&lt; 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84212"/>
                <w:sz w:val="17"/>
                <w:szCs w:val="17"/>
                <w:rtl w:val="0"/>
              </w:rPr>
              <w:t xml:space="preserve">Alert if &gt;30% drop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First invoice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4f72"/>
                <w:sz w:val="17"/>
                <w:szCs w:val="17"/>
                <w:rtl w:val="0"/>
              </w:rPr>
              <w:t xml:space="preserve">&lt; 3 min from 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84212"/>
                <w:sz w:val="17"/>
                <w:szCs w:val="17"/>
                <w:rtl w:val="0"/>
              </w:rPr>
              <w:t xml:space="preserve">Alert if &gt;40% drop here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r w:rsidDel="00000000" w:rsidR="00000000" w:rsidRPr="00000000">
        <w:rPr>
          <w:rtl w:val="0"/>
        </w:rPr>
        <w:t xml:space="preserve">10.4 Minimum Viable Swahili Support</w:t>
      </w:r>
    </w:p>
    <w:p w:rsidR="00000000" w:rsidDel="00000000" w:rsidP="00000000" w:rsidRDefault="00000000" w:rsidRPr="00000000" w14:paraId="000001C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No companion document specifies what 'language support' means concretely. The following is the minimum required before Closed Beta: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All UI labels, button text, error messages, and agent responses available in Swahili.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AI command parser trained on 40%+ Swahili and Swahili-English mixed commands.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Number and date parsing handles Swahili terms: leo (today), jana (yesterday), kesho (tomorrow).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Currency input accepts both '3,500' and '3500' and 'sh 3500' and 'KES 3500'.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Agent responses do not mix languages within a single message unless the user's input was mixed.</w:t>
      </w:r>
    </w:p>
    <w:p w:rsidR="00000000" w:rsidDel="00000000" w:rsidP="00000000" w:rsidRDefault="00000000" w:rsidRPr="00000000" w14:paraId="000001C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10.5 Data Deletion &amp; Export (GDPR-equivalent)</w:t>
      </w:r>
    </w:p>
    <w:p w:rsidR="00000000" w:rsidDel="00000000" w:rsidP="00000000" w:rsidRDefault="00000000" w:rsidRPr="00000000" w14:paraId="000001C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No companion document specifies the technical implementation of data rights. The following is binding: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Account deletion request: owner can submit from Settings. Account is deactivated immediately. All PII (name, phone, email) is anonymised within 30 days.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Business records (invoices, payments, tax records) are retained for 7 years in anonymised form for legal compliance.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Data export: owner can request a full export from Settings. Export is prepared as a ZIP (JSON + PDF invoices) and delivered via download link within 24 hours.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Staff member removal: staff data is anonymised on removal but their actions remain in the audit log attributed to 'Former Staff Member'.</w:t>
      </w:r>
    </w:p>
    <w:p w:rsidR="00000000" w:rsidDel="00000000" w:rsidP="00000000" w:rsidRDefault="00000000" w:rsidRPr="00000000" w14:paraId="000001C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rPr/>
      </w:pPr>
      <w:r w:rsidDel="00000000" w:rsidR="00000000" w:rsidRPr="00000000">
        <w:rPr>
          <w:rtl w:val="0"/>
        </w:rPr>
        <w:t xml:space="preserve">11. Decision Log</w:t>
      </w:r>
    </w:p>
    <w:p w:rsidR="00000000" w:rsidDel="00000000" w:rsidP="00000000" w:rsidRDefault="00000000" w:rsidRPr="00000000" w14:paraId="000001D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c"/>
          <w:sz w:val="20"/>
          <w:szCs w:val="20"/>
          <w:rtl w:val="0"/>
        </w:rPr>
        <w:t xml:space="preserve">This section records decisions made in this document that are not derivable from the companion documents. Any future amendment to these decisions must be recorded here with a version increment.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000"/>
        <w:gridCol w:w="4426"/>
        <w:tblGridChange w:id="0">
          <w:tblGrid>
            <w:gridCol w:w="600"/>
            <w:gridCol w:w="4000"/>
            <w:gridCol w:w="4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AI parser enters Sprint 1 as a rule-based system, not Sprint 5 as a full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Product promise is chat-first. Delaying AI to Sprint 5 means building everything else without validating the core UX.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Marketplace is deferred until post-launch trigger conditions are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Building a marketplace before product-market fit risks wasting 4–6 weeks of engineering on infrastructure that may need a complete redesign once real developers use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Sprint is the primary delivery unit; milestones are release 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Two teams were at risk of using different planning cadences. Sprints are operational; milestones are contractual/release.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Cloud AI fallback rate limit: 200 calls/day 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Without a limit, a single power user could generate a cost that exceeds their subscription value within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Sync Rule SR-6 prefers edits over deletions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Accidental deletion of a record that another device has edited is a more disruptive data loss than preserving a deleted record. The audit log captures the deletion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Payment providers at launch: M-Pesa and manual recording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Stripe and PayPal integration timelines are dependent on KYC tier completion and entity registration. Shipping without them is lower risk than delaying launch.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7"/>
                <w:szCs w:val="17"/>
                <w:rtl w:val="0"/>
              </w:rPr>
              <w:t xml:space="preserve">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Agent action budget: max 10 tool calls per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Prevents runaway AI loops from exhausting database write capacity or sending unintended bulk messages.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bottom w:color="bdc3c7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18"/>
          <w:szCs w:val="18"/>
          <w:rtl w:val="0"/>
        </w:rPr>
        <w:t xml:space="preserve">End of Soko.market Master Control Document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16"/>
          <w:szCs w:val="16"/>
          <w:rtl w:val="0"/>
        </w:rPr>
        <w:t xml:space="preserve">This document supersedes conflicting content in companion documents. Questions: raise with the Technical Architect.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2240" w:w="15840" w:orient="landscape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pBdr>
        <w:top w:color="bdc3c7" w:space="1" w:sz="4" w:val="single"/>
      </w:pBdr>
      <w:tabs>
        <w:tab w:val="right" w:leader="none" w:pos="9026"/>
      </w:tabs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5d6d7e"/>
        <w:sz w:val="16"/>
        <w:szCs w:val="16"/>
        <w:rtl w:val="0"/>
      </w:rPr>
      <w:t xml:space="preserve">© Soko.market 2025. Internal Use Only.Page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pBdr>
        <w:bottom w:color="2e86c1" w:space="1" w:sz="6" w:val="single"/>
      </w:pBdr>
      <w:tabs>
        <w:tab w:val="right" w:leader="none" w:pos="9026"/>
      </w:tabs>
      <w:spacing w:after="10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4f72"/>
        <w:sz w:val="18"/>
        <w:szCs w:val="18"/>
        <w:rtl w:val="0"/>
      </w:rPr>
      <w:t xml:space="preserve">Soko.market — Master Control Document</w:t>
    </w:r>
    <w:r w:rsidDel="00000000" w:rsidR="00000000" w:rsidRPr="00000000">
      <w:rPr>
        <w:rFonts w:ascii="Arial" w:cs="Arial" w:eastAsia="Arial" w:hAnsi="Arial"/>
        <w:color w:val="5d6d7e"/>
        <w:sz w:val="16"/>
        <w:szCs w:val="16"/>
        <w:rtl w:val="0"/>
      </w:rPr>
      <w:t xml:space="preserve">v1.0 |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2c2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2c2c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c2c2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