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Soko Global Shop ID</w:t>
      </w:r>
    </w:p>
    <w:p>
      <w:r>
        <w:rPr>
          <w:b/>
        </w:rPr>
        <w:t>Concept</w:t>
        <w:br/>
      </w:r>
      <w:r>
        <w:t xml:space="preserve">Every Soko shop is represented by a globally unique Business Agent ID rather than a telephone number. </w:t>
      </w:r>
      <w:r>
        <w:t>The printed identifier is platform-native and remains stable regardless of SIM card or telecom provider.</w:t>
        <w:br/>
        <w:br/>
      </w:r>
    </w:p>
    <w:p>
      <w:pPr>
        <w:pStyle w:val="Heading2"/>
      </w:pPr>
      <w:r>
        <w:t>Illustration</w:t>
      </w:r>
    </w:p>
    <w:p>
      <w:r>
        <w:t>The BigFish</w:t>
        <w:br/>
        <w:br/>
        <w:t>soko:</w:t>
        <w:br/>
        <w:t>+254-A12567835</w:t>
        <w:br/>
        <w:br/>
        <w:t>Where:</w:t>
        <w:br/>
        <w:t>• +254 = Country namespace</w:t>
        <w:br/>
        <w:t>• A = Business Agent identifier prefix</w:t>
        <w:br/>
        <w:t>• 12567835 = Unique global shop identifier</w:t>
        <w:br/>
        <w:br/>
        <w:t>Customers search, chat with, or transact using this Soko ID instead of a phone number.</w:t>
      </w:r>
    </w:p>
    <w:p>
      <w:pPr>
        <w:pStyle w:val="Heading2"/>
      </w:pPr>
      <w:r>
        <w:t>Design Rationale</w:t>
      </w:r>
    </w:p>
    <w:p>
      <w:r>
        <w:t>• Prevents confusion with telephone numbers by inserting a letter after the country code.</w:t>
        <w:br/>
        <w:t>• Gives every shop a permanent, globally addressable identity.</w:t>
        <w:br/>
        <w:t>• The same ID can be printed on packaging, receipts, storefronts, QR codes and used throughout the Soko ecosystem.</w:t>
        <w:br/>
        <w:t>• The Business Agent behind the shop becomes the storefront's permanent digital identity.</w:t>
      </w:r>
    </w:p>
    <w:p>
      <w:pPr>
        <w:pStyle w:val="Heading2"/>
      </w:pPr>
      <w:r>
        <w:t>Illustrative Mock-up</w:t>
      </w:r>
    </w:p>
    <w:p>
      <w:r>
        <w:drawing>
          <wp:inline xmlns:a="http://schemas.openxmlformats.org/drawingml/2006/main" xmlns:pic="http://schemas.openxmlformats.org/drawingml/2006/picture">
            <wp:extent cx="4114800" cy="6182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realistic_social_media_post_photo_screenshot._o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Example packaging showing the Soko global shop identifier replacing a telephone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