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hypothesis-testing"/>
      <w:bookmarkEnd w:id="21"/>
      <w:r>
        <w:t xml:space="preserve">Hypothesis testing</w:t>
      </w:r>
    </w:p>
    <w:p>
      <w:pPr>
        <w:pStyle w:val="Compact"/>
        <w:numPr>
          <w:numId w:val="1001"/>
          <w:ilvl w:val="0"/>
        </w:numPr>
      </w:pPr>
      <w:r>
        <w:t xml:space="preserve">Hypothesis testing is concerned with making decisions using data</w:t>
      </w:r>
    </w:p>
    <w:p>
      <w:pPr>
        <w:pStyle w:val="Compact"/>
        <w:numPr>
          <w:numId w:val="1001"/>
          <w:ilvl w:val="0"/>
        </w:numPr>
      </w:pPr>
      <w:r>
        <w:t xml:space="preserve">A null hypothesis is specified that represents the status quo, usually labeled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The null hypothesis is assumed true and statistical evidence is required to reject it in favor of a research or alternative hypothesis</w:t>
      </w:r>
    </w:p>
    <w:p>
      <w:pPr>
        <w:pStyle w:val="Heading2"/>
      </w:pPr>
      <w:bookmarkStart w:id="22" w:name="hypothesis-testing-1"/>
      <w:bookmarkEnd w:id="22"/>
      <w:r>
        <w:t xml:space="preserve">Hypothesis testing</w:t>
      </w:r>
    </w:p>
    <w:p>
      <w:pPr>
        <w:pStyle w:val="Compact"/>
        <w:numPr>
          <w:numId w:val="1002"/>
          <w:ilvl w:val="0"/>
        </w:numPr>
      </w:pPr>
      <w:r>
        <w:t xml:space="preserve">The alternative hypotheses are typically of the form</w:t>
      </w:r>
      <w:r>
        <w:t xml:space="preserve"> </w:t>
      </w:r>
      <m:oMath>
        <m:r>
          <m:rPr/>
          <m:t>&lt;</m:t>
        </m:r>
      </m:oMath>
      <w:r>
        <w:t xml:space="preserve">,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≠</m:t>
        </m:r>
      </m:oMath>
    </w:p>
    <w:p>
      <w:pPr>
        <w:pStyle w:val="Compact"/>
        <w:numPr>
          <w:numId w:val="1002"/>
          <w:ilvl w:val="0"/>
        </w:numPr>
      </w:pPr>
      <w:r>
        <w:t xml:space="preserve">Note that there are four possible outcomes of our statistical decision process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Correctly accept null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Correctly reject null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/>
                    <m:t>H</m:t>
                  </m:r>
                </m:e>
                <m:sub>
                  <m:r>
                    <m:rPr/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Type II error</w:t>
            </w:r>
          </w:p>
        </w:tc>
      </w:tr>
    </w:tbl>
    <w:p>
      <w:pPr>
        <w:pStyle w:val="Heading2"/>
      </w:pPr>
      <w:bookmarkStart w:id="23" w:name="example"/>
      <w:bookmarkEnd w:id="23"/>
      <w:r>
        <w:t xml:space="preserve">Example</w:t>
      </w:r>
    </w:p>
    <w:p>
      <w:pPr>
        <w:pStyle w:val="Compact"/>
        <w:numPr>
          <w:numId w:val="1003"/>
          <w:ilvl w:val="0"/>
        </w:numPr>
      </w:pPr>
      <w:r>
        <w:t xml:space="preserve">Consider our example again</w:t>
      </w:r>
    </w:p>
    <w:p>
      <w:pPr>
        <w:pStyle w:val="Compact"/>
        <w:numPr>
          <w:numId w:val="1003"/>
          <w:ilvl w:val="0"/>
        </w:numPr>
      </w:pPr>
      <w:r>
        <w:t xml:space="preserve">A reasonable strategy would reject the null hypothesis if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was larger than some constant, say</w:t>
      </w:r>
      <w:r>
        <w:t xml:space="preserve"> </w:t>
      </w:r>
      <m:oMath>
        <m:r>
          <m:rPr/>
          <m:t>C</m:t>
        </m:r>
      </m:oMath>
    </w:p>
    <w:p>
      <w:pPr>
        <w:pStyle w:val="Compact"/>
        <w:numPr>
          <w:numId w:val="1003"/>
          <w:ilvl w:val="0"/>
        </w:numPr>
      </w:pPr>
      <w:r>
        <w:t xml:space="preserve">Typically,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chosen so that the probability of a Type I error,</w:t>
      </w:r>
      <w:r>
        <w:t xml:space="preserve"> </w:t>
      </w:r>
      <m:oMath>
        <m:r>
          <m:rPr/>
          <m:t>α</m:t>
        </m:r>
      </m:oMath>
      <w:r>
        <w:t xml:space="preserve">, is</w:t>
      </w:r>
      <w:r>
        <w:t xml:space="preserve"> </w:t>
      </w:r>
      <m:oMath>
        <m:r>
          <m:rPr/>
          <m:t>.05</m:t>
        </m:r>
      </m:oMath>
      <w:r>
        <w:t xml:space="preserve"> </w:t>
      </w:r>
      <w:r>
        <w:t xml:space="preserve">(or some other relevant constant)</w:t>
      </w:r>
    </w:p>
    <w:p>
      <w:pPr>
        <w:pStyle w:val="Compact"/>
        <w:numPr>
          <w:numId w:val="1003"/>
          <w:ilvl w:val="0"/>
        </w:numPr>
      </w:pPr>
      <m:oMath>
        <m:r>
          <m:rPr/>
          <m:t>α</m:t>
        </m:r>
      </m:oMath>
      <w:r>
        <w:t xml:space="preserve"> </w:t>
      </w:r>
      <w:r>
        <w:t xml:space="preserve">= Type I error rate = Probability of rejecting the null hypothesis when, in fact, the null hypothesis is correct</w:t>
      </w:r>
    </w:p>
    <w:p>
      <w:pPr>
        <w:pStyle w:val="Heading2"/>
      </w:pPr>
      <w:bookmarkStart w:id="24" w:name="discussion"/>
      <w:bookmarkEnd w:id="24"/>
      <w:r>
        <w:t xml:space="preserve">Discussion</w:t>
      </w:r>
    </w:p>
    <w:p>
      <w:pPr>
        <w:pStyle w:val="Compact"/>
        <w:numPr>
          <w:numId w:val="1004"/>
          <w:ilvl w:val="0"/>
        </w:numPr>
      </w:pPr>
      <w:r>
        <w:t xml:space="preserve">In general we don't convert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back to the original scale</w:t>
      </w:r>
    </w:p>
    <w:p>
      <w:pPr>
        <w:pStyle w:val="Compact"/>
        <w:numPr>
          <w:numId w:val="1004"/>
          <w:ilvl w:val="0"/>
        </w:numPr>
      </w:pPr>
      <w:r>
        <w:t xml:space="preserve">We would just reject because the Z-score; which is how many standard errors the sample mean is above the hypothesized mean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32</m:t>
              </m:r>
              <m:r>
                <m:rPr/>
                <m:t>−</m:t>
              </m:r>
              <m:r>
                <m:rPr/>
                <m:t>30</m:t>
              </m:r>
            </m:num>
            <m:den>
              <m:r>
                <m:rPr/>
                <m:t>10</m:t>
              </m:r>
              <m:r>
                <m:rPr/>
                <m:t>/</m:t>
              </m:r>
              <m:rad>
                <m:radPr>
                  <m:degHide m:val="on"/>
                </m:radPr>
                <m:deg/>
                <m:e>
                  <m:r>
                    <m:rPr/>
                    <m:t>100</m:t>
                  </m:r>
                </m:e>
              </m:rad>
            </m:den>
          </m:f>
          <m:r>
            <m:rPr/>
            <m:t>=</m:t>
          </m:r>
          <m:r>
            <m:rPr/>
            <m:t>2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is greater than</w:t>
      </w:r>
      <w:r>
        <w:t xml:space="preserve"> </w:t>
      </w:r>
      <m:oMath>
        <m:r>
          <m:rPr/>
          <m:t>1.645</m:t>
        </m:r>
      </m:oMath>
    </w:p>
    <w:p>
      <w:pPr>
        <w:pStyle w:val="Compact"/>
        <w:numPr>
          <w:numId w:val="1004"/>
          <w:ilvl w:val="0"/>
        </w:numPr>
      </w:pPr>
      <w:r>
        <w:t xml:space="preserve">Or, whenever</w:t>
      </w:r>
      <w:r>
        <w:t xml:space="preserve"> </w:t>
      </w:r>
      <m:oMath>
        <m:rad>
          <m:radPr>
            <m:degHide m:val="on"/>
          </m:radPr>
          <m:deg/>
          <m:e>
            <m:r>
              <m:rPr/>
              <m:t>n</m:t>
            </m:r>
          </m:e>
        </m:rad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0</m:t>
            </m:r>
          </m:sub>
        </m:sSub>
        <m:r>
          <m:rPr/>
          <m:t>)</m:t>
        </m:r>
        <m:r>
          <m:rPr/>
          <m:t>/</m:t>
        </m:r>
        <m:r>
          <m:rPr/>
          <m:t>s</m:t>
        </m:r>
        <m:r>
          <m:rPr/>
          <m:t>&gt;</m:t>
        </m:r>
        <m:sSub>
          <m:e>
            <m:r>
              <m:rPr/>
              <m:t>Z</m:t>
            </m:r>
          </m:e>
          <m:sub>
            <m:r>
              <m:rPr/>
              <m:t>1</m:t>
            </m:r>
            <m:r>
              <m:rPr/>
              <m:t>−</m:t>
            </m:r>
            <m:r>
              <m:rPr/>
              <m:t>α</m:t>
            </m:r>
          </m:sub>
        </m:sSub>
      </m:oMath>
    </w:p>
    <w:p>
      <w:pPr>
        <w:pStyle w:val="Heading2"/>
      </w:pPr>
      <w:bookmarkStart w:id="25" w:name="notes"/>
      <w:bookmarkEnd w:id="25"/>
      <w:r>
        <w:t xml:space="preserve">Notes</w:t>
      </w:r>
    </w:p>
    <w:p>
      <w:pPr>
        <w:pStyle w:val="Compact"/>
        <w:numPr>
          <w:numId w:val="1005"/>
          <w:ilvl w:val="0"/>
        </w:numPr>
      </w:pPr>
      <w:r>
        <w:t xml:space="preserve">We have fixed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to be low, so if we reject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(either our model is wrong) or there is a low probability that we have made an error</w:t>
      </w:r>
    </w:p>
    <w:p>
      <w:pPr>
        <w:pStyle w:val="Compact"/>
        <w:numPr>
          <w:numId w:val="1005"/>
          <w:ilvl w:val="0"/>
        </w:numPr>
      </w:pPr>
      <w:r>
        <w:t xml:space="preserve">We have not fixed the probability of a type II error,</w:t>
      </w:r>
      <w:r>
        <w:t xml:space="preserve"> </w:t>
      </w:r>
      <m:oMath>
        <m:r>
          <m:rPr/>
          <m:t>β</m:t>
        </m:r>
      </m:oMath>
      <w:r>
        <w:t xml:space="preserve">; therefore we tend to say ``Fail to reject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'' rather than accepting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</w:p>
    <w:p>
      <w:pPr>
        <w:pStyle w:val="Compact"/>
        <w:numPr>
          <w:numId w:val="1005"/>
          <w:ilvl w:val="0"/>
        </w:numPr>
      </w:pPr>
      <w:r>
        <w:t xml:space="preserve">Statistical significance is no the same as scientific significance</w:t>
      </w:r>
    </w:p>
    <w:p>
      <w:pPr>
        <w:pStyle w:val="Compact"/>
        <w:numPr>
          <w:numId w:val="1005"/>
          <w:ilvl w:val="0"/>
        </w:numPr>
      </w:pPr>
      <w:r>
        <w:t xml:space="preserve">The region of TS values for which you reject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called the rejection region</w:t>
      </w:r>
    </w:p>
    <w:p>
      <w:pPr>
        <w:pStyle w:val="Heading2"/>
      </w:pPr>
      <w:bookmarkStart w:id="26" w:name="example-reconsidered"/>
      <w:bookmarkEnd w:id="26"/>
      <w:r>
        <w:t xml:space="preserve">Example reconsidered</w:t>
      </w:r>
    </w:p>
    <w:p>
      <w:pPr>
        <w:pStyle w:val="Compact"/>
        <w:numPr>
          <w:numId w:val="1006"/>
          <w:ilvl w:val="0"/>
        </w:numPr>
      </w:pPr>
      <w:r>
        <w:t xml:space="preserve">Consider our example again. Suppose that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16</m:t>
        </m:r>
      </m:oMath>
      <w:r>
        <w:t xml:space="preserve"> </w:t>
      </w:r>
      <w:r>
        <w:t xml:space="preserve">(rather than</w:t>
      </w:r>
      <w:r>
        <w:t xml:space="preserve"> </w:t>
      </w:r>
      <m:oMath>
        <m:r>
          <m:rPr/>
          <m:t>100</m:t>
        </m:r>
      </m:oMath>
      <w:r>
        <w:t xml:space="preserve">). Then consider that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.05</m:t>
          </m:r>
          <m:r>
            <m:rPr/>
            <m:t>=</m:t>
          </m:r>
          <m:r>
            <m:rPr/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rPr/>
                        <m:t>X</m:t>
                      </m:r>
                    </m:e>
                  </m:bar>
                  <m:r>
                    <m:rPr/>
                    <m:t>−</m:t>
                  </m:r>
                  <m:r>
                    <m:rPr/>
                    <m:t>30</m:t>
                  </m:r>
                </m:num>
                <m:den>
                  <m:r>
                    <m:rPr/>
                    <m:t>s</m:t>
                  </m:r>
                  <m:r>
                    <m:rPr/>
                    <m:t>/</m:t>
                  </m:r>
                  <m:rad>
                    <m:radPr>
                      <m:degHide m:val="on"/>
                    </m:radPr>
                    <m:deg/>
                    <m:e>
                      <m:r>
                        <m:rPr/>
                        <m:t>16</m:t>
                      </m:r>
                    </m:e>
                  </m:rad>
                </m:den>
              </m:f>
              <m:r>
                <m:rPr/>
                <m:t>≥</m:t>
              </m:r>
              <m:sSub>
                <m:e>
                  <m:r>
                    <m:rPr/>
                    <m:t>t</m:t>
                  </m:r>
                </m:e>
                <m:sub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,</m:t>
                  </m:r>
                  <m:r>
                    <m:rPr/>
                    <m:t>15</m:t>
                  </m:r>
                </m:sub>
              </m:sSub>
              <m:r>
                <m:rPr/>
                <m:t> </m:t>
              </m:r>
              <m:r>
                <m:rPr/>
                <m:t>|</m:t>
              </m:r>
              <m:r>
                <m:rPr/>
                <m:t> </m:t>
              </m:r>
              <m:r>
                <m:rPr/>
                <m:t>μ</m:t>
              </m:r>
              <m:r>
                <m:rPr/>
                <m:t>=</m:t>
              </m:r>
              <m:r>
                <m:rPr/>
                <m:t>30</m:t>
              </m:r>
            </m:e>
          </m:d>
        </m:oMath>
      </m:oMathPara>
    </w:p>
    <w:p>
      <w:pPr>
        <w:pStyle w:val="Compact"/>
        <w:numPr>
          <w:numId w:val="1006"/>
          <w:ilvl w:val="0"/>
        </w:numPr>
      </w:pPr>
      <w:r>
        <w:t xml:space="preserve">So that our test statistic is now $</w:t>
      </w:r>
      <w:r>
        <w:t xml:space="preserve">(32 - 30) / 10 = 0.8 $, while the critical value is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1</m:t>
            </m:r>
            <m:r>
              <m:rPr/>
              <m:t>−</m:t>
            </m:r>
            <m:r>
              <m:rPr/>
              <m:t>α</m:t>
            </m:r>
            <m:r>
              <m:rPr/>
              <m:t>,</m:t>
            </m:r>
            <m:r>
              <m:rPr/>
              <m:t>15</m:t>
            </m:r>
          </m:sub>
        </m:sSub>
        <m:r>
          <m:rPr/>
          <m:t>=</m:t>
        </m:r>
        <m:r>
          <m:rPr/>
          <m:t>1.75</m:t>
        </m:r>
      </m:oMath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We now fail to reject.</w:t>
      </w:r>
    </w:p>
    <w:p>
      <w:pPr>
        <w:pStyle w:val="Heading2"/>
      </w:pPr>
      <w:bookmarkStart w:id="27" w:name="t-test-in-r"/>
      <w:bookmarkEnd w:id="27"/>
      <w:r>
        <w:t xml:space="preserve">T test in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(UsingR);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(father.son$sheight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father.son$fheight)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father.son$sheight - father.son$fheight</w:t>
      </w:r>
      <w:r>
        <w:br w:type="textWrapping"/>
      </w:r>
      <w:r>
        <w:rPr>
          <w:rStyle w:val="VerbatimChar"/>
        </w:rPr>
        <w:t xml:space="preserve">## t = 11.789, df = 1077,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0.8310296 1.1629160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0.9969728</w:t>
      </w:r>
    </w:p>
    <w:p>
      <w:pPr>
        <w:pStyle w:val="Heading2"/>
      </w:pPr>
      <w:bookmarkStart w:id="28" w:name="exact-binomial-test"/>
      <w:bookmarkEnd w:id="28"/>
      <w:r>
        <w:t xml:space="preserve">Exact binomial test</w:t>
      </w:r>
    </w:p>
    <w:p>
      <w:pPr>
        <w:pStyle w:val="Compact"/>
        <w:numPr>
          <w:numId w:val="1007"/>
          <w:ilvl w:val="0"/>
        </w:numPr>
      </w:pPr>
      <w:r>
        <w:t xml:space="preserve">Recall this problem,</w:t>
      </w:r>
      <w:r>
        <w:t xml:space="preserve"> </w:t>
      </w:r>
      <w:r>
        <w:rPr>
          <w:i/>
        </w:rPr>
        <w:t xml:space="preserve">Suppose a friend has</w:t>
      </w:r>
      <w:r>
        <w:rPr>
          <w:i/>
        </w:rPr>
        <w:t xml:space="preserve"> </w:t>
      </w:r>
      <m:oMath>
        <m:r>
          <m:rPr/>
          <m:t>8</m:t>
        </m:r>
      </m:oMath>
      <w:r>
        <w:rPr>
          <w:i/>
        </w:rPr>
        <w:t xml:space="preserve"> </w:t>
      </w:r>
      <w:r>
        <w:rPr>
          <w:i/>
        </w:rPr>
        <w:t xml:space="preserve">children,</w:t>
      </w:r>
      <w:r>
        <w:rPr>
          <w:i/>
        </w:rPr>
        <w:t xml:space="preserve"> </w:t>
      </w:r>
      <m:oMath>
        <m:r>
          <m:rPr/>
          <m:t>7</m:t>
        </m:r>
      </m:oMath>
      <w:r>
        <w:rPr>
          <w:i/>
        </w:rPr>
        <w:t xml:space="preserve"> </w:t>
      </w:r>
      <w:r>
        <w:rPr>
          <w:i/>
        </w:rPr>
        <w:t xml:space="preserve">of which are girls and none are twins</w:t>
      </w:r>
    </w:p>
    <w:p>
      <w:pPr>
        <w:pStyle w:val="Compact"/>
        <w:numPr>
          <w:numId w:val="1007"/>
          <w:ilvl w:val="0"/>
        </w:numPr>
      </w:pPr>
      <w:r>
        <w:t xml:space="preserve">Perform the relevant hypothesis test.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m:rPr/>
          <m:t>:</m:t>
        </m:r>
        <m:r>
          <m:rPr/>
          <m:t>p</m:t>
        </m:r>
        <m:r>
          <m:rPr/>
          <m:t>=</m:t>
        </m:r>
        <m:r>
          <m:rPr/>
          <m:t>0.5</m:t>
        </m:r>
      </m:oMath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a</m:t>
            </m:r>
          </m:sub>
        </m:sSub>
        <m:r>
          <m:rPr/>
          <m:t>:</m:t>
        </m:r>
        <m:r>
          <m:rPr/>
          <m:t>p</m:t>
        </m:r>
        <m:r>
          <m:rPr/>
          <m:t>&gt;</m:t>
        </m:r>
        <m:r>
          <m:rPr/>
          <m:t>0.5</m:t>
        </m:r>
      </m:oMath>
    </w:p>
    <w:p>
      <w:pPr>
        <w:pStyle w:val="Compact"/>
        <w:numPr>
          <w:numId w:val="1007"/>
          <w:ilvl w:val="0"/>
        </w:numPr>
      </w:pPr>
      <w:r>
        <w:t xml:space="preserve">What is the relevant rejection region so that the probability of rejecting is (less than) 5%?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Rejection 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I error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 : 8]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 : 8]</w:t>
            </w:r>
          </w:p>
        </w:tc>
        <w:tc>
          <w:p>
            <w:pPr>
              <w:pStyle w:val="Compact"/>
              <w:jc w:val="left"/>
            </w:pPr>
            <w:r>
              <w:t xml:space="preserve">0.9960938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 : 8]</w:t>
            </w:r>
          </w:p>
        </w:tc>
        <w:tc>
          <w:p>
            <w:pPr>
              <w:pStyle w:val="Compact"/>
              <w:jc w:val="left"/>
            </w:pPr>
            <w:r>
              <w:t xml:space="preserve">0.9648438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 : 8]</w:t>
            </w:r>
          </w:p>
        </w:tc>
        <w:tc>
          <w:p>
            <w:pPr>
              <w:pStyle w:val="Compact"/>
              <w:jc w:val="left"/>
            </w:pPr>
            <w:r>
              <w:t xml:space="preserve">0.8554688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[4 : 8]</w:t>
            </w:r>
          </w:p>
        </w:tc>
        <w:tc>
          <w:p>
            <w:pPr>
              <w:pStyle w:val="Compact"/>
              <w:jc w:val="left"/>
            </w:pPr>
            <w:r>
              <w:t xml:space="preserve">0.6367187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 : 8]</w:t>
            </w:r>
          </w:p>
        </w:tc>
        <w:tc>
          <w:p>
            <w:pPr>
              <w:pStyle w:val="Compact"/>
              <w:jc w:val="left"/>
            </w:pPr>
            <w:r>
              <w:t xml:space="preserve">0.3632813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[6 : 8]</w:t>
            </w:r>
          </w:p>
        </w:tc>
        <w:tc>
          <w:p>
            <w:pPr>
              <w:pStyle w:val="Compact"/>
              <w:jc w:val="left"/>
            </w:pPr>
            <w:r>
              <w:t xml:space="preserve">0.1445313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 : 8]</w:t>
            </w:r>
          </w:p>
        </w:tc>
        <w:tc>
          <w:p>
            <w:pPr>
              <w:pStyle w:val="Compact"/>
              <w:jc w:val="left"/>
            </w:pPr>
            <w:r>
              <w:t xml:space="preserve">0.0351563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[8 : 8]</w:t>
            </w:r>
          </w:p>
        </w:tc>
        <w:tc>
          <w:p>
            <w:pPr>
              <w:pStyle w:val="Compact"/>
              <w:jc w:val="left"/>
            </w:pPr>
            <w:r>
              <w:t xml:space="preserve">0.0039062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notes-1"/>
      <w:bookmarkEnd w:id="29"/>
      <w:r>
        <w:t xml:space="preserve">Notes</w:t>
      </w:r>
    </w:p>
    <w:p>
      <w:pPr>
        <w:pStyle w:val="Compact"/>
        <w:numPr>
          <w:numId w:val="1008"/>
          <w:ilvl w:val="0"/>
        </w:numPr>
      </w:pPr>
      <w:r>
        <w:t xml:space="preserve">It's impossible to get an exact 5% level test for this case due to the discreteness of the binomial.</w:t>
      </w:r>
    </w:p>
    <w:p>
      <w:pPr>
        <w:pStyle w:val="Compact"/>
        <w:numPr>
          <w:numId w:val="1008"/>
          <w:ilvl w:val="0"/>
        </w:numPr>
      </w:pPr>
      <w:r>
        <w:t xml:space="preserve">The closest is the rejection region [7 : 8]</w:t>
      </w:r>
    </w:p>
    <w:p>
      <w:pPr>
        <w:pStyle w:val="Compact"/>
        <w:numPr>
          <w:numId w:val="1008"/>
          <w:ilvl w:val="0"/>
        </w:numPr>
      </w:pPr>
      <w:r>
        <w:t xml:space="preserve">Any alpha level lower than 0.0039062 is not attainable.</w:t>
      </w:r>
    </w:p>
    <w:p>
      <w:pPr>
        <w:pStyle w:val="Compact"/>
        <w:numPr>
          <w:numId w:val="1008"/>
          <w:ilvl w:val="0"/>
        </w:numPr>
      </w:pPr>
      <w:r>
        <w:t xml:space="preserve">For larger sample sizes, we could do a normal approximation, but you already knew this.</w:t>
      </w:r>
    </w:p>
    <w:p>
      <w:pPr>
        <w:pStyle w:val="Compact"/>
        <w:numPr>
          <w:numId w:val="1008"/>
          <w:ilvl w:val="0"/>
        </w:numPr>
      </w:pPr>
      <w:r>
        <w:t xml:space="preserve">Two sided test isn't obvious.</w:t>
      </w:r>
    </w:p>
    <w:p>
      <w:pPr>
        <w:pStyle w:val="Compact"/>
        <w:numPr>
          <w:numId w:val="1008"/>
          <w:ilvl w:val="0"/>
        </w:numPr>
      </w:pPr>
      <w:r>
        <w:t xml:space="preserve">Given a way to do two sided tests, we could take the set of values of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which we fail to reject to get an exact binomial confidence interval (called the Clopper/Pearson interval, BTW)</w:t>
      </w:r>
    </w:p>
    <w:p>
      <w:pPr>
        <w:pStyle w:val="Compact"/>
        <w:numPr>
          <w:numId w:val="1008"/>
          <w:ilvl w:val="0"/>
        </w:numPr>
      </w:pPr>
      <w:r>
        <w:t xml:space="preserve">For these problems, people always create a P-value (next lecture) rather than computing the rejection region.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6a74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fc52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</dc:title>
  <dc:creator>Brian Caffo, Jeff Leek, Roger Peng</dc:creator>
</cp:coreProperties>
</file>