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document.xml" ContentType="application/vnd.openxmlformats-officedocument.wordprocessingml.document.main+xml"/>
  <Override PartName="/word/drawings/drawing1.xml" ContentType="application/vnd.openxmlformats-officedocument.drawingml.chartshap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60" w:lineRule="exact"/>
        <w:ind w:firstLine="1320" w:firstLineChars="300"/>
        <w:textAlignment w:val="auto"/>
        <w:rPr>
          <w:rFonts w:ascii="方正小标宋_GBK" w:hAnsi="华文中宋" w:eastAsia="方正小标宋_GBK" w:cs="宋体"/>
          <w:kern w:val="0"/>
          <w:sz w:val="44"/>
          <w:szCs w:val="44"/>
          <w:lang w:val="zh-CN"/>
        </w:rPr>
      </w:pPr>
      <w:r>
        <w:rPr>
          <w:rFonts w:hint="eastAsia" w:ascii="方正小标宋_GBK" w:hAnsi="华文中宋" w:eastAsia="方正小标宋_GBK" w:cs="宋体"/>
          <w:kern w:val="0"/>
          <w:sz w:val="44"/>
          <w:szCs w:val="44"/>
          <w:lang w:val="zh-CN"/>
        </w:rPr>
        <w:t>202</w:t>
      </w:r>
      <w:r>
        <w:rPr>
          <w:rFonts w:ascii="方正小标宋_GBK" w:hAnsi="华文中宋" w:eastAsia="方正小标宋_GBK" w:cs="宋体"/>
          <w:kern w:val="0"/>
          <w:sz w:val="44"/>
          <w:szCs w:val="44"/>
        </w:rPr>
        <w:t>5</w:t>
      </w:r>
      <w:r>
        <w:rPr>
          <w:rFonts w:hint="eastAsia" w:ascii="方正小标宋_GBK" w:hAnsi="华文中宋" w:eastAsia="方正小标宋_GBK" w:cs="宋体"/>
          <w:kern w:val="0"/>
          <w:sz w:val="44"/>
          <w:szCs w:val="44"/>
          <w:lang w:val="zh-CN"/>
        </w:rPr>
        <w:t>年青岛市国民经济和社会发展</w:t>
      </w:r>
    </w:p>
    <w:p>
      <w:pPr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60" w:lineRule="exact"/>
        <w:jc w:val="center"/>
        <w:textAlignment w:val="auto"/>
        <w:rPr>
          <w:rStyle w:val="14"/>
          <w:rFonts w:ascii="方正小标宋_GBK" w:hAnsi="华文中宋" w:eastAsia="方正小标宋_GBK" w:cs="宋体"/>
          <w:kern w:val="0"/>
          <w:sz w:val="44"/>
          <w:szCs w:val="44"/>
          <w:lang w:val="zh-CN"/>
        </w:rPr>
      </w:pPr>
      <w:r>
        <w:rPr>
          <w:rFonts w:hint="eastAsia" w:ascii="方正小标宋_GBK" w:hAnsi="华文中宋" w:eastAsia="方正小标宋_GBK" w:cs="宋体"/>
          <w:kern w:val="0"/>
          <w:sz w:val="44"/>
          <w:szCs w:val="44"/>
          <w:lang w:val="zh-CN"/>
        </w:rPr>
        <w:t>统计公报</w:t>
      </w:r>
      <w:r>
        <w:rPr>
          <w:rStyle w:val="14"/>
          <w:rFonts w:ascii="方正小标宋_GBK" w:hAnsi="华文中宋" w:eastAsia="方正小标宋_GBK" w:cs="宋体"/>
          <w:kern w:val="0"/>
          <w:sz w:val="44"/>
          <w:szCs w:val="44"/>
          <w:lang w:val="zh-CN"/>
        </w:rPr>
        <w:endnoteReference w:id="0" w:customMarkFollows="1"/>
        <w:t>[1]</w:t>
      </w:r>
    </w:p>
    <w:p>
      <w:pPr>
        <w:autoSpaceDE w:val="0"/>
        <w:autoSpaceDN w:val="0"/>
        <w:adjustRightInd w:val="0"/>
        <w:spacing w:line="560" w:lineRule="exact"/>
        <w:jc w:val="center"/>
        <w:rPr>
          <w:rFonts w:ascii="楷体_GB2312" w:eastAsia="楷体_GB2312" w:cs="宋体"/>
          <w:kern w:val="0"/>
          <w:sz w:val="32"/>
          <w:szCs w:val="32"/>
          <w:lang w:val="zh-CN"/>
        </w:rPr>
      </w:pPr>
      <w:r>
        <w:rPr>
          <w:rFonts w:hint="eastAsia" w:ascii="楷体_GB2312" w:eastAsia="楷体_GB2312" w:cs="宋体"/>
          <w:kern w:val="0"/>
          <w:sz w:val="32"/>
          <w:szCs w:val="32"/>
          <w:lang w:val="zh-CN"/>
        </w:rPr>
        <w:t>青岛市统计局 国家统计局青岛调查队</w:t>
      </w:r>
    </w:p>
    <w:p>
      <w:pPr>
        <w:autoSpaceDE w:val="0"/>
        <w:autoSpaceDN w:val="0"/>
        <w:adjustRightInd w:val="0"/>
        <w:spacing w:line="560" w:lineRule="exact"/>
        <w:jc w:val="center"/>
        <w:rPr>
          <w:rFonts w:hint="eastAsia" w:ascii="楷体_GB2312" w:eastAsia="楷体_GB2312" w:cs="宋体"/>
          <w:kern w:val="0"/>
          <w:sz w:val="32"/>
          <w:szCs w:val="32"/>
          <w:lang w:val="zh-CN"/>
        </w:rPr>
      </w:pPr>
      <w:r>
        <w:rPr>
          <w:rFonts w:hint="eastAsia" w:ascii="楷体_GB2312" w:eastAsia="楷体_GB2312" w:cs="宋体"/>
          <w:kern w:val="0"/>
          <w:sz w:val="32"/>
          <w:szCs w:val="32"/>
          <w:lang w:val="zh-CN"/>
        </w:rPr>
        <w:t>(202</w:t>
      </w:r>
      <w:r>
        <w:rPr>
          <w:rFonts w:hint="eastAsia" w:ascii="楷体_GB2312" w:eastAsia="楷体_GB2312" w:cs="宋体"/>
          <w:kern w:val="0"/>
          <w:sz w:val="32"/>
          <w:szCs w:val="32"/>
          <w:lang w:val="en-US" w:eastAsia="zh-CN"/>
        </w:rPr>
        <w:t>6</w:t>
      </w:r>
      <w:r>
        <w:rPr>
          <w:rFonts w:hint="eastAsia" w:ascii="楷体_GB2312" w:eastAsia="楷体_GB2312" w:cs="宋体"/>
          <w:kern w:val="0"/>
          <w:sz w:val="32"/>
          <w:szCs w:val="32"/>
          <w:lang w:val="zh-CN"/>
        </w:rPr>
        <w:t>年</w:t>
      </w:r>
      <w:r>
        <w:rPr>
          <w:rFonts w:hint="default" w:ascii="楷体_GB2312" w:eastAsia="楷体_GB2312" w:cs="宋体"/>
          <w:kern w:val="0"/>
          <w:sz w:val="32"/>
          <w:szCs w:val="32"/>
          <w:lang w:val="en-US"/>
        </w:rPr>
        <w:t>4</w:t>
      </w:r>
      <w:r>
        <w:rPr>
          <w:rFonts w:hint="eastAsia" w:ascii="楷体_GB2312" w:eastAsia="楷体_GB2312" w:cs="宋体"/>
          <w:kern w:val="0"/>
          <w:sz w:val="32"/>
          <w:szCs w:val="32"/>
          <w:lang w:val="zh-CN"/>
        </w:rPr>
        <w:t>月</w:t>
      </w:r>
      <w:r>
        <w:rPr>
          <w:rFonts w:hint="default" w:ascii="楷体_GB2312" w:eastAsia="楷体_GB2312" w:cs="宋体"/>
          <w:kern w:val="0"/>
          <w:sz w:val="32"/>
          <w:szCs w:val="32"/>
          <w:lang w:val="en-US"/>
        </w:rPr>
        <w:t>8</w:t>
      </w:r>
      <w:r>
        <w:rPr>
          <w:rFonts w:hint="eastAsia" w:ascii="楷体_GB2312" w:eastAsia="楷体_GB2312" w:cs="宋体"/>
          <w:kern w:val="0"/>
          <w:sz w:val="32"/>
          <w:szCs w:val="32"/>
          <w:lang w:val="zh-CN"/>
        </w:rPr>
        <w:t>日)</w:t>
      </w:r>
    </w:p>
    <w:p>
      <w:pPr>
        <w:pStyle w:val="10"/>
        <w:pageBreakBefore w:val="0"/>
        <w:widowControl/>
        <w:kinsoku/>
        <w:wordWrap/>
        <w:overflowPunct/>
        <w:topLinePunct w:val="0"/>
        <w:bidi w:val="0"/>
        <w:snapToGrid/>
        <w:spacing w:beforeAutospacing="0" w:afterAutospacing="0" w:line="560" w:lineRule="exact"/>
        <w:ind w:firstLine="640" w:firstLineChars="200"/>
        <w:jc w:val="both"/>
        <w:textAlignment w:val="auto"/>
        <w:rPr>
          <w:rFonts w:hint="eastAsia" w:ascii="仿宋_GB2312" w:hAnsi="Times New Roman" w:eastAsia="仿宋_GB2312"/>
          <w:color w:val="000000"/>
          <w:kern w:val="2"/>
          <w:sz w:val="32"/>
          <w:szCs w:val="32"/>
          <w:lang w:bidi="ar"/>
        </w:rPr>
      </w:pPr>
    </w:p>
    <w:p>
      <w:pPr>
        <w:pStyle w:val="10"/>
        <w:pageBreakBefore w:val="0"/>
        <w:widowControl/>
        <w:kinsoku/>
        <w:wordWrap/>
        <w:overflowPunct/>
        <w:topLinePunct w:val="0"/>
        <w:bidi w:val="0"/>
        <w:snapToGrid/>
        <w:spacing w:beforeAutospacing="0" w:afterAutospacing="0" w:line="560" w:lineRule="exact"/>
        <w:ind w:firstLine="640" w:firstLineChars="200"/>
        <w:jc w:val="both"/>
        <w:textAlignment w:val="auto"/>
        <w:rPr>
          <w:rFonts w:ascii="仿宋_GB2312" w:eastAsia="仿宋_GB2312"/>
          <w:sz w:val="32"/>
          <w:szCs w:val="32"/>
          <w:lang w:eastAsia="zh"/>
        </w:rPr>
      </w:pPr>
      <w:r>
        <w:rPr>
          <w:rFonts w:hint="eastAsia" w:ascii="仿宋_GB2312" w:hAnsi="Times New Roman" w:eastAsia="仿宋_GB2312"/>
          <w:color w:val="000000"/>
          <w:kern w:val="2"/>
          <w:sz w:val="32"/>
          <w:szCs w:val="32"/>
          <w:lang w:bidi="ar"/>
        </w:rPr>
        <w:t>2025年是“十四五”规划收官之年</w:t>
      </w:r>
      <w:r>
        <w:rPr>
          <w:rFonts w:hint="eastAsia" w:ascii="仿宋_GB2312" w:hAnsi="Times New Roman" w:eastAsia="仿宋_GB2312"/>
          <w:color w:val="000000"/>
          <w:kern w:val="2"/>
          <w:sz w:val="32"/>
          <w:szCs w:val="32"/>
          <w:lang w:eastAsia="zh-CN" w:bidi="ar"/>
        </w:rPr>
        <w:t>。</w:t>
      </w:r>
      <w:r>
        <w:rPr>
          <w:rFonts w:hint="eastAsia" w:ascii="仿宋_GB2312" w:hAnsi="Times New Roman" w:eastAsia="仿宋_GB2312"/>
          <w:color w:val="000000"/>
          <w:kern w:val="2"/>
          <w:sz w:val="32"/>
          <w:szCs w:val="32"/>
          <w:lang w:bidi="ar"/>
        </w:rPr>
        <w:t>面对复杂严峻的国际形势和艰巨繁重的改革发展稳定任务，</w:t>
      </w:r>
      <w:r>
        <w:rPr>
          <w:rFonts w:hint="eastAsia" w:ascii="仿宋_GB2312" w:hAnsi="Times New Roman" w:eastAsia="仿宋_GB2312"/>
          <w:color w:val="000000"/>
          <w:kern w:val="2"/>
          <w:sz w:val="32"/>
          <w:szCs w:val="32"/>
          <w:lang w:eastAsia="zh" w:bidi="ar"/>
        </w:rPr>
        <w:t>全市上下</w:t>
      </w:r>
      <w:r>
        <w:rPr>
          <w:rFonts w:hint="eastAsia" w:ascii="仿宋_GB2312" w:eastAsia="仿宋_GB2312"/>
          <w:sz w:val="32"/>
          <w:szCs w:val="32"/>
        </w:rPr>
        <w:t>坚持以习近平新时代中国特色社会主义思想为指导，全面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落实</w:t>
      </w:r>
      <w:r>
        <w:rPr>
          <w:rFonts w:hint="eastAsia" w:ascii="仿宋_GB2312" w:eastAsia="仿宋_GB2312"/>
          <w:sz w:val="32"/>
          <w:szCs w:val="32"/>
        </w:rPr>
        <w:t>党的二十大和二十届</w:t>
      </w:r>
      <w:r>
        <w:rPr>
          <w:rFonts w:hint="eastAsia" w:ascii="仿宋_GB2312" w:eastAsia="仿宋_GB2312"/>
          <w:sz w:val="32"/>
          <w:szCs w:val="32"/>
          <w:lang w:eastAsia="zh"/>
        </w:rPr>
        <w:t>历次</w:t>
      </w:r>
      <w:r>
        <w:rPr>
          <w:rFonts w:hint="eastAsia" w:ascii="仿宋_GB2312" w:eastAsia="仿宋_GB2312"/>
          <w:sz w:val="32"/>
          <w:szCs w:val="32"/>
        </w:rPr>
        <w:t>全会精神，深入贯彻习近平总书记对山东、对青岛工作的重要指示要求，锚定“走在前、挑大梁”，奋力“打头阵、当先锋”，坚定不移贯彻新发展理念</w:t>
      </w:r>
      <w:r>
        <w:rPr>
          <w:rFonts w:hint="eastAsia" w:ascii="仿宋_GB2312" w:eastAsia="仿宋_GB2312"/>
          <w:sz w:val="32"/>
          <w:szCs w:val="32"/>
          <w:lang w:eastAsia="zh-CN"/>
        </w:rPr>
        <w:t>，</w:t>
      </w:r>
      <w:r>
        <w:rPr>
          <w:rFonts w:hint="eastAsia" w:ascii="仿宋_GB2312" w:eastAsia="仿宋_GB2312"/>
          <w:sz w:val="32"/>
          <w:szCs w:val="32"/>
        </w:rPr>
        <w:t>推动高质量发展，稳扎稳打、踏踏实实做好各方面工作，</w:t>
      </w:r>
      <w:r>
        <w:rPr>
          <w:rFonts w:hint="eastAsia" w:ascii="仿宋_GB2312" w:eastAsia="仿宋_GB2312"/>
          <w:sz w:val="32"/>
          <w:szCs w:val="32"/>
          <w:lang w:eastAsia="zh" w:bidi="ar"/>
        </w:rPr>
        <w:t>全市经济运行</w:t>
      </w:r>
      <w:r>
        <w:rPr>
          <w:rFonts w:hint="eastAsia" w:ascii="仿宋_GB2312" w:eastAsia="仿宋_GB2312"/>
          <w:sz w:val="32"/>
          <w:szCs w:val="32"/>
          <w:lang w:bidi="ar"/>
        </w:rPr>
        <w:t>稳健向好</w:t>
      </w:r>
      <w:r>
        <w:rPr>
          <w:rFonts w:hint="eastAsia" w:ascii="仿宋_GB2312" w:eastAsia="仿宋_GB2312"/>
          <w:sz w:val="32"/>
          <w:szCs w:val="32"/>
          <w:lang w:eastAsia="zh" w:bidi="ar"/>
        </w:rPr>
        <w:t>，产业发展提质升级，改革开放深化拓展，民生保障扎实有力，社会大局和谐稳定，中国式现代化青岛实践迈出新的坚实步伐。</w:t>
      </w:r>
    </w:p>
    <w:p>
      <w:pPr>
        <w:pageBreakBefore w:val="0"/>
        <w:widowControl/>
        <w:kinsoku/>
        <w:wordWrap/>
        <w:overflowPunct/>
        <w:topLinePunct w:val="0"/>
        <w:bidi w:val="0"/>
        <w:snapToGrid/>
        <w:spacing w:line="560" w:lineRule="exact"/>
        <w:textAlignment w:val="auto"/>
        <w:rPr>
          <w:rFonts w:ascii="仿宋_GB2312" w:hAnsi="仿宋_GB2312" w:eastAsia="仿宋_GB2312" w:cs="仿宋_GB2312"/>
          <w:kern w:val="0"/>
          <w:sz w:val="32"/>
          <w:szCs w:val="32"/>
        </w:rPr>
      </w:pPr>
    </w:p>
    <w:p>
      <w:pPr>
        <w:pageBreakBefore w:val="0"/>
        <w:widowControl/>
        <w:kinsoku/>
        <w:wordWrap/>
        <w:overflowPunct/>
        <w:topLinePunct w:val="0"/>
        <w:bidi w:val="0"/>
        <w:snapToGrid/>
        <w:spacing w:line="560" w:lineRule="exact"/>
        <w:jc w:val="center"/>
        <w:textAlignment w:val="auto"/>
        <w:rPr>
          <w:rFonts w:ascii="黑体" w:hAnsi="黑体" w:eastAsia="黑体" w:cs="仿宋_GB2312"/>
          <w:kern w:val="0"/>
          <w:sz w:val="32"/>
          <w:szCs w:val="32"/>
        </w:rPr>
      </w:pPr>
      <w:r>
        <w:rPr>
          <w:rFonts w:ascii="黑体" w:hAnsi="黑体" w:eastAsia="黑体" w:cs="仿宋_GB2312"/>
          <w:kern w:val="0"/>
          <w:sz w:val="32"/>
          <w:szCs w:val="32"/>
        </w:rPr>
        <w:t>一</w:t>
      </w:r>
      <w:r>
        <w:rPr>
          <w:rFonts w:hint="eastAsia" w:ascii="黑体" w:hAnsi="黑体" w:eastAsia="黑体" w:cs="仿宋_GB2312"/>
          <w:kern w:val="0"/>
          <w:sz w:val="32"/>
          <w:szCs w:val="32"/>
        </w:rPr>
        <w:t>、</w:t>
      </w:r>
      <w:r>
        <w:rPr>
          <w:rFonts w:ascii="黑体" w:hAnsi="黑体" w:eastAsia="黑体" w:cs="仿宋_GB2312"/>
          <w:kern w:val="0"/>
          <w:sz w:val="32"/>
          <w:szCs w:val="32"/>
        </w:rPr>
        <w:t>综</w:t>
      </w:r>
      <w:r>
        <w:rPr>
          <w:rFonts w:hint="eastAsia" w:ascii="黑体" w:hAnsi="黑体" w:eastAsia="黑体" w:cs="仿宋_GB2312"/>
          <w:color w:val="000000"/>
          <w:kern w:val="0"/>
          <w:sz w:val="32"/>
          <w:szCs w:val="32"/>
          <w:lang w:val="zh-CN"/>
        </w:rPr>
        <w:t xml:space="preserve">  </w:t>
      </w:r>
      <w:r>
        <w:rPr>
          <w:rFonts w:ascii="黑体" w:hAnsi="黑体" w:eastAsia="黑体" w:cs="仿宋_GB2312"/>
          <w:kern w:val="0"/>
          <w:sz w:val="32"/>
          <w:szCs w:val="32"/>
        </w:rPr>
        <w:t>合</w:t>
      </w:r>
    </w:p>
    <w:p>
      <w:pPr>
        <w:pageBreakBefore w:val="0"/>
        <w:widowControl/>
        <w:kinsoku/>
        <w:wordWrap/>
        <w:overflowPunct/>
        <w:topLinePunct w:val="0"/>
        <w:bidi w:val="0"/>
        <w:snapToGrid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/>
          <w:sz w:val="32"/>
          <w:szCs w:val="32"/>
          <w:highlight w:val="none"/>
          <w:lang w:val="en-US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初步核算，全年实现地区生产总值</w:t>
      </w:r>
      <w:r>
        <w:rPr>
          <w:rStyle w:val="14"/>
          <w:rFonts w:hint="eastAsia" w:ascii="仿宋_GB2312" w:hAnsi="仿宋_GB2312" w:eastAsia="仿宋_GB2312" w:cs="仿宋_GB2312"/>
          <w:kern w:val="0"/>
          <w:sz w:val="32"/>
          <w:szCs w:val="32"/>
          <w:highlight w:val="none"/>
        </w:rPr>
        <w:endnoteReference w:id="1" w:customMarkFollows="1"/>
        <w:t>[2]</w:t>
      </w:r>
      <w:r>
        <w:rPr>
          <w:rFonts w:hint="eastAsia" w:ascii="仿宋_GB2312" w:eastAsia="仿宋_GB2312"/>
          <w:sz w:val="32"/>
          <w:szCs w:val="32"/>
          <w:highlight w:val="none"/>
        </w:rPr>
        <w:t>17560.</w:t>
      </w:r>
      <w:r>
        <w:rPr>
          <w:rFonts w:ascii="仿宋_GB2312" w:eastAsia="仿宋_GB2312"/>
          <w:sz w:val="32"/>
          <w:szCs w:val="32"/>
          <w:highlight w:val="none"/>
        </w:rPr>
        <w:t>6</w:t>
      </w:r>
      <w:r>
        <w:rPr>
          <w:rFonts w:hint="eastAsia" w:ascii="仿宋_GB2312" w:eastAsia="仿宋_GB2312"/>
          <w:sz w:val="32"/>
          <w:szCs w:val="32"/>
          <w:highlight w:val="none"/>
        </w:rPr>
        <w:t>7亿元，比上年增长5.4%。其中，第一产业增加值516.2</w:t>
      </w:r>
      <w:r>
        <w:rPr>
          <w:rFonts w:ascii="仿宋_GB2312" w:eastAsia="仿宋_GB2312"/>
          <w:sz w:val="32"/>
          <w:szCs w:val="32"/>
          <w:highlight w:val="none"/>
        </w:rPr>
        <w:t>1</w:t>
      </w:r>
      <w:r>
        <w:rPr>
          <w:rFonts w:hint="eastAsia" w:ascii="仿宋_GB2312" w:eastAsia="仿宋_GB2312"/>
          <w:sz w:val="32"/>
          <w:szCs w:val="32"/>
          <w:highlight w:val="none"/>
        </w:rPr>
        <w:t>亿元，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比上年</w:t>
      </w:r>
      <w:r>
        <w:rPr>
          <w:rFonts w:hint="eastAsia" w:ascii="仿宋_GB2312" w:eastAsia="仿宋_GB2312"/>
          <w:sz w:val="32"/>
          <w:szCs w:val="32"/>
          <w:highlight w:val="none"/>
        </w:rPr>
        <w:t>增长4.0%；第二产业增加值5873.8</w:t>
      </w:r>
      <w:r>
        <w:rPr>
          <w:rFonts w:ascii="仿宋_GB2312" w:eastAsia="仿宋_GB2312"/>
          <w:sz w:val="32"/>
          <w:szCs w:val="32"/>
          <w:highlight w:val="none"/>
        </w:rPr>
        <w:t>3</w:t>
      </w:r>
      <w:r>
        <w:rPr>
          <w:rFonts w:hint="eastAsia" w:ascii="仿宋_GB2312" w:eastAsia="仿宋_GB2312"/>
          <w:sz w:val="32"/>
          <w:szCs w:val="32"/>
          <w:highlight w:val="none"/>
        </w:rPr>
        <w:t>亿元，增长4.9%；第三产业增加值11170.6</w:t>
      </w:r>
      <w:r>
        <w:rPr>
          <w:rFonts w:ascii="仿宋_GB2312" w:eastAsia="仿宋_GB2312"/>
          <w:sz w:val="32"/>
          <w:szCs w:val="32"/>
          <w:highlight w:val="none"/>
        </w:rPr>
        <w:t>3</w:t>
      </w:r>
      <w:r>
        <w:rPr>
          <w:rFonts w:hint="eastAsia" w:ascii="仿宋_GB2312" w:eastAsia="仿宋_GB2312"/>
          <w:sz w:val="32"/>
          <w:szCs w:val="32"/>
          <w:highlight w:val="none"/>
        </w:rPr>
        <w:t>亿元，增长5.6%。三次产业结构为2.9：33.5：63.6</w:t>
      </w:r>
      <w:r>
        <w:rPr>
          <w:rFonts w:ascii="仿宋_GB2312" w:eastAsia="仿宋_GB2312"/>
          <w:sz w:val="32"/>
          <w:szCs w:val="32"/>
          <w:highlight w:val="none"/>
        </w:rPr>
        <w:t>。</w:t>
      </w:r>
      <w:r>
        <w:rPr>
          <w:rFonts w:hint="default" w:ascii="仿宋_GB2312" w:eastAsia="仿宋_GB2312"/>
          <w:sz w:val="32"/>
          <w:szCs w:val="32"/>
          <w:highlight w:val="none"/>
          <w:lang w:val="en-US"/>
        </w:rPr>
        <w:t xml:space="preserve">  </w:t>
      </w:r>
    </w:p>
    <w:p>
      <w:pPr>
        <w:pageBreakBefore w:val="0"/>
        <w:widowControl/>
        <w:kinsoku/>
        <w:wordWrap/>
        <w:overflowPunct/>
        <w:topLinePunct w:val="0"/>
        <w:bidi w:val="0"/>
        <w:snapToGrid/>
        <w:spacing w:line="560" w:lineRule="exact"/>
        <w:ind w:firstLine="640" w:firstLineChars="200"/>
        <w:jc w:val="center"/>
        <w:textAlignment w:val="auto"/>
        <w:rPr>
          <w:rFonts w:hint="default" w:ascii="仿宋_GB2312" w:eastAsia="仿宋_GB2312"/>
          <w:sz w:val="32"/>
          <w:szCs w:val="32"/>
          <w:highlight w:val="none"/>
          <w:lang w:val="en-US"/>
        </w:rPr>
      </w:pPr>
    </w:p>
    <w:p>
      <w:pPr>
        <w:pageBreakBefore w:val="0"/>
        <w:widowControl/>
        <w:kinsoku/>
        <w:wordWrap/>
        <w:overflowPunct/>
        <w:topLinePunct w:val="0"/>
        <w:bidi w:val="0"/>
        <w:snapToGrid/>
        <w:spacing w:line="560" w:lineRule="exact"/>
        <w:ind w:firstLine="0" w:firstLineChars="0"/>
        <w:jc w:val="both"/>
        <w:textAlignment w:val="auto"/>
        <w:rPr>
          <w:rFonts w:hint="default" w:ascii="仿宋_GB2312" w:eastAsia="仿宋_GB2312"/>
          <w:sz w:val="32"/>
          <w:szCs w:val="32"/>
          <w:highlight w:val="none"/>
          <w:lang w:val="en-US"/>
        </w:rPr>
      </w:pPr>
    </w:p>
    <w:p>
      <w:pPr>
        <w:pageBreakBefore w:val="0"/>
        <w:widowControl/>
        <w:kinsoku/>
        <w:wordWrap/>
        <w:overflowPunct/>
        <w:topLinePunct w:val="0"/>
        <w:bidi w:val="0"/>
        <w:snapToGrid/>
        <w:spacing w:line="560" w:lineRule="exact"/>
        <w:ind w:firstLine="560" w:firstLineChars="200"/>
        <w:jc w:val="center"/>
        <w:textAlignment w:val="auto"/>
        <w:rPr>
          <w:rFonts w:hint="eastAsia" w:ascii="黑体" w:hAnsi="Times New Roman" w:eastAsia="黑体" w:cs="宋体"/>
          <w:b w:val="0"/>
          <w:color w:val="auto"/>
          <w:kern w:val="0"/>
          <w:sz w:val="28"/>
          <w:szCs w:val="28"/>
          <w:highlight w:val="none"/>
          <w:lang w:val="zh-CN" w:eastAsia="zh-CN" w:bidi="ar-SA"/>
        </w:rPr>
      </w:pPr>
      <w:r>
        <w:rPr>
          <w:rFonts w:hint="eastAsia" w:ascii="黑体" w:hAnsi="Times New Roman" w:eastAsia="黑体" w:cs="宋体"/>
          <w:b w:val="0"/>
          <w:color w:val="auto"/>
          <w:kern w:val="0"/>
          <w:sz w:val="28"/>
          <w:szCs w:val="28"/>
          <w:highlight w:val="none"/>
          <w:lang w:val="zh-CN" w:eastAsia="zh-CN" w:bidi="ar-SA"/>
        </w:rPr>
        <w:t>图1：2021-2025年地区生产总值及增速</w:t>
      </w:r>
    </w:p>
    <w:p>
      <w:r>
        <w:drawing>
          <wp:inline distT="0" distB="0" distL="114300" distR="114300">
            <wp:extent cx="5579745" cy="2339975"/>
            <wp:effectExtent l="4445" t="5080" r="16510" b="17145"/>
            <wp:docPr id="7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>
      <w:pPr>
        <w:pStyle w:val="2"/>
        <w:spacing w:before="0" w:after="0" w:line="560" w:lineRule="exact"/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eastAsia="仿宋_GB2312"/>
          <w:sz w:val="32"/>
          <w:szCs w:val="32"/>
          <w:highlight w:val="none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年末全市常住人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口</w:t>
      </w:r>
      <w:r>
        <w:rPr>
          <w:rFonts w:hint="eastAsia" w:ascii="仿宋_GB2312" w:eastAsia="仿宋_GB2312"/>
          <w:sz w:val="32"/>
          <w:szCs w:val="32"/>
          <w:highlight w:val="none"/>
        </w:rPr>
        <w:t>1</w:t>
      </w:r>
      <w:r>
        <w:rPr>
          <w:rFonts w:ascii="仿宋_GB2312" w:eastAsia="仿宋_GB2312"/>
          <w:sz w:val="32"/>
          <w:szCs w:val="32"/>
          <w:highlight w:val="none"/>
        </w:rPr>
        <w:t>051.55</w:t>
      </w:r>
      <w:r>
        <w:rPr>
          <w:rFonts w:hint="eastAsia" w:ascii="仿宋_GB2312" w:eastAsia="仿宋_GB2312"/>
          <w:sz w:val="32"/>
          <w:szCs w:val="32"/>
          <w:highlight w:val="none"/>
        </w:rPr>
        <w:t>万人，比上年增加7</w:t>
      </w:r>
      <w:r>
        <w:rPr>
          <w:rFonts w:ascii="仿宋_GB2312" w:eastAsia="仿宋_GB2312"/>
          <w:sz w:val="32"/>
          <w:szCs w:val="32"/>
          <w:highlight w:val="none"/>
        </w:rPr>
        <w:t>.30</w:t>
      </w:r>
      <w:r>
        <w:rPr>
          <w:rFonts w:hint="eastAsia" w:ascii="仿宋_GB2312" w:eastAsia="仿宋_GB2312"/>
          <w:sz w:val="32"/>
          <w:szCs w:val="32"/>
          <w:highlight w:val="none"/>
        </w:rPr>
        <w:t>万人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eastAsia="仿宋_GB2312"/>
          <w:sz w:val="32"/>
          <w:szCs w:val="32"/>
          <w:highlight w:val="none"/>
        </w:rPr>
        <w:t>其中城镇常住人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口</w:t>
      </w:r>
      <w:r>
        <w:rPr>
          <w:rFonts w:hint="eastAsia" w:ascii="仿宋_GB2312" w:eastAsia="仿宋_GB2312"/>
          <w:sz w:val="32"/>
          <w:szCs w:val="32"/>
          <w:highlight w:val="none"/>
        </w:rPr>
        <w:t>8</w:t>
      </w:r>
      <w:r>
        <w:rPr>
          <w:rFonts w:ascii="仿宋_GB2312" w:eastAsia="仿宋_GB2312"/>
          <w:sz w:val="32"/>
          <w:szCs w:val="32"/>
          <w:highlight w:val="none"/>
        </w:rPr>
        <w:t>39.03</w:t>
      </w:r>
      <w:r>
        <w:rPr>
          <w:rFonts w:hint="eastAsia" w:ascii="仿宋_GB2312" w:eastAsia="仿宋_GB2312"/>
          <w:sz w:val="32"/>
          <w:szCs w:val="32"/>
          <w:highlight w:val="none"/>
        </w:rPr>
        <w:t>万人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。</w:t>
      </w:r>
      <w:r>
        <w:rPr>
          <w:rFonts w:hint="eastAsia" w:ascii="仿宋_GB2312" w:eastAsia="仿宋_GB2312"/>
          <w:sz w:val="32"/>
          <w:szCs w:val="32"/>
          <w:highlight w:val="none"/>
        </w:rPr>
        <w:t>常住人口城镇化率为7</w:t>
      </w:r>
      <w:r>
        <w:rPr>
          <w:rFonts w:ascii="仿宋_GB2312" w:eastAsia="仿宋_GB2312"/>
          <w:sz w:val="32"/>
          <w:szCs w:val="32"/>
          <w:highlight w:val="none"/>
        </w:rPr>
        <w:t>9.79</w:t>
      </w:r>
      <w:r>
        <w:rPr>
          <w:rFonts w:hint="eastAsia" w:ascii="仿宋_GB2312" w:eastAsia="仿宋_GB2312"/>
          <w:sz w:val="32"/>
          <w:szCs w:val="32"/>
          <w:highlight w:val="none"/>
        </w:rPr>
        <w:t>%，比上年末提高0</w:t>
      </w:r>
      <w:r>
        <w:rPr>
          <w:rFonts w:ascii="仿宋_GB2312" w:eastAsia="仿宋_GB2312"/>
          <w:sz w:val="32"/>
          <w:szCs w:val="32"/>
          <w:highlight w:val="none"/>
        </w:rPr>
        <w:t>.92</w:t>
      </w:r>
      <w:r>
        <w:rPr>
          <w:rFonts w:hint="eastAsia" w:ascii="仿宋_GB2312" w:eastAsia="仿宋_GB2312"/>
          <w:sz w:val="32"/>
          <w:szCs w:val="32"/>
          <w:highlight w:val="none"/>
        </w:rPr>
        <w:t>个百分点。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  <w:highlight w:val="none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全年城镇新增就业37.3万人。城镇失业人员实现再就业12.8万人，比上年增长13.</w:t>
      </w:r>
      <w:r>
        <w:rPr>
          <w:rFonts w:hint="default" w:ascii="仿宋_GB2312" w:eastAsia="仿宋_GB2312"/>
          <w:sz w:val="32"/>
          <w:szCs w:val="32"/>
          <w:highlight w:val="none"/>
          <w:lang w:val="en-US"/>
        </w:rPr>
        <w:t>4</w:t>
      </w:r>
      <w:r>
        <w:rPr>
          <w:rFonts w:ascii="仿宋_GB2312" w:eastAsia="仿宋_GB2312"/>
          <w:sz w:val="32"/>
          <w:szCs w:val="32"/>
          <w:highlight w:val="none"/>
        </w:rPr>
        <w:t>%</w:t>
      </w:r>
      <w:r>
        <w:rPr>
          <w:rFonts w:hint="eastAsia" w:ascii="仿宋_GB2312" w:eastAsia="仿宋_GB2312"/>
          <w:sz w:val="32"/>
          <w:szCs w:val="32"/>
          <w:highlight w:val="none"/>
          <w:lang w:eastAsia="zh"/>
        </w:rPr>
        <w:t>。</w:t>
      </w:r>
      <w:r>
        <w:rPr>
          <w:rFonts w:hint="eastAsia" w:ascii="仿宋_GB2312" w:eastAsia="仿宋_GB2312"/>
          <w:sz w:val="32"/>
          <w:szCs w:val="32"/>
          <w:highlight w:val="none"/>
        </w:rPr>
        <w:t>就业困难人员实现就业1.5万人</w:t>
      </w:r>
      <w:r>
        <w:rPr>
          <w:rFonts w:hint="eastAsia" w:ascii="仿宋_GB2312" w:eastAsia="仿宋_GB2312"/>
          <w:sz w:val="32"/>
          <w:szCs w:val="32"/>
          <w:highlight w:val="none"/>
          <w:lang w:eastAsia="zh"/>
        </w:rPr>
        <w:t>。</w:t>
      </w:r>
      <w:r>
        <w:rPr>
          <w:rFonts w:hint="eastAsia" w:ascii="仿宋_GB2312" w:eastAsia="仿宋_GB2312"/>
          <w:sz w:val="32"/>
          <w:szCs w:val="32"/>
          <w:highlight w:val="none"/>
        </w:rPr>
        <w:t>累计开展政府补贴性技能培训7.</w:t>
      </w:r>
      <w:r>
        <w:rPr>
          <w:rFonts w:hint="default" w:ascii="仿宋_GB2312" w:eastAsia="仿宋_GB2312"/>
          <w:sz w:val="32"/>
          <w:szCs w:val="32"/>
          <w:highlight w:val="none"/>
          <w:lang w:val="en-US"/>
        </w:rPr>
        <w:t>2</w:t>
      </w:r>
      <w:r>
        <w:rPr>
          <w:rFonts w:hint="eastAsia" w:ascii="仿宋_GB2312" w:eastAsia="仿宋_GB2312"/>
          <w:sz w:val="32"/>
          <w:szCs w:val="32"/>
          <w:highlight w:val="none"/>
        </w:rPr>
        <w:t>万人次</w:t>
      </w:r>
      <w:r>
        <w:rPr>
          <w:rFonts w:hint="eastAsia" w:ascii="仿宋_GB2312" w:eastAsia="仿宋_GB2312"/>
          <w:sz w:val="32"/>
          <w:szCs w:val="32"/>
          <w:highlight w:val="none"/>
          <w:lang w:eastAsia="zh"/>
        </w:rPr>
        <w:t>。</w:t>
      </w:r>
      <w:r>
        <w:rPr>
          <w:rFonts w:hint="eastAsia" w:ascii="仿宋_GB2312" w:eastAsia="仿宋_GB2312"/>
          <w:sz w:val="32"/>
          <w:szCs w:val="32"/>
          <w:highlight w:val="none"/>
        </w:rPr>
        <w:t>全年扶持创业4.1万人。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  <w:highlight w:val="none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全年居民消费价格比上年上涨0.1%。分类别看，食品烟酒价格下降0.1%，衣着价格上涨0.8%，居住价格下降0.3%，生活用品及服务价格上涨0.3%，交通通信价格下降1.9%，教育文化娱乐价格上涨0.5%，医疗保健价格持平，其他用品及服务价格上涨12.2%。</w:t>
      </w:r>
    </w:p>
    <w:p>
      <w:pPr>
        <w:widowControl/>
        <w:ind w:firstLine="840" w:firstLineChars="300"/>
        <w:jc w:val="center"/>
        <w:rPr>
          <w:rFonts w:hint="eastAsia" w:ascii="黑体" w:eastAsia="黑体" w:cs="宋体"/>
          <w:color w:val="auto"/>
          <w:kern w:val="0"/>
          <w:sz w:val="28"/>
          <w:szCs w:val="28"/>
          <w:highlight w:val="none"/>
          <w:lang w:val="zh-CN"/>
        </w:rPr>
      </w:pPr>
    </w:p>
    <w:p>
      <w:pPr>
        <w:widowControl/>
        <w:ind w:firstLine="840" w:firstLineChars="300"/>
        <w:jc w:val="center"/>
        <w:rPr>
          <w:rFonts w:hint="eastAsia" w:ascii="黑体" w:eastAsia="黑体" w:cs="宋体"/>
          <w:color w:val="auto"/>
          <w:kern w:val="0"/>
          <w:sz w:val="28"/>
          <w:szCs w:val="28"/>
          <w:highlight w:val="none"/>
          <w:lang w:val="zh-CN"/>
        </w:rPr>
      </w:pPr>
    </w:p>
    <w:p>
      <w:pPr>
        <w:widowControl/>
        <w:ind w:firstLine="840" w:firstLineChars="300"/>
        <w:jc w:val="center"/>
        <w:rPr>
          <w:rFonts w:hint="eastAsia" w:ascii="黑体" w:eastAsia="黑体" w:cs="宋体"/>
          <w:color w:val="auto"/>
          <w:kern w:val="0"/>
          <w:sz w:val="28"/>
          <w:szCs w:val="28"/>
          <w:highlight w:val="none"/>
          <w:lang w:val="zh-CN"/>
        </w:rPr>
      </w:pPr>
      <w:r>
        <w:rPr>
          <w:rFonts w:hint="eastAsia" w:ascii="黑体" w:eastAsia="黑体" w:cs="宋体"/>
          <w:color w:val="auto"/>
          <w:kern w:val="0"/>
          <w:sz w:val="28"/>
          <w:szCs w:val="28"/>
          <w:highlight w:val="none"/>
          <w:lang w:val="zh-CN"/>
        </w:rPr>
        <w:t>表</w:t>
      </w:r>
      <w:r>
        <w:rPr>
          <w:rFonts w:ascii="黑体" w:eastAsia="黑体" w:cs="宋体"/>
          <w:color w:val="auto"/>
          <w:kern w:val="0"/>
          <w:sz w:val="28"/>
          <w:szCs w:val="28"/>
          <w:highlight w:val="none"/>
          <w:lang w:val="zh-CN"/>
        </w:rPr>
        <w:t>1</w:t>
      </w:r>
      <w:r>
        <w:rPr>
          <w:rFonts w:hint="eastAsia" w:ascii="黑体" w:eastAsia="黑体" w:cs="宋体"/>
          <w:color w:val="auto"/>
          <w:kern w:val="0"/>
          <w:sz w:val="28"/>
          <w:szCs w:val="28"/>
          <w:highlight w:val="none"/>
          <w:lang w:val="zh-CN"/>
        </w:rPr>
        <w:t>：202</w:t>
      </w:r>
      <w:r>
        <w:rPr>
          <w:rFonts w:hint="default" w:ascii="黑体" w:eastAsia="黑体" w:cs="宋体"/>
          <w:color w:val="auto"/>
          <w:kern w:val="0"/>
          <w:sz w:val="28"/>
          <w:szCs w:val="28"/>
          <w:highlight w:val="none"/>
          <w:lang w:val="en-US"/>
        </w:rPr>
        <w:t>5</w:t>
      </w:r>
      <w:r>
        <w:rPr>
          <w:rFonts w:hint="eastAsia" w:ascii="黑体" w:eastAsia="黑体" w:cs="宋体"/>
          <w:color w:val="auto"/>
          <w:kern w:val="0"/>
          <w:sz w:val="28"/>
          <w:szCs w:val="28"/>
          <w:highlight w:val="none"/>
          <w:lang w:val="zh-CN"/>
        </w:rPr>
        <w:t>年居民消费价格指数</w:t>
      </w:r>
    </w:p>
    <w:tbl>
      <w:tblPr>
        <w:tblStyle w:val="11"/>
        <w:tblW w:w="840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6"/>
        <w:gridCol w:w="435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4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黑体" w:hAnsi="黑体" w:eastAsia="黑体" w:cs="宋体"/>
                <w:color w:val="auto"/>
                <w:kern w:val="0"/>
                <w:sz w:val="24"/>
                <w:highlight w:val="none"/>
              </w:rPr>
              <w:t>指标</w:t>
            </w:r>
          </w:p>
        </w:tc>
        <w:tc>
          <w:tcPr>
            <w:tcW w:w="4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黑体" w:hAnsi="黑体" w:eastAsia="黑体" w:cs="宋体"/>
                <w:color w:val="auto"/>
                <w:kern w:val="0"/>
                <w:sz w:val="24"/>
                <w:highlight w:val="none"/>
              </w:rPr>
              <w:t>全年（上年同期=100）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exact"/>
          <w:jc w:val="center"/>
        </w:trPr>
        <w:tc>
          <w:tcPr>
            <w:tcW w:w="4046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  <w:t>居民消费价格指数</w:t>
            </w:r>
          </w:p>
        </w:tc>
        <w:tc>
          <w:tcPr>
            <w:tcW w:w="43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>
            <w:pPr>
              <w:ind w:right="420" w:rightChars="200"/>
              <w:jc w:val="right"/>
              <w:rPr>
                <w:rFonts w:hint="default" w:ascii="宋体" w:hAnsi="宋体" w:eastAsia="宋体" w:cs="宋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100.1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exact"/>
          <w:jc w:val="center"/>
        </w:trPr>
        <w:tc>
          <w:tcPr>
            <w:tcW w:w="4046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420" w:firstLineChars="200"/>
              <w:jc w:val="left"/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  <w:t>一、食品烟酒</w:t>
            </w:r>
          </w:p>
        </w:tc>
        <w:tc>
          <w:tcPr>
            <w:tcW w:w="4354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>
            <w:pPr>
              <w:ind w:right="420" w:rightChars="200"/>
              <w:jc w:val="right"/>
              <w:rPr>
                <w:rFonts w:hint="default" w:ascii="宋体" w:hAnsi="宋体" w:eastAsia="宋体" w:cs="宋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99.9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exact"/>
          <w:jc w:val="center"/>
        </w:trPr>
        <w:tc>
          <w:tcPr>
            <w:tcW w:w="4046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  <w:t xml:space="preserve">       </w:t>
            </w:r>
            <w:r>
              <w:rPr>
                <w:rFonts w:ascii="宋体" w:hAnsi="宋体"/>
                <w:color w:val="auto"/>
                <w:kern w:val="0"/>
                <w:szCs w:val="21"/>
                <w:highlight w:val="none"/>
              </w:rPr>
              <w:t xml:space="preserve">   </w:t>
            </w:r>
            <w:r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  <w:t>食品</w:t>
            </w:r>
          </w:p>
        </w:tc>
        <w:tc>
          <w:tcPr>
            <w:tcW w:w="4354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>
            <w:pPr>
              <w:ind w:right="420" w:rightChars="200"/>
              <w:jc w:val="right"/>
              <w:rPr>
                <w:rFonts w:hint="default" w:ascii="宋体" w:hAnsi="宋体" w:eastAsia="宋体" w:cs="宋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99.5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exact"/>
          <w:jc w:val="center"/>
        </w:trPr>
        <w:tc>
          <w:tcPr>
            <w:tcW w:w="4046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  <w:t xml:space="preserve">        </w:t>
            </w:r>
            <w:r>
              <w:rPr>
                <w:rFonts w:ascii="宋体" w:hAnsi="宋体"/>
                <w:color w:val="auto"/>
                <w:kern w:val="0"/>
                <w:szCs w:val="21"/>
                <w:highlight w:val="none"/>
              </w:rPr>
              <w:t xml:space="preserve">    </w:t>
            </w:r>
            <w:r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  <w:t>粮食</w:t>
            </w:r>
          </w:p>
        </w:tc>
        <w:tc>
          <w:tcPr>
            <w:tcW w:w="4354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>
            <w:pPr>
              <w:ind w:right="420" w:rightChars="200"/>
              <w:jc w:val="right"/>
              <w:rPr>
                <w:rFonts w:hint="default" w:ascii="宋体" w:hAnsi="宋体" w:eastAsia="宋体" w:cs="宋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99.3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exact"/>
          <w:jc w:val="center"/>
        </w:trPr>
        <w:tc>
          <w:tcPr>
            <w:tcW w:w="4046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  <w:t xml:space="preserve">       </w:t>
            </w:r>
            <w:r>
              <w:rPr>
                <w:rFonts w:ascii="宋体" w:hAnsi="宋体"/>
                <w:color w:val="auto"/>
                <w:kern w:val="0"/>
                <w:szCs w:val="21"/>
                <w:highlight w:val="none"/>
              </w:rPr>
              <w:t xml:space="preserve">     </w:t>
            </w:r>
            <w:r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  <w:t>鲜菜</w:t>
            </w:r>
          </w:p>
        </w:tc>
        <w:tc>
          <w:tcPr>
            <w:tcW w:w="4354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>
            <w:pPr>
              <w:ind w:right="420" w:rightChars="200"/>
              <w:jc w:val="right"/>
              <w:rPr>
                <w:rFonts w:hint="default" w:ascii="宋体" w:hAnsi="宋体" w:eastAsia="宋体" w:cs="宋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97.0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exact"/>
          <w:jc w:val="center"/>
        </w:trPr>
        <w:tc>
          <w:tcPr>
            <w:tcW w:w="4046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  <w:t xml:space="preserve">       </w:t>
            </w:r>
            <w:r>
              <w:rPr>
                <w:rFonts w:ascii="宋体" w:hAnsi="宋体"/>
                <w:color w:val="auto"/>
                <w:kern w:val="0"/>
                <w:szCs w:val="21"/>
                <w:highlight w:val="none"/>
              </w:rPr>
              <w:t xml:space="preserve">     </w:t>
            </w:r>
            <w:r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  <w:t>猪肉</w:t>
            </w:r>
          </w:p>
        </w:tc>
        <w:tc>
          <w:tcPr>
            <w:tcW w:w="4354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>
            <w:pPr>
              <w:ind w:right="420" w:rightChars="200"/>
              <w:jc w:val="right"/>
              <w:rPr>
                <w:rFonts w:hint="default" w:ascii="宋体" w:hAnsi="宋体" w:eastAsia="宋体" w:cs="宋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93.0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exact"/>
          <w:jc w:val="center"/>
        </w:trPr>
        <w:tc>
          <w:tcPr>
            <w:tcW w:w="4046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  <w:t xml:space="preserve">       </w:t>
            </w:r>
            <w:r>
              <w:rPr>
                <w:rFonts w:ascii="宋体" w:hAnsi="宋体"/>
                <w:color w:val="auto"/>
                <w:kern w:val="0"/>
                <w:szCs w:val="21"/>
                <w:highlight w:val="none"/>
              </w:rPr>
              <w:t xml:space="preserve">     </w:t>
            </w:r>
            <w:r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  <w:t>鸡蛋</w:t>
            </w:r>
          </w:p>
        </w:tc>
        <w:tc>
          <w:tcPr>
            <w:tcW w:w="4354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>
            <w:pPr>
              <w:ind w:right="420" w:rightChars="200"/>
              <w:jc w:val="right"/>
              <w:rPr>
                <w:rFonts w:hint="default" w:ascii="宋体" w:hAnsi="宋体" w:eastAsia="宋体" w:cs="宋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86.9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exact"/>
          <w:jc w:val="center"/>
        </w:trPr>
        <w:tc>
          <w:tcPr>
            <w:tcW w:w="4046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420" w:firstLineChars="200"/>
              <w:jc w:val="left"/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  <w:t>二、衣着</w:t>
            </w:r>
          </w:p>
        </w:tc>
        <w:tc>
          <w:tcPr>
            <w:tcW w:w="4354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>
            <w:pPr>
              <w:ind w:right="420" w:rightChars="200"/>
              <w:jc w:val="right"/>
              <w:rPr>
                <w:rFonts w:hint="default" w:ascii="宋体" w:hAnsi="宋体" w:eastAsia="宋体" w:cs="宋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100.8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exact"/>
          <w:jc w:val="center"/>
        </w:trPr>
        <w:tc>
          <w:tcPr>
            <w:tcW w:w="4046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420" w:firstLineChars="200"/>
              <w:jc w:val="left"/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  <w:t>三、居住</w:t>
            </w:r>
          </w:p>
        </w:tc>
        <w:tc>
          <w:tcPr>
            <w:tcW w:w="4354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>
            <w:pPr>
              <w:ind w:right="420" w:rightChars="200"/>
              <w:jc w:val="right"/>
              <w:rPr>
                <w:rFonts w:hint="default" w:ascii="宋体" w:hAnsi="宋体" w:eastAsia="宋体" w:cs="宋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99.7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exact"/>
          <w:jc w:val="center"/>
        </w:trPr>
        <w:tc>
          <w:tcPr>
            <w:tcW w:w="4046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420" w:firstLineChars="200"/>
              <w:jc w:val="left"/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  <w:t>四、生活用品及服务</w:t>
            </w:r>
          </w:p>
        </w:tc>
        <w:tc>
          <w:tcPr>
            <w:tcW w:w="4354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>
            <w:pPr>
              <w:ind w:right="420" w:rightChars="200"/>
              <w:jc w:val="right"/>
              <w:rPr>
                <w:rFonts w:hint="default" w:ascii="宋体" w:hAnsi="宋体" w:eastAsia="宋体" w:cs="宋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100.3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exact"/>
          <w:jc w:val="center"/>
        </w:trPr>
        <w:tc>
          <w:tcPr>
            <w:tcW w:w="4046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420" w:firstLineChars="200"/>
              <w:jc w:val="left"/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  <w:t>五、交通通信</w:t>
            </w:r>
          </w:p>
        </w:tc>
        <w:tc>
          <w:tcPr>
            <w:tcW w:w="4354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>
            <w:pPr>
              <w:ind w:right="420" w:rightChars="200"/>
              <w:jc w:val="right"/>
              <w:rPr>
                <w:rFonts w:hint="default" w:ascii="宋体" w:hAnsi="宋体" w:eastAsia="宋体" w:cs="宋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98.1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exact"/>
          <w:jc w:val="center"/>
        </w:trPr>
        <w:tc>
          <w:tcPr>
            <w:tcW w:w="4046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420" w:firstLineChars="200"/>
              <w:jc w:val="left"/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  <w:t>六、教育文化娱乐</w:t>
            </w:r>
          </w:p>
        </w:tc>
        <w:tc>
          <w:tcPr>
            <w:tcW w:w="4354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>
            <w:pPr>
              <w:ind w:right="420" w:rightChars="200"/>
              <w:jc w:val="right"/>
              <w:rPr>
                <w:rFonts w:hint="default" w:ascii="宋体" w:hAnsi="宋体" w:eastAsia="宋体" w:cs="宋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100.5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exact"/>
          <w:jc w:val="center"/>
        </w:trPr>
        <w:tc>
          <w:tcPr>
            <w:tcW w:w="4046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420" w:firstLineChars="200"/>
              <w:jc w:val="left"/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  <w:t>七、医疗保健</w:t>
            </w:r>
          </w:p>
        </w:tc>
        <w:tc>
          <w:tcPr>
            <w:tcW w:w="4354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>
            <w:pPr>
              <w:ind w:right="420" w:rightChars="200"/>
              <w:jc w:val="right"/>
              <w:rPr>
                <w:rFonts w:hint="default" w:ascii="宋体" w:hAnsi="宋体" w:eastAsia="宋体" w:cs="宋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100.0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exact"/>
          <w:jc w:val="center"/>
        </w:trPr>
        <w:tc>
          <w:tcPr>
            <w:tcW w:w="4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firstLine="420" w:firstLineChars="200"/>
              <w:jc w:val="left"/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highlight w:val="none"/>
              </w:rPr>
              <w:t>八、其他用品及服务</w:t>
            </w:r>
          </w:p>
        </w:tc>
        <w:tc>
          <w:tcPr>
            <w:tcW w:w="4354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ind w:right="420" w:rightChars="200"/>
              <w:jc w:val="right"/>
              <w:rPr>
                <w:rFonts w:hint="default" w:ascii="宋体" w:hAnsi="宋体" w:eastAsia="宋体" w:cs="宋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112.2</w:t>
            </w:r>
          </w:p>
        </w:tc>
      </w:tr>
    </w:tbl>
    <w:p>
      <w:pPr>
        <w:pStyle w:val="2"/>
        <w:pageBreakBefore w:val="0"/>
        <w:kinsoku/>
        <w:overflowPunct/>
        <w:bidi w:val="0"/>
        <w:snapToGrid/>
        <w:spacing w:before="0" w:after="0" w:line="560" w:lineRule="exact"/>
        <w:textAlignment w:val="auto"/>
      </w:pPr>
    </w:p>
    <w:p>
      <w:pPr>
        <w:keepNext w:val="0"/>
        <w:keepLines w:val="0"/>
        <w:pageBreakBefore w:val="0"/>
        <w:suppressAutoHyphens/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kern w:val="0"/>
          <w:sz w:val="32"/>
          <w:szCs w:val="32"/>
          <w:highlight w:val="none"/>
          <w:lang w:eastAsia="zh"/>
        </w:rPr>
        <w:t>新质生产力成长壮大</w:t>
      </w:r>
      <w:r>
        <w:rPr>
          <w:rFonts w:hint="eastAsia" w:ascii="仿宋_GB2312" w:eastAsia="仿宋_GB2312"/>
          <w:kern w:val="0"/>
          <w:sz w:val="32"/>
          <w:szCs w:val="32"/>
          <w:highlight w:val="none"/>
        </w:rPr>
        <w:t>。全年规模以上工业</w:t>
      </w:r>
      <w:r>
        <w:rPr>
          <w:rStyle w:val="14"/>
          <w:rFonts w:hint="eastAsia" w:ascii="仿宋_GB2312" w:hAnsi="仿宋_GB2312" w:eastAsia="仿宋_GB2312" w:cs="仿宋_GB2312"/>
          <w:kern w:val="0"/>
          <w:sz w:val="32"/>
          <w:szCs w:val="32"/>
          <w:highlight w:val="none"/>
        </w:rPr>
        <w:endnoteReference w:id="2" w:customMarkFollows="1"/>
        <w:t>[</w:t>
      </w:r>
      <w:r>
        <w:rPr>
          <w:rFonts w:ascii="仿宋_GB2312" w:hAnsi="仿宋_GB2312" w:eastAsia="仿宋_GB2312" w:cs="仿宋_GB2312"/>
          <w:kern w:val="0"/>
          <w:sz w:val="32"/>
          <w:szCs w:val="32"/>
          <w:highlight w:val="none"/>
          <w:vertAlign w:val="superscript"/>
        </w:rPr>
        <w:t>3</w:t>
      </w:r>
      <w:r>
        <w:rPr>
          <w:rStyle w:val="14"/>
          <w:rFonts w:hint="eastAsia" w:ascii="仿宋_GB2312" w:hAnsi="仿宋_GB2312" w:eastAsia="仿宋_GB2312" w:cs="仿宋_GB2312"/>
          <w:kern w:val="0"/>
          <w:sz w:val="32"/>
          <w:szCs w:val="32"/>
          <w:highlight w:val="none"/>
        </w:rPr>
        <w:t>]</w:t>
      </w:r>
      <w:r>
        <w:rPr>
          <w:rFonts w:hint="eastAsia" w:ascii="仿宋_GB2312" w:eastAsia="仿宋_GB2312"/>
          <w:kern w:val="0"/>
          <w:sz w:val="32"/>
          <w:szCs w:val="32"/>
          <w:highlight w:val="none"/>
        </w:rPr>
        <w:t>中，</w:t>
      </w:r>
      <w:r>
        <w:rPr>
          <w:rFonts w:hint="eastAsia" w:ascii="仿宋_GB2312" w:eastAsia="仿宋_GB2312"/>
          <w:spacing w:val="-20"/>
          <w:kern w:val="0"/>
          <w:sz w:val="32"/>
          <w:szCs w:val="32"/>
          <w:highlight w:val="none"/>
          <w:lang w:eastAsia="zh"/>
        </w:rPr>
        <w:t>装备</w:t>
      </w:r>
      <w:r>
        <w:rPr>
          <w:rFonts w:hint="eastAsia" w:ascii="仿宋_GB2312" w:eastAsia="仿宋_GB2312"/>
          <w:spacing w:val="-20"/>
          <w:kern w:val="0"/>
          <w:sz w:val="32"/>
          <w:szCs w:val="32"/>
          <w:highlight w:val="none"/>
        </w:rPr>
        <w:t>制造业</w:t>
      </w:r>
      <w:bookmarkStart w:id="0" w:name="OLE_LINK1"/>
      <w:r>
        <w:rPr>
          <w:rFonts w:ascii="仿宋_GB2312" w:eastAsia="仿宋_GB2312"/>
          <w:spacing w:val="-20"/>
          <w:kern w:val="0"/>
          <w:sz w:val="32"/>
          <w:szCs w:val="32"/>
          <w:highlight w:val="none"/>
          <w:vertAlign w:val="superscript"/>
        </w:rPr>
        <w:t>[4]</w:t>
      </w:r>
      <w:bookmarkEnd w:id="0"/>
      <w:r>
        <w:rPr>
          <w:rFonts w:hint="eastAsia" w:ascii="仿宋_GB2312" w:eastAsia="仿宋_GB2312"/>
          <w:kern w:val="0"/>
          <w:sz w:val="32"/>
          <w:szCs w:val="32"/>
          <w:highlight w:val="none"/>
        </w:rPr>
        <w:t>增加值比上年增长</w:t>
      </w:r>
      <w:r>
        <w:rPr>
          <w:rFonts w:hint="eastAsia" w:ascii="仿宋_GB2312" w:eastAsia="仿宋_GB2312"/>
          <w:kern w:val="0"/>
          <w:sz w:val="32"/>
          <w:szCs w:val="32"/>
          <w:highlight w:val="none"/>
          <w:lang w:val="en-US" w:eastAsia="zh-CN"/>
        </w:rPr>
        <w:t>11.8</w:t>
      </w:r>
      <w:r>
        <w:rPr>
          <w:rFonts w:ascii="仿宋_GB2312" w:eastAsia="仿宋_GB2312"/>
          <w:kern w:val="0"/>
          <w:sz w:val="32"/>
          <w:szCs w:val="32"/>
          <w:highlight w:val="none"/>
        </w:rPr>
        <w:t>%</w:t>
      </w:r>
      <w:r>
        <w:rPr>
          <w:rFonts w:hint="eastAsia" w:ascii="仿宋_GB2312" w:eastAsia="仿宋_GB2312"/>
          <w:sz w:val="32"/>
          <w:szCs w:val="32"/>
          <w:highlight w:val="none"/>
        </w:rPr>
        <w:t>；</w:t>
      </w:r>
      <w:r>
        <w:rPr>
          <w:rFonts w:hint="eastAsia" w:ascii="仿宋_GB2312" w:eastAsia="仿宋_GB2312"/>
          <w:sz w:val="32"/>
          <w:szCs w:val="32"/>
          <w:highlight w:val="none"/>
          <w:lang w:eastAsia="zh"/>
        </w:rPr>
        <w:t>高技术</w:t>
      </w:r>
      <w:r>
        <w:rPr>
          <w:rFonts w:hint="eastAsia" w:ascii="仿宋_GB2312" w:eastAsia="仿宋_GB2312"/>
          <w:sz w:val="32"/>
          <w:szCs w:val="32"/>
          <w:highlight w:val="none"/>
        </w:rPr>
        <w:t>制造业</w:t>
      </w:r>
      <w:r>
        <w:rPr>
          <w:rStyle w:val="14"/>
          <w:rFonts w:hint="eastAsia" w:ascii="仿宋_GB2312" w:hAnsi="仿宋_GB2312" w:eastAsia="仿宋_GB2312" w:cs="仿宋_GB2312"/>
          <w:kern w:val="0"/>
          <w:sz w:val="32"/>
          <w:szCs w:val="32"/>
          <w:highlight w:val="none"/>
        </w:rPr>
        <w:endnoteReference w:id="3" w:customMarkFollows="1"/>
        <w:t>[</w:t>
      </w:r>
      <w:r>
        <w:rPr>
          <w:rFonts w:ascii="仿宋_GB2312" w:hAnsi="仿宋_GB2312" w:eastAsia="仿宋_GB2312" w:cs="仿宋_GB2312"/>
          <w:kern w:val="0"/>
          <w:sz w:val="32"/>
          <w:szCs w:val="32"/>
          <w:highlight w:val="none"/>
          <w:vertAlign w:val="superscript"/>
        </w:rPr>
        <w:t>5</w:t>
      </w:r>
      <w:r>
        <w:rPr>
          <w:rStyle w:val="14"/>
          <w:rFonts w:hint="eastAsia" w:ascii="仿宋_GB2312" w:hAnsi="仿宋_GB2312" w:eastAsia="仿宋_GB2312" w:cs="仿宋_GB2312"/>
          <w:kern w:val="0"/>
          <w:sz w:val="32"/>
          <w:szCs w:val="32"/>
          <w:highlight w:val="none"/>
        </w:rPr>
        <w:t>]</w:t>
      </w:r>
      <w:r>
        <w:rPr>
          <w:rFonts w:hint="eastAsia" w:ascii="仿宋_GB2312" w:eastAsia="仿宋_GB2312"/>
          <w:sz w:val="32"/>
          <w:szCs w:val="32"/>
          <w:highlight w:val="none"/>
        </w:rPr>
        <w:t>增加值增长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8.4</w:t>
      </w:r>
      <w:r>
        <w:rPr>
          <w:rFonts w:ascii="仿宋_GB2312" w:eastAsia="仿宋_GB2312"/>
          <w:sz w:val="32"/>
          <w:szCs w:val="32"/>
          <w:highlight w:val="none"/>
        </w:rPr>
        <w:t>%</w:t>
      </w:r>
      <w:r>
        <w:rPr>
          <w:rFonts w:hint="eastAsia" w:ascii="仿宋_GB2312" w:eastAsia="仿宋_GB2312"/>
          <w:sz w:val="32"/>
          <w:szCs w:val="32"/>
          <w:highlight w:val="none"/>
        </w:rPr>
        <w:t>。</w:t>
      </w:r>
      <w:r>
        <w:rPr>
          <w:rFonts w:hint="eastAsia" w:ascii="仿宋_GB2312" w:eastAsia="仿宋_GB2312"/>
          <w:sz w:val="32"/>
          <w:szCs w:val="32"/>
          <w:highlight w:val="none"/>
          <w:lang w:eastAsia="zh"/>
        </w:rPr>
        <w:t>新能源汽车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eastAsia="仿宋_GB2312"/>
          <w:sz w:val="32"/>
          <w:szCs w:val="32"/>
          <w:highlight w:val="none"/>
          <w:lang w:eastAsia="zh"/>
        </w:rPr>
        <w:t>锂离子电池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eastAsia="仿宋_GB2312"/>
          <w:sz w:val="32"/>
          <w:szCs w:val="32"/>
          <w:highlight w:val="none"/>
          <w:lang w:eastAsia="zh"/>
        </w:rPr>
        <w:t>集成电路圆片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eastAsia="仿宋_GB2312"/>
          <w:sz w:val="32"/>
          <w:szCs w:val="32"/>
          <w:highlight w:val="none"/>
          <w:lang w:eastAsia="zh"/>
        </w:rPr>
        <w:t>虚拟现实设备产量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比上年分别增长</w:t>
      </w:r>
      <w:r>
        <w:rPr>
          <w:rFonts w:hint="default" w:ascii="仿宋_GB2312" w:eastAsia="仿宋_GB2312"/>
          <w:sz w:val="32"/>
          <w:szCs w:val="32"/>
          <w:highlight w:val="none"/>
          <w:lang w:val="en-US" w:eastAsia="zh-CN"/>
        </w:rPr>
        <w:t>242.3%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、61.3</w:t>
      </w:r>
      <w:r>
        <w:rPr>
          <w:rFonts w:ascii="仿宋_GB2312" w:eastAsia="仿宋_GB2312"/>
          <w:sz w:val="32"/>
          <w:szCs w:val="32"/>
          <w:highlight w:val="none"/>
        </w:rPr>
        <w:t>%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51.9</w:t>
      </w:r>
      <w:r>
        <w:rPr>
          <w:rFonts w:ascii="仿宋_GB2312" w:eastAsia="仿宋_GB2312"/>
          <w:sz w:val="32"/>
          <w:szCs w:val="32"/>
          <w:highlight w:val="none"/>
        </w:rPr>
        <w:t>%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29.0</w:t>
      </w:r>
      <w:r>
        <w:rPr>
          <w:rFonts w:ascii="仿宋_GB2312" w:eastAsia="仿宋_GB2312"/>
          <w:sz w:val="32"/>
          <w:szCs w:val="32"/>
          <w:highlight w:val="none"/>
        </w:rPr>
        <w:t>%</w:t>
      </w:r>
      <w:r>
        <w:rPr>
          <w:rFonts w:hint="eastAsia" w:ascii="仿宋_GB2312" w:eastAsia="仿宋_GB2312"/>
          <w:sz w:val="32"/>
          <w:szCs w:val="32"/>
          <w:highlight w:val="none"/>
          <w:lang w:eastAsia="zh"/>
        </w:rPr>
        <w:t>。</w:t>
      </w:r>
      <w:r>
        <w:rPr>
          <w:rFonts w:hint="eastAsia" w:ascii="仿宋_GB2312" w:eastAsia="仿宋_GB2312"/>
          <w:sz w:val="32"/>
          <w:szCs w:val="32"/>
          <w:lang w:eastAsia="zh"/>
        </w:rPr>
        <w:t>规模以上服务业</w:t>
      </w:r>
      <w:r>
        <w:rPr>
          <w:rStyle w:val="14"/>
          <w:rFonts w:hint="eastAsia" w:ascii="仿宋_GB2312" w:hAnsi="仿宋_GB2312" w:eastAsia="仿宋_GB2312" w:cs="仿宋_GB2312"/>
          <w:kern w:val="0"/>
          <w:sz w:val="32"/>
          <w:szCs w:val="32"/>
        </w:rPr>
        <w:endnoteReference w:id="4" w:customMarkFollows="1"/>
        <w:t>[</w:t>
      </w:r>
      <w:r>
        <w:rPr>
          <w:rFonts w:ascii="仿宋_GB2312" w:hAnsi="仿宋_GB2312" w:eastAsia="仿宋_GB2312" w:cs="仿宋_GB2312"/>
          <w:kern w:val="0"/>
          <w:sz w:val="32"/>
          <w:szCs w:val="32"/>
          <w:vertAlign w:val="superscript"/>
        </w:rPr>
        <w:t>6</w:t>
      </w:r>
      <w:r>
        <w:rPr>
          <w:rStyle w:val="14"/>
          <w:rFonts w:hint="eastAsia" w:ascii="仿宋_GB2312" w:hAnsi="仿宋_GB2312" w:eastAsia="仿宋_GB2312" w:cs="仿宋_GB2312"/>
          <w:kern w:val="0"/>
          <w:sz w:val="32"/>
          <w:szCs w:val="32"/>
        </w:rPr>
        <w:t>]</w:t>
      </w:r>
      <w:r>
        <w:rPr>
          <w:rFonts w:hint="eastAsia" w:ascii="仿宋_GB2312" w:eastAsia="仿宋_GB2312"/>
          <w:sz w:val="32"/>
          <w:szCs w:val="32"/>
          <w:lang w:eastAsia="zh"/>
        </w:rPr>
        <w:t>中，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互联网和相关服务、科技推广和应用服务业营业收入分别增长</w:t>
      </w:r>
      <w:r>
        <w:rPr>
          <w:rFonts w:hint="default" w:ascii="仿宋_GB2312" w:eastAsia="仿宋_GB2312"/>
          <w:sz w:val="32"/>
          <w:szCs w:val="32"/>
          <w:lang w:val="en-US" w:eastAsia="zh-CN"/>
        </w:rPr>
        <w:t>38.4%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default" w:ascii="仿宋_GB2312" w:eastAsia="仿宋_GB2312"/>
          <w:sz w:val="32"/>
          <w:szCs w:val="32"/>
          <w:lang w:val="en-US" w:eastAsia="zh-CN"/>
        </w:rPr>
        <w:t>22.4%</w:t>
      </w:r>
      <w:r>
        <w:rPr>
          <w:rFonts w:hint="eastAsia" w:ascii="仿宋_GB2312" w:eastAsia="仿宋_GB2312"/>
          <w:sz w:val="32"/>
          <w:szCs w:val="32"/>
          <w:lang w:eastAsia="zh"/>
        </w:rPr>
        <w:t>。限额以上单位中，通过公共网络实现的商品零售额比上年增长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15.5</w:t>
      </w:r>
      <w:r>
        <w:rPr>
          <w:rFonts w:hint="eastAsia" w:ascii="仿宋_GB2312" w:eastAsia="仿宋_GB2312"/>
          <w:sz w:val="32"/>
          <w:szCs w:val="32"/>
          <w:lang w:eastAsia="zh"/>
        </w:rPr>
        <w:t>%。</w:t>
      </w:r>
      <w:r>
        <w:rPr>
          <w:rFonts w:hint="eastAsia" w:ascii="仿宋_GB2312" w:eastAsia="仿宋_GB2312"/>
          <w:sz w:val="32"/>
          <w:szCs w:val="32"/>
          <w:lang w:eastAsia="zh" w:bidi="ar"/>
        </w:rPr>
        <w:t>固定资产投资（不含农户）中，设备工器具购置投资比上年增长</w:t>
      </w:r>
      <w:r>
        <w:rPr>
          <w:rFonts w:hint="default" w:ascii="仿宋_GB2312" w:eastAsia="仿宋_GB2312"/>
          <w:sz w:val="32"/>
          <w:szCs w:val="32"/>
          <w:lang w:val="en-US" w:bidi="ar"/>
        </w:rPr>
        <w:t>6.5</w:t>
      </w:r>
      <w:r>
        <w:rPr>
          <w:rFonts w:hint="eastAsia" w:ascii="仿宋_GB2312" w:eastAsia="仿宋_GB2312"/>
          <w:sz w:val="32"/>
          <w:szCs w:val="32"/>
          <w:lang w:eastAsia="zh" w:bidi="ar"/>
        </w:rPr>
        <w:t>%。</w:t>
      </w:r>
      <w:r>
        <w:rPr>
          <w:rFonts w:hint="eastAsia" w:ascii="仿宋_GB2312" w:eastAsia="仿宋_GB2312"/>
          <w:sz w:val="32"/>
          <w:szCs w:val="32"/>
        </w:rPr>
        <w:t>全年新登记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经营</w:t>
      </w:r>
      <w:r>
        <w:rPr>
          <w:rFonts w:hint="eastAsia" w:ascii="仿宋_GB2312" w:eastAsia="仿宋_GB2312"/>
          <w:sz w:val="32"/>
          <w:szCs w:val="32"/>
        </w:rPr>
        <w:t>主体</w:t>
      </w:r>
      <w:r>
        <w:rPr>
          <w:rFonts w:hint="default" w:ascii="仿宋_GB2312" w:eastAsia="仿宋_GB2312"/>
          <w:sz w:val="32"/>
          <w:szCs w:val="32"/>
          <w:lang w:val="en-US"/>
        </w:rPr>
        <w:t>23.5</w:t>
      </w:r>
      <w:r>
        <w:rPr>
          <w:rFonts w:hint="eastAsia" w:ascii="仿宋_GB2312" w:eastAsia="仿宋_GB2312"/>
          <w:sz w:val="32"/>
          <w:szCs w:val="32"/>
        </w:rPr>
        <w:t>万户，年末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经营</w:t>
      </w:r>
      <w:r>
        <w:rPr>
          <w:rFonts w:hint="eastAsia" w:ascii="仿宋_GB2312" w:eastAsia="仿宋_GB2312"/>
          <w:sz w:val="32"/>
          <w:szCs w:val="32"/>
        </w:rPr>
        <w:t>主体达</w:t>
      </w:r>
      <w:r>
        <w:rPr>
          <w:rFonts w:hint="default" w:ascii="仿宋_GB2312" w:eastAsia="仿宋_GB2312"/>
          <w:sz w:val="32"/>
          <w:szCs w:val="32"/>
          <w:lang w:val="en-US"/>
        </w:rPr>
        <w:t>210.1</w:t>
      </w:r>
      <w:r>
        <w:rPr>
          <w:rFonts w:hint="eastAsia" w:ascii="仿宋_GB2312" w:eastAsia="仿宋_GB2312"/>
          <w:sz w:val="32"/>
          <w:szCs w:val="32"/>
        </w:rPr>
        <w:t>万户。</w:t>
      </w:r>
    </w:p>
    <w:p>
      <w:pPr>
        <w:keepNext w:val="0"/>
        <w:keepLines w:val="0"/>
        <w:pageBreakBefore w:val="0"/>
        <w:widowControl/>
        <w:kinsoku/>
        <w:overflowPunct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Times New Roman" w:eastAsia="仿宋_GB2312" w:cs="Times New Roman"/>
          <w:color w:val="auto"/>
          <w:kern w:val="2"/>
          <w:sz w:val="32"/>
          <w:szCs w:val="32"/>
          <w:lang w:val="zh-CN"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lang w:bidi="ar"/>
        </w:rPr>
        <w:t>绿色转型步伐加快。全年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bidi="ar"/>
        </w:rPr>
        <w:t>非化石</w:t>
      </w:r>
      <w:r>
        <w:rPr>
          <w:rStyle w:val="14"/>
          <w:rFonts w:hint="eastAsia" w:ascii="仿宋_GB2312" w:hAnsi="仿宋_GB2312" w:eastAsia="仿宋_GB2312" w:cs="仿宋_GB2312"/>
          <w:kern w:val="0"/>
          <w:sz w:val="32"/>
          <w:szCs w:val="32"/>
          <w:highlight w:val="none"/>
        </w:rPr>
        <w:endnoteReference w:id="5" w:customMarkFollows="1"/>
        <w:t>[</w:t>
      </w:r>
      <w:r>
        <w:rPr>
          <w:rFonts w:hint="default" w:ascii="仿宋_GB2312" w:hAnsi="仿宋_GB2312" w:eastAsia="仿宋_GB2312" w:cs="仿宋_GB2312"/>
          <w:kern w:val="0"/>
          <w:sz w:val="32"/>
          <w:szCs w:val="32"/>
          <w:highlight w:val="none"/>
          <w:vertAlign w:val="superscript"/>
          <w:lang w:val="en-US"/>
        </w:rPr>
        <w:t>7</w:t>
      </w:r>
      <w:r>
        <w:rPr>
          <w:rStyle w:val="14"/>
          <w:rFonts w:hint="eastAsia" w:ascii="仿宋_GB2312" w:hAnsi="仿宋_GB2312" w:eastAsia="仿宋_GB2312" w:cs="仿宋_GB2312"/>
          <w:kern w:val="0"/>
          <w:sz w:val="32"/>
          <w:szCs w:val="32"/>
          <w:highlight w:val="none"/>
        </w:rPr>
        <w:t>]</w:t>
      </w:r>
      <w:r>
        <w:rPr>
          <w:rFonts w:hint="eastAsia" w:ascii="仿宋_GB2312" w:eastAsia="仿宋_GB2312"/>
          <w:color w:val="auto"/>
          <w:sz w:val="32"/>
          <w:szCs w:val="32"/>
          <w:lang w:bidi="ar"/>
        </w:rPr>
        <w:t>能源发电量99.5亿千瓦时，比上年增长32</w:t>
      </w:r>
      <w:r>
        <w:rPr>
          <w:rFonts w:hint="eastAsia" w:ascii="仿宋_GB2312" w:eastAsia="仿宋_GB2312"/>
          <w:color w:val="auto"/>
          <w:sz w:val="32"/>
          <w:szCs w:val="32"/>
          <w:lang w:val="en-US" w:bidi="ar"/>
        </w:rPr>
        <w:t>.0</w:t>
      </w:r>
      <w:r>
        <w:rPr>
          <w:rFonts w:hint="eastAsia" w:ascii="仿宋_GB2312" w:eastAsia="仿宋_GB2312"/>
          <w:color w:val="auto"/>
          <w:sz w:val="32"/>
          <w:szCs w:val="32"/>
          <w:lang w:bidi="ar"/>
        </w:rPr>
        <w:t>%，占全市发电量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 w:bidi="ar"/>
        </w:rPr>
        <w:t>比重为</w:t>
      </w:r>
      <w:r>
        <w:rPr>
          <w:rFonts w:hint="eastAsia" w:ascii="仿宋_GB2312" w:eastAsia="仿宋_GB2312"/>
          <w:color w:val="auto"/>
          <w:sz w:val="32"/>
          <w:szCs w:val="32"/>
          <w:lang w:bidi="ar"/>
        </w:rPr>
        <w:t>34.5%，比上年提高7.4个百分点</w:t>
      </w:r>
      <w:r>
        <w:rPr>
          <w:rFonts w:hint="eastAsia" w:ascii="仿宋_GB2312" w:eastAsia="仿宋_GB2312"/>
          <w:sz w:val="32"/>
          <w:szCs w:val="32"/>
          <w:lang w:eastAsia="zh-CN" w:bidi="ar"/>
        </w:rPr>
        <w:t>。</w:t>
      </w:r>
      <w:r>
        <w:rPr>
          <w:rFonts w:hint="eastAsia" w:ascii="仿宋_GB2312" w:eastAsia="仿宋_GB2312"/>
          <w:color w:val="auto"/>
          <w:sz w:val="32"/>
          <w:szCs w:val="32"/>
          <w:lang w:bidi="ar"/>
        </w:rPr>
        <w:t>非化石能源发电装机容量为794.5万千瓦，</w:t>
      </w:r>
      <w:r>
        <w:rPr>
          <w:rFonts w:hint="eastAsia" w:ascii="仿宋_GB2312" w:eastAsia="仿宋_GB2312"/>
          <w:sz w:val="32"/>
          <w:szCs w:val="32"/>
          <w:lang w:val="en-US" w:eastAsia="zh-CN" w:bidi="ar"/>
        </w:rPr>
        <w:t>比上年</w:t>
      </w:r>
      <w:r>
        <w:rPr>
          <w:rFonts w:hint="eastAsia" w:ascii="仿宋_GB2312" w:eastAsia="仿宋_GB2312"/>
          <w:color w:val="auto"/>
          <w:sz w:val="32"/>
          <w:szCs w:val="32"/>
          <w:lang w:bidi="ar"/>
        </w:rPr>
        <w:t>增长36</w:t>
      </w:r>
      <w:r>
        <w:rPr>
          <w:rFonts w:hint="eastAsia" w:ascii="仿宋_GB2312" w:eastAsia="仿宋_GB2312"/>
          <w:color w:val="auto"/>
          <w:sz w:val="32"/>
          <w:szCs w:val="32"/>
          <w:lang w:val="en-US" w:bidi="ar"/>
        </w:rPr>
        <w:t>.0</w:t>
      </w:r>
      <w:r>
        <w:rPr>
          <w:rFonts w:hint="eastAsia" w:ascii="仿宋_GB2312" w:eastAsia="仿宋_GB2312"/>
          <w:color w:val="auto"/>
          <w:sz w:val="32"/>
          <w:szCs w:val="32"/>
          <w:lang w:bidi="ar"/>
        </w:rPr>
        <w:t>%</w:t>
      </w:r>
      <w:r>
        <w:rPr>
          <w:rFonts w:hint="eastAsia" w:ascii="仿宋_GB2312" w:eastAsia="仿宋_GB2312"/>
          <w:color w:val="auto"/>
          <w:sz w:val="32"/>
          <w:szCs w:val="32"/>
          <w:lang w:eastAsia="zh-CN" w:bidi="ar"/>
        </w:rPr>
        <w:t>，</w:t>
      </w:r>
      <w:r>
        <w:rPr>
          <w:rFonts w:hint="eastAsia" w:ascii="仿宋_GB2312" w:eastAsia="仿宋_GB2312"/>
          <w:color w:val="auto"/>
          <w:sz w:val="32"/>
          <w:szCs w:val="32"/>
          <w:lang w:bidi="ar"/>
        </w:rPr>
        <w:t>占全部发电装机容量比重为58.4%，比上年提高7.8个百分点。新增绿色建筑、装配式建筑</w:t>
      </w:r>
      <w:r>
        <w:rPr>
          <w:rFonts w:hint="eastAsia" w:ascii="仿宋_GB2312" w:eastAsia="仿宋_GB2312"/>
          <w:sz w:val="32"/>
          <w:szCs w:val="32"/>
          <w:lang w:val="en-US"/>
        </w:rPr>
        <w:t>1727</w:t>
      </w:r>
      <w:r>
        <w:rPr>
          <w:rFonts w:hint="eastAsia" w:ascii="仿宋_GB2312" w:eastAsia="仿宋_GB2312"/>
          <w:color w:val="auto"/>
          <w:sz w:val="32"/>
          <w:szCs w:val="32"/>
          <w:lang w:bidi="ar"/>
        </w:rPr>
        <w:t>万平方米。新增国家级绿色制造单位</w:t>
      </w:r>
      <w:r>
        <w:rPr>
          <w:rFonts w:hint="eastAsia" w:ascii="仿宋_GB2312" w:eastAsia="仿宋_GB2312"/>
          <w:sz w:val="32"/>
          <w:szCs w:val="32"/>
          <w:lang w:val="en-US"/>
        </w:rPr>
        <w:t>16</w:t>
      </w:r>
      <w:r>
        <w:rPr>
          <w:rFonts w:hint="eastAsia" w:ascii="仿宋_GB2312" w:eastAsia="仿宋_GB2312"/>
          <w:color w:val="auto"/>
          <w:sz w:val="32"/>
          <w:szCs w:val="32"/>
          <w:lang w:bidi="ar"/>
        </w:rPr>
        <w:t>家。</w:t>
      </w:r>
    </w:p>
    <w:p>
      <w:pPr>
        <w:pageBreakBefore w:val="0"/>
        <w:kinsoku/>
        <w:overflowPunct/>
        <w:autoSpaceDE w:val="0"/>
        <w:autoSpaceDN w:val="0"/>
        <w:bidi w:val="0"/>
        <w:adjustRightInd w:val="0"/>
        <w:snapToGrid/>
        <w:spacing w:line="560" w:lineRule="exact"/>
        <w:jc w:val="center"/>
        <w:textAlignment w:val="auto"/>
        <w:rPr>
          <w:rFonts w:hint="eastAsia" w:ascii="黑体" w:hAnsi="黑体" w:eastAsia="黑体" w:cs="仿宋_GB2312"/>
          <w:color w:val="000000"/>
          <w:kern w:val="0"/>
          <w:sz w:val="32"/>
          <w:szCs w:val="32"/>
          <w:lang w:val="zh-CN"/>
        </w:rPr>
      </w:pPr>
    </w:p>
    <w:p>
      <w:pPr>
        <w:pageBreakBefore w:val="0"/>
        <w:kinsoku/>
        <w:overflowPunct/>
        <w:autoSpaceDE w:val="0"/>
        <w:autoSpaceDN w:val="0"/>
        <w:bidi w:val="0"/>
        <w:adjustRightInd w:val="0"/>
        <w:snapToGrid/>
        <w:spacing w:line="560" w:lineRule="exact"/>
        <w:jc w:val="center"/>
        <w:textAlignment w:val="auto"/>
        <w:rPr>
          <w:rFonts w:ascii="黑体" w:hAnsi="黑体" w:eastAsia="黑体" w:cs="宋体"/>
          <w:kern w:val="0"/>
          <w:sz w:val="28"/>
          <w:szCs w:val="28"/>
        </w:rPr>
      </w:pPr>
      <w:r>
        <w:rPr>
          <w:rFonts w:hint="eastAsia" w:ascii="黑体" w:hAnsi="黑体" w:eastAsia="黑体" w:cs="仿宋_GB2312"/>
          <w:color w:val="000000"/>
          <w:kern w:val="0"/>
          <w:sz w:val="32"/>
          <w:szCs w:val="32"/>
          <w:lang w:val="zh-CN"/>
        </w:rPr>
        <w:t>二、农  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bookmarkStart w:id="1" w:name="OLE_LINK2"/>
      <w:r>
        <w:rPr>
          <w:rFonts w:hint="eastAsia" w:ascii="仿宋_GB2312" w:eastAsia="仿宋_GB2312"/>
          <w:sz w:val="32"/>
          <w:szCs w:val="32"/>
        </w:rPr>
        <w:t>全年农林牧渔业总产值1</w:t>
      </w:r>
      <w:r>
        <w:rPr>
          <w:rFonts w:ascii="仿宋_GB2312" w:eastAsia="仿宋_GB2312"/>
          <w:sz w:val="32"/>
          <w:szCs w:val="32"/>
        </w:rPr>
        <w:t>006.2</w:t>
      </w:r>
      <w:r>
        <w:rPr>
          <w:rFonts w:hint="eastAsia" w:ascii="仿宋_GB2312" w:eastAsia="仿宋_GB2312"/>
          <w:sz w:val="32"/>
          <w:szCs w:val="32"/>
        </w:rPr>
        <w:t>亿元，比上年增长4</w:t>
      </w:r>
      <w:r>
        <w:rPr>
          <w:rFonts w:ascii="仿宋_GB2312" w:eastAsia="仿宋_GB2312"/>
          <w:sz w:val="32"/>
          <w:szCs w:val="32"/>
        </w:rPr>
        <w:t>.5</w:t>
      </w:r>
      <w:r>
        <w:rPr>
          <w:rFonts w:hint="eastAsia" w:ascii="仿宋_GB2312" w:eastAsia="仿宋_GB2312"/>
          <w:sz w:val="32"/>
          <w:szCs w:val="32"/>
        </w:rPr>
        <w:t>%。其中，种植业产值4</w:t>
      </w:r>
      <w:r>
        <w:rPr>
          <w:rFonts w:ascii="仿宋_GB2312" w:eastAsia="仿宋_GB2312"/>
          <w:sz w:val="32"/>
          <w:szCs w:val="32"/>
        </w:rPr>
        <w:t>98</w:t>
      </w:r>
      <w:r>
        <w:rPr>
          <w:rFonts w:hint="default" w:ascii="仿宋_GB2312" w:eastAsia="仿宋_GB2312"/>
          <w:sz w:val="32"/>
          <w:szCs w:val="32"/>
          <w:lang w:val="en-US"/>
        </w:rPr>
        <w:t>.0</w:t>
      </w:r>
      <w:r>
        <w:rPr>
          <w:rFonts w:hint="eastAsia" w:ascii="仿宋_GB2312" w:eastAsia="仿宋_GB2312"/>
          <w:sz w:val="32"/>
          <w:szCs w:val="32"/>
        </w:rPr>
        <w:t>亿元，增长3</w:t>
      </w:r>
      <w:r>
        <w:rPr>
          <w:rFonts w:ascii="仿宋_GB2312" w:eastAsia="仿宋_GB2312"/>
          <w:sz w:val="32"/>
          <w:szCs w:val="32"/>
        </w:rPr>
        <w:t>.1</w:t>
      </w:r>
      <w:r>
        <w:rPr>
          <w:rFonts w:hint="eastAsia" w:ascii="仿宋_GB2312" w:eastAsia="仿宋_GB2312"/>
          <w:sz w:val="32"/>
          <w:szCs w:val="32"/>
        </w:rPr>
        <w:t>%；林业产值1</w:t>
      </w:r>
      <w:r>
        <w:rPr>
          <w:rFonts w:ascii="仿宋_GB2312" w:eastAsia="仿宋_GB2312"/>
          <w:sz w:val="32"/>
          <w:szCs w:val="32"/>
        </w:rPr>
        <w:t>.6</w:t>
      </w:r>
      <w:r>
        <w:rPr>
          <w:rFonts w:hint="eastAsia" w:ascii="仿宋_GB2312" w:eastAsia="仿宋_GB2312"/>
          <w:sz w:val="32"/>
          <w:szCs w:val="32"/>
        </w:rPr>
        <w:t>亿元，增长2</w:t>
      </w:r>
      <w:r>
        <w:rPr>
          <w:rFonts w:ascii="仿宋_GB2312" w:eastAsia="仿宋_GB2312"/>
          <w:sz w:val="32"/>
          <w:szCs w:val="32"/>
        </w:rPr>
        <w:t>.1</w:t>
      </w:r>
      <w:r>
        <w:rPr>
          <w:rFonts w:hint="eastAsia" w:ascii="仿宋_GB2312" w:eastAsia="仿宋_GB2312"/>
          <w:sz w:val="32"/>
          <w:szCs w:val="32"/>
        </w:rPr>
        <w:t>%；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畜</w:t>
      </w:r>
      <w:r>
        <w:rPr>
          <w:rFonts w:hint="eastAsia" w:ascii="仿宋_GB2312" w:eastAsia="仿宋_GB2312"/>
          <w:sz w:val="32"/>
          <w:szCs w:val="32"/>
        </w:rPr>
        <w:t>牧业产值1</w:t>
      </w:r>
      <w:r>
        <w:rPr>
          <w:rFonts w:ascii="仿宋_GB2312" w:eastAsia="仿宋_GB2312"/>
          <w:sz w:val="32"/>
          <w:szCs w:val="32"/>
        </w:rPr>
        <w:t>77.6</w:t>
      </w:r>
      <w:r>
        <w:rPr>
          <w:rFonts w:hint="eastAsia" w:ascii="仿宋_GB2312" w:eastAsia="仿宋_GB2312"/>
          <w:sz w:val="32"/>
          <w:szCs w:val="32"/>
        </w:rPr>
        <w:t>亿元，增长5</w:t>
      </w:r>
      <w:r>
        <w:rPr>
          <w:rFonts w:ascii="仿宋_GB2312" w:eastAsia="仿宋_GB2312"/>
          <w:sz w:val="32"/>
          <w:szCs w:val="32"/>
        </w:rPr>
        <w:t>.9</w:t>
      </w:r>
      <w:r>
        <w:rPr>
          <w:rFonts w:hint="eastAsia" w:ascii="仿宋_GB2312" w:eastAsia="仿宋_GB2312"/>
          <w:sz w:val="32"/>
          <w:szCs w:val="32"/>
        </w:rPr>
        <w:t>%；渔业产值2</w:t>
      </w:r>
      <w:r>
        <w:rPr>
          <w:rFonts w:ascii="仿宋_GB2312" w:eastAsia="仿宋_GB2312"/>
          <w:sz w:val="32"/>
          <w:szCs w:val="32"/>
        </w:rPr>
        <w:t>41.7</w:t>
      </w:r>
      <w:r>
        <w:rPr>
          <w:rFonts w:hint="eastAsia" w:ascii="仿宋_GB2312" w:eastAsia="仿宋_GB2312"/>
          <w:sz w:val="32"/>
          <w:szCs w:val="32"/>
        </w:rPr>
        <w:t>亿元，增长4</w:t>
      </w:r>
      <w:r>
        <w:rPr>
          <w:rFonts w:ascii="仿宋_GB2312" w:eastAsia="仿宋_GB2312"/>
          <w:sz w:val="32"/>
          <w:szCs w:val="32"/>
        </w:rPr>
        <w:t>.7</w:t>
      </w:r>
      <w:r>
        <w:rPr>
          <w:rFonts w:hint="eastAsia" w:ascii="仿宋_GB2312" w:eastAsia="仿宋_GB2312"/>
          <w:sz w:val="32"/>
          <w:szCs w:val="32"/>
        </w:rPr>
        <w:t>%；农林牧渔专业及辅助性活动产值8</w:t>
      </w:r>
      <w:r>
        <w:rPr>
          <w:rFonts w:ascii="仿宋_GB2312" w:eastAsia="仿宋_GB2312"/>
          <w:sz w:val="32"/>
          <w:szCs w:val="32"/>
        </w:rPr>
        <w:t>7.4</w:t>
      </w:r>
      <w:r>
        <w:rPr>
          <w:rFonts w:hint="eastAsia" w:ascii="仿宋_GB2312" w:eastAsia="仿宋_GB2312"/>
          <w:sz w:val="32"/>
          <w:szCs w:val="32"/>
        </w:rPr>
        <w:t>亿元，增长9</w:t>
      </w:r>
      <w:r>
        <w:rPr>
          <w:rFonts w:ascii="仿宋_GB2312" w:eastAsia="仿宋_GB2312"/>
          <w:sz w:val="32"/>
          <w:szCs w:val="32"/>
        </w:rPr>
        <w:t>.7</w:t>
      </w:r>
      <w:r>
        <w:rPr>
          <w:rFonts w:hint="eastAsia" w:ascii="仿宋_GB2312" w:eastAsia="仿宋_GB2312"/>
          <w:sz w:val="32"/>
          <w:szCs w:val="32"/>
        </w:rPr>
        <w:t>%。</w:t>
      </w:r>
    </w:p>
    <w:bookmarkEnd w:id="1"/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eastAsia="仿宋_GB2312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全年粮食种植面积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48.4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万公顷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eastAsia="仿宋_GB2312"/>
          <w:sz w:val="32"/>
          <w:szCs w:val="32"/>
          <w:highlight w:val="none"/>
        </w:rPr>
        <w:t>蔬菜种植面积</w:t>
      </w:r>
      <w:r>
        <w:rPr>
          <w:rFonts w:hint="default" w:ascii="仿宋_GB2312" w:eastAsia="仿宋_GB2312"/>
          <w:sz w:val="32"/>
          <w:szCs w:val="32"/>
          <w:highlight w:val="none"/>
          <w:lang w:val="en-US"/>
        </w:rPr>
        <w:t>11.4</w:t>
      </w:r>
      <w:r>
        <w:rPr>
          <w:rFonts w:hint="eastAsia" w:ascii="仿宋_GB2312" w:eastAsia="仿宋_GB2312"/>
          <w:sz w:val="32"/>
          <w:szCs w:val="32"/>
          <w:highlight w:val="none"/>
        </w:rPr>
        <w:t>万公顷，油料种植面积</w:t>
      </w:r>
      <w:r>
        <w:rPr>
          <w:rFonts w:hint="default" w:ascii="仿宋_GB2312" w:eastAsia="仿宋_GB2312"/>
          <w:sz w:val="32"/>
          <w:szCs w:val="32"/>
          <w:highlight w:val="none"/>
          <w:lang w:val="en-US"/>
        </w:rPr>
        <w:t>18.9</w:t>
      </w:r>
      <w:r>
        <w:rPr>
          <w:rFonts w:hint="eastAsia" w:ascii="仿宋_GB2312" w:eastAsia="仿宋_GB2312"/>
          <w:sz w:val="32"/>
          <w:szCs w:val="32"/>
          <w:highlight w:val="none"/>
        </w:rPr>
        <w:t>万公顷。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全年粮食产量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321.4</w:t>
      </w:r>
      <w:r>
        <w:rPr>
          <w:rFonts w:hint="eastAsia" w:ascii="仿宋_GB2312" w:eastAsia="仿宋_GB2312"/>
          <w:sz w:val="32"/>
          <w:szCs w:val="32"/>
          <w:highlight w:val="none"/>
        </w:rPr>
        <w:t>万吨，比上年增长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0.01</w:t>
      </w:r>
      <w:r>
        <w:rPr>
          <w:rFonts w:hint="eastAsia" w:ascii="仿宋_GB2312" w:eastAsia="仿宋_GB2312"/>
          <w:sz w:val="32"/>
          <w:szCs w:val="32"/>
          <w:highlight w:val="none"/>
        </w:rPr>
        <w:t>%；</w:t>
      </w:r>
      <w:r>
        <w:rPr>
          <w:rFonts w:hint="eastAsia" w:ascii="仿宋_GB2312" w:eastAsia="仿宋_GB2312"/>
          <w:sz w:val="32"/>
          <w:szCs w:val="32"/>
        </w:rPr>
        <w:t>油料产量</w:t>
      </w:r>
      <w:r>
        <w:rPr>
          <w:rFonts w:hint="default" w:ascii="仿宋_GB2312" w:eastAsia="仿宋_GB2312"/>
          <w:sz w:val="32"/>
          <w:szCs w:val="32"/>
          <w:lang w:val="en-US"/>
        </w:rPr>
        <w:t>31.9</w:t>
      </w:r>
      <w:r>
        <w:rPr>
          <w:rFonts w:hint="eastAsia" w:ascii="仿宋_GB2312" w:eastAsia="仿宋_GB2312"/>
          <w:sz w:val="32"/>
          <w:szCs w:val="32"/>
        </w:rPr>
        <w:t>万吨，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下降</w:t>
      </w:r>
      <w:r>
        <w:rPr>
          <w:rFonts w:hint="default" w:ascii="仿宋_GB2312" w:eastAsia="仿宋_GB2312"/>
          <w:sz w:val="32"/>
          <w:szCs w:val="32"/>
          <w:lang w:val="en-US" w:eastAsia="zh-CN"/>
        </w:rPr>
        <w:t>1.6</w:t>
      </w:r>
      <w:r>
        <w:rPr>
          <w:rFonts w:hint="eastAsia" w:ascii="仿宋_GB2312" w:eastAsia="仿宋_GB2312"/>
          <w:sz w:val="32"/>
          <w:szCs w:val="32"/>
        </w:rPr>
        <w:t>%；蔬菜及食用菌产量7</w:t>
      </w:r>
      <w:r>
        <w:rPr>
          <w:rFonts w:ascii="仿宋_GB2312" w:eastAsia="仿宋_GB2312"/>
          <w:sz w:val="32"/>
          <w:szCs w:val="32"/>
        </w:rPr>
        <w:t>26.8</w:t>
      </w:r>
      <w:r>
        <w:rPr>
          <w:rFonts w:hint="eastAsia" w:ascii="仿宋_GB2312" w:eastAsia="仿宋_GB2312"/>
          <w:sz w:val="32"/>
          <w:szCs w:val="32"/>
        </w:rPr>
        <w:t>万吨，增长3</w:t>
      </w:r>
      <w:r>
        <w:rPr>
          <w:rFonts w:ascii="仿宋_GB2312" w:eastAsia="仿宋_GB2312"/>
          <w:sz w:val="32"/>
          <w:szCs w:val="32"/>
        </w:rPr>
        <w:t>.3</w:t>
      </w:r>
      <w:r>
        <w:rPr>
          <w:rFonts w:hint="eastAsia" w:ascii="仿宋_GB2312" w:eastAsia="仿宋_GB2312"/>
          <w:sz w:val="32"/>
          <w:szCs w:val="32"/>
        </w:rPr>
        <w:t>%；水果（含瓜果类）产量1</w:t>
      </w:r>
      <w:r>
        <w:rPr>
          <w:rFonts w:ascii="仿宋_GB2312" w:eastAsia="仿宋_GB2312"/>
          <w:sz w:val="32"/>
          <w:szCs w:val="32"/>
        </w:rPr>
        <w:t>36.6</w:t>
      </w:r>
      <w:r>
        <w:rPr>
          <w:rFonts w:hint="eastAsia" w:ascii="仿宋_GB2312" w:eastAsia="仿宋_GB2312"/>
          <w:sz w:val="32"/>
          <w:szCs w:val="32"/>
        </w:rPr>
        <w:t>万吨，增长3</w:t>
      </w:r>
      <w:r>
        <w:rPr>
          <w:rFonts w:ascii="仿宋_GB2312" w:eastAsia="仿宋_GB2312"/>
          <w:sz w:val="32"/>
          <w:szCs w:val="32"/>
        </w:rPr>
        <w:t>.8</w:t>
      </w:r>
      <w:r>
        <w:rPr>
          <w:rFonts w:hint="eastAsia" w:ascii="仿宋_GB2312" w:eastAsia="仿宋_GB2312"/>
          <w:sz w:val="32"/>
          <w:szCs w:val="32"/>
        </w:rPr>
        <w:t>%。</w:t>
      </w:r>
    </w:p>
    <w:p>
      <w:pPr>
        <w:autoSpaceDE w:val="0"/>
        <w:autoSpaceDN w:val="0"/>
        <w:adjustRightInd w:val="0"/>
        <w:spacing w:line="560" w:lineRule="exact"/>
        <w:ind w:firstLine="2800" w:firstLineChars="1000"/>
        <w:jc w:val="both"/>
        <w:rPr>
          <w:rFonts w:hint="eastAsia" w:ascii="黑体" w:eastAsia="黑体" w:cs="宋体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line="560" w:lineRule="exact"/>
        <w:ind w:firstLine="2800" w:firstLineChars="1000"/>
        <w:jc w:val="both"/>
        <w:rPr>
          <w:rFonts w:hint="eastAsia" w:ascii="黑体" w:eastAsia="黑体" w:cs="宋体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line="560" w:lineRule="exact"/>
        <w:ind w:firstLine="2800" w:firstLineChars="1000"/>
        <w:jc w:val="both"/>
        <w:rPr>
          <w:rFonts w:hint="eastAsia" w:ascii="黑体" w:eastAsia="黑体" w:cs="宋体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line="560" w:lineRule="exact"/>
        <w:ind w:firstLine="2800" w:firstLineChars="1000"/>
        <w:jc w:val="both"/>
        <w:rPr>
          <w:rFonts w:hint="eastAsia" w:ascii="黑体" w:eastAsia="黑体" w:cs="宋体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line="560" w:lineRule="exact"/>
        <w:ind w:firstLine="2800" w:firstLineChars="1000"/>
        <w:jc w:val="both"/>
        <w:rPr>
          <w:rFonts w:ascii="黑体" w:eastAsia="黑体" w:cs="宋体"/>
          <w:kern w:val="0"/>
          <w:sz w:val="28"/>
          <w:szCs w:val="28"/>
          <w:lang w:val="zh-CN"/>
        </w:rPr>
      </w:pPr>
      <w:r>
        <w:rPr>
          <w:rFonts w:hint="eastAsia" w:ascii="黑体" w:eastAsia="黑体" w:cs="宋体"/>
          <w:kern w:val="0"/>
          <w:sz w:val="28"/>
          <w:szCs w:val="28"/>
          <w:lang w:val="zh-CN"/>
        </w:rPr>
        <w:t>图</w:t>
      </w:r>
      <w:r>
        <w:rPr>
          <w:rFonts w:hint="default" w:ascii="黑体" w:eastAsia="黑体" w:cs="宋体"/>
          <w:kern w:val="0"/>
          <w:sz w:val="28"/>
          <w:szCs w:val="28"/>
          <w:lang w:val="en-US"/>
        </w:rPr>
        <w:t>2</w:t>
      </w:r>
      <w:r>
        <w:rPr>
          <w:rFonts w:hint="eastAsia" w:ascii="黑体" w:eastAsia="黑体" w:cs="宋体"/>
          <w:kern w:val="0"/>
          <w:sz w:val="28"/>
          <w:szCs w:val="28"/>
          <w:lang w:val="zh-CN"/>
        </w:rPr>
        <w:t>：20</w:t>
      </w:r>
      <w:r>
        <w:rPr>
          <w:rFonts w:ascii="黑体" w:eastAsia="黑体" w:cs="宋体"/>
          <w:kern w:val="0"/>
          <w:sz w:val="28"/>
          <w:szCs w:val="28"/>
          <w:lang w:val="zh-CN"/>
        </w:rPr>
        <w:t>2</w:t>
      </w:r>
      <w:r>
        <w:rPr>
          <w:rFonts w:ascii="黑体" w:eastAsia="黑体" w:cs="宋体"/>
          <w:kern w:val="0"/>
          <w:sz w:val="28"/>
          <w:szCs w:val="28"/>
        </w:rPr>
        <w:t>1</w:t>
      </w:r>
      <w:r>
        <w:rPr>
          <w:rFonts w:hint="eastAsia" w:ascii="黑体" w:eastAsia="黑体" w:cs="宋体"/>
          <w:kern w:val="0"/>
          <w:sz w:val="28"/>
          <w:szCs w:val="28"/>
          <w:lang w:val="zh-CN"/>
        </w:rPr>
        <w:t>-202</w:t>
      </w:r>
      <w:r>
        <w:rPr>
          <w:rFonts w:ascii="黑体" w:eastAsia="黑体" w:cs="宋体"/>
          <w:kern w:val="0"/>
          <w:sz w:val="28"/>
          <w:szCs w:val="28"/>
        </w:rPr>
        <w:t>5</w:t>
      </w:r>
      <w:r>
        <w:rPr>
          <w:rFonts w:hint="eastAsia" w:ascii="黑体" w:eastAsia="黑体" w:cs="宋体"/>
          <w:kern w:val="0"/>
          <w:sz w:val="28"/>
          <w:szCs w:val="28"/>
          <w:lang w:val="zh-CN"/>
        </w:rPr>
        <w:t>年粮食产量</w:t>
      </w:r>
    </w:p>
    <w:p>
      <w:pPr>
        <w:rPr>
          <w:lang w:val="zh-CN"/>
        </w:rPr>
      </w:pPr>
      <w:r>
        <w:drawing>
          <wp:inline distT="0" distB="0" distL="114300" distR="114300">
            <wp:extent cx="5579745" cy="2339975"/>
            <wp:effectExtent l="4445" t="5080" r="16510" b="17145"/>
            <wp:docPr id="2" name="图表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>
      <w:pPr>
        <w:autoSpaceDE w:val="0"/>
        <w:autoSpaceDN w:val="0"/>
        <w:adjustRightInd w:val="0"/>
        <w:spacing w:line="560" w:lineRule="exact"/>
        <w:jc w:val="center"/>
        <w:rPr>
          <w:rFonts w:ascii="黑体" w:eastAsia="黑体" w:cs="宋体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line="560" w:lineRule="exact"/>
        <w:jc w:val="center"/>
        <w:rPr>
          <w:rFonts w:ascii="黑体" w:eastAsia="黑体" w:cs="宋体"/>
          <w:kern w:val="0"/>
          <w:sz w:val="28"/>
          <w:szCs w:val="28"/>
          <w:lang w:val="zh-CN"/>
        </w:rPr>
      </w:pPr>
      <w:r>
        <w:rPr>
          <w:rFonts w:hint="eastAsia" w:ascii="黑体" w:eastAsia="黑体" w:cs="宋体"/>
          <w:kern w:val="0"/>
          <w:sz w:val="28"/>
          <w:szCs w:val="28"/>
          <w:lang w:val="zh-CN"/>
        </w:rPr>
        <w:t>表</w:t>
      </w:r>
      <w:r>
        <w:rPr>
          <w:rFonts w:ascii="黑体" w:eastAsia="黑体" w:cs="宋体"/>
          <w:kern w:val="0"/>
          <w:sz w:val="28"/>
          <w:szCs w:val="28"/>
          <w:lang w:val="zh-CN"/>
        </w:rPr>
        <w:t>2</w:t>
      </w:r>
      <w:r>
        <w:rPr>
          <w:rFonts w:hint="eastAsia" w:ascii="黑体" w:eastAsia="黑体" w:cs="宋体"/>
          <w:kern w:val="0"/>
          <w:sz w:val="28"/>
          <w:szCs w:val="28"/>
          <w:lang w:val="zh-CN"/>
        </w:rPr>
        <w:t>：202</w:t>
      </w:r>
      <w:r>
        <w:rPr>
          <w:rFonts w:ascii="黑体" w:eastAsia="黑体" w:cs="宋体"/>
          <w:kern w:val="0"/>
          <w:sz w:val="28"/>
          <w:szCs w:val="28"/>
        </w:rPr>
        <w:t>5</w:t>
      </w:r>
      <w:r>
        <w:rPr>
          <w:rFonts w:hint="eastAsia" w:ascii="黑体" w:eastAsia="黑体" w:cs="宋体"/>
          <w:kern w:val="0"/>
          <w:sz w:val="28"/>
          <w:szCs w:val="28"/>
          <w:lang w:val="zh-CN"/>
        </w:rPr>
        <w:t>年主要种植业产品产量及增速</w:t>
      </w:r>
    </w:p>
    <w:tbl>
      <w:tblPr>
        <w:tblStyle w:val="11"/>
        <w:tblW w:w="4905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3188"/>
        <w:gridCol w:w="303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黑体" w:hAnsi="黑体" w:eastAsia="黑体" w:cs="宋体"/>
                <w:color w:val="000000"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4"/>
              </w:rPr>
              <w:t>指标</w:t>
            </w:r>
          </w:p>
        </w:tc>
        <w:tc>
          <w:tcPr>
            <w:tcW w:w="17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黑体" w:hAnsi="黑体" w:eastAsia="黑体" w:cs="宋体"/>
                <w:color w:val="000000"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4"/>
              </w:rPr>
              <w:t>产量（万吨）</w:t>
            </w:r>
          </w:p>
        </w:tc>
        <w:tc>
          <w:tcPr>
            <w:tcW w:w="17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黑体" w:hAnsi="黑体" w:eastAsia="黑体" w:cs="宋体"/>
                <w:color w:val="000000"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4"/>
              </w:rPr>
              <w:t>增长（%）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1499" w:type="pct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等线 Light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等线 Light"/>
                <w:color w:val="000000"/>
                <w:kern w:val="0"/>
                <w:szCs w:val="21"/>
                <w:highlight w:val="none"/>
              </w:rPr>
              <w:t>粮食</w:t>
            </w:r>
          </w:p>
        </w:tc>
        <w:tc>
          <w:tcPr>
            <w:tcW w:w="17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等线 Light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等线 Light"/>
                <w:kern w:val="0"/>
                <w:szCs w:val="21"/>
                <w:highlight w:val="none"/>
                <w:lang w:val="en-US" w:eastAsia="zh-CN"/>
              </w:rPr>
              <w:t>321.4</w:t>
            </w:r>
          </w:p>
        </w:tc>
        <w:tc>
          <w:tcPr>
            <w:tcW w:w="170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等线 Light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等线 Light"/>
                <w:kern w:val="0"/>
                <w:szCs w:val="21"/>
                <w:highlight w:val="none"/>
                <w:lang w:val="en-US" w:eastAsia="zh-CN"/>
              </w:rPr>
              <w:t>0.01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1499" w:type="pct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等线 Light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等线 Light"/>
                <w:color w:val="000000"/>
                <w:kern w:val="0"/>
                <w:szCs w:val="21"/>
                <w:highlight w:val="none"/>
              </w:rPr>
              <w:t xml:space="preserve">  夏粮</w:t>
            </w:r>
          </w:p>
        </w:tc>
        <w:tc>
          <w:tcPr>
            <w:tcW w:w="179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等线 Light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等线 Light"/>
                <w:kern w:val="0"/>
                <w:szCs w:val="21"/>
                <w:highlight w:val="none"/>
                <w:lang w:val="en-US" w:eastAsia="zh-CN"/>
              </w:rPr>
              <w:t>147.4</w:t>
            </w:r>
          </w:p>
        </w:tc>
        <w:tc>
          <w:tcPr>
            <w:tcW w:w="1707" w:type="pc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等线 Light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等线 Light"/>
                <w:kern w:val="0"/>
                <w:szCs w:val="21"/>
                <w:highlight w:val="none"/>
                <w:lang w:val="en-US" w:eastAsia="zh-CN"/>
              </w:rPr>
              <w:t>0.92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1499" w:type="pct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等线 Light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等线 Light"/>
                <w:color w:val="000000"/>
                <w:kern w:val="0"/>
                <w:szCs w:val="21"/>
                <w:highlight w:val="none"/>
              </w:rPr>
              <w:t xml:space="preserve">  秋粮</w:t>
            </w:r>
          </w:p>
        </w:tc>
        <w:tc>
          <w:tcPr>
            <w:tcW w:w="179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等线 Light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等线 Light"/>
                <w:kern w:val="0"/>
                <w:szCs w:val="21"/>
                <w:highlight w:val="none"/>
                <w:lang w:val="en-US" w:eastAsia="zh-CN"/>
              </w:rPr>
              <w:t>174.1</w:t>
            </w:r>
          </w:p>
        </w:tc>
        <w:tc>
          <w:tcPr>
            <w:tcW w:w="1707" w:type="pc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等线 Light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等线 Light"/>
                <w:kern w:val="0"/>
                <w:szCs w:val="21"/>
                <w:highlight w:val="none"/>
                <w:lang w:val="en-US" w:eastAsia="zh-CN"/>
              </w:rPr>
              <w:t>-0.75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1499" w:type="pct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等线 Light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等线 Light"/>
                <w:color w:val="000000"/>
                <w:kern w:val="0"/>
                <w:szCs w:val="21"/>
                <w:highlight w:val="none"/>
              </w:rPr>
              <w:t>油料</w:t>
            </w:r>
          </w:p>
        </w:tc>
        <w:tc>
          <w:tcPr>
            <w:tcW w:w="179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420" w:rightChars="200"/>
              <w:jc w:val="right"/>
              <w:rPr>
                <w:rFonts w:hint="default" w:ascii="宋体" w:hAnsi="宋体" w:cs="等线 Light"/>
                <w:kern w:val="0"/>
                <w:szCs w:val="21"/>
                <w:lang w:val="en-US"/>
              </w:rPr>
            </w:pPr>
            <w:r>
              <w:rPr>
                <w:rFonts w:hint="default" w:ascii="宋体" w:hAnsi="宋体" w:cs="等线 Light"/>
                <w:kern w:val="0"/>
                <w:szCs w:val="21"/>
                <w:lang w:val="en-US"/>
              </w:rPr>
              <w:t>31.9</w:t>
            </w:r>
          </w:p>
        </w:tc>
        <w:tc>
          <w:tcPr>
            <w:tcW w:w="1707" w:type="pc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widowControl/>
              <w:ind w:right="420" w:rightChars="200"/>
              <w:jc w:val="right"/>
              <w:rPr>
                <w:rFonts w:hint="default" w:ascii="宋体" w:hAnsi="宋体" w:cs="等线 Light"/>
                <w:kern w:val="0"/>
                <w:szCs w:val="21"/>
                <w:lang w:val="en-US"/>
              </w:rPr>
            </w:pPr>
            <w:r>
              <w:rPr>
                <w:rFonts w:hint="default" w:ascii="宋体" w:hAnsi="宋体" w:cs="等线 Light"/>
                <w:kern w:val="0"/>
                <w:szCs w:val="21"/>
                <w:lang w:val="en-US"/>
              </w:rPr>
              <w:t>-1.6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1499" w:type="pct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等线 Light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等线 Light"/>
                <w:color w:val="000000"/>
                <w:kern w:val="0"/>
                <w:szCs w:val="21"/>
              </w:rPr>
              <w:t>蔬菜及食用菌</w:t>
            </w:r>
          </w:p>
        </w:tc>
        <w:tc>
          <w:tcPr>
            <w:tcW w:w="179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eastAsia="宋体" w:cs="等线 Light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等线 Light"/>
                <w:kern w:val="0"/>
                <w:szCs w:val="21"/>
              </w:rPr>
              <w:t>7</w:t>
            </w:r>
            <w:r>
              <w:rPr>
                <w:rFonts w:ascii="宋体" w:hAnsi="宋体" w:cs="等线 Light"/>
                <w:kern w:val="0"/>
                <w:szCs w:val="21"/>
              </w:rPr>
              <w:t>26.8</w:t>
            </w:r>
          </w:p>
        </w:tc>
        <w:tc>
          <w:tcPr>
            <w:tcW w:w="1707" w:type="pc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eastAsia="宋体" w:cs="等线 Light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等线 Light"/>
                <w:kern w:val="0"/>
                <w:szCs w:val="21"/>
              </w:rPr>
              <w:t>3</w:t>
            </w:r>
            <w:r>
              <w:rPr>
                <w:rFonts w:ascii="宋体" w:hAnsi="宋体" w:cs="等线 Light"/>
                <w:kern w:val="0"/>
                <w:szCs w:val="21"/>
              </w:rPr>
              <w:t>.3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1499" w:type="pct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等线 Light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等线 Light"/>
                <w:color w:val="000000"/>
                <w:kern w:val="0"/>
                <w:szCs w:val="21"/>
              </w:rPr>
              <w:t>水果</w:t>
            </w:r>
          </w:p>
        </w:tc>
        <w:tc>
          <w:tcPr>
            <w:tcW w:w="179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eastAsia="宋体" w:cs="等线 Light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等线 Light"/>
                <w:kern w:val="0"/>
                <w:szCs w:val="21"/>
              </w:rPr>
              <w:t>1</w:t>
            </w:r>
            <w:r>
              <w:rPr>
                <w:rFonts w:ascii="宋体" w:hAnsi="宋体" w:cs="等线 Light"/>
                <w:kern w:val="0"/>
                <w:szCs w:val="21"/>
              </w:rPr>
              <w:t>36.6</w:t>
            </w:r>
          </w:p>
        </w:tc>
        <w:tc>
          <w:tcPr>
            <w:tcW w:w="1707" w:type="pc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eastAsia="宋体" w:cs="等线 Light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等线 Light"/>
                <w:kern w:val="0"/>
                <w:szCs w:val="21"/>
              </w:rPr>
              <w:t>3</w:t>
            </w:r>
            <w:r>
              <w:rPr>
                <w:rFonts w:ascii="宋体" w:hAnsi="宋体" w:cs="等线 Light"/>
                <w:kern w:val="0"/>
                <w:szCs w:val="21"/>
              </w:rPr>
              <w:t>.8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14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等线 Light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等线 Light"/>
                <w:color w:val="000000"/>
                <w:kern w:val="0"/>
                <w:szCs w:val="21"/>
              </w:rPr>
              <w:t xml:space="preserve">  园林水果</w:t>
            </w:r>
          </w:p>
        </w:tc>
        <w:tc>
          <w:tcPr>
            <w:tcW w:w="179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eastAsia="宋体" w:cs="等线 Light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等线 Light"/>
                <w:kern w:val="0"/>
                <w:szCs w:val="21"/>
              </w:rPr>
              <w:t>9</w:t>
            </w:r>
            <w:r>
              <w:rPr>
                <w:rFonts w:ascii="宋体" w:hAnsi="宋体" w:cs="等线 Light"/>
                <w:kern w:val="0"/>
                <w:szCs w:val="21"/>
              </w:rPr>
              <w:t>5.9</w:t>
            </w:r>
          </w:p>
        </w:tc>
        <w:tc>
          <w:tcPr>
            <w:tcW w:w="1707" w:type="pct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eastAsia="宋体" w:cs="等线 Light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等线 Light"/>
                <w:kern w:val="0"/>
                <w:szCs w:val="21"/>
              </w:rPr>
              <w:t>4</w:t>
            </w:r>
            <w:r>
              <w:rPr>
                <w:rFonts w:ascii="宋体" w:hAnsi="宋体" w:cs="等线 Light"/>
                <w:kern w:val="0"/>
                <w:szCs w:val="21"/>
              </w:rPr>
              <w:t>.1</w:t>
            </w:r>
          </w:p>
        </w:tc>
      </w:tr>
    </w:tbl>
    <w:p>
      <w:pPr>
        <w:spacing w:line="560" w:lineRule="exact"/>
        <w:jc w:val="center"/>
        <w:rPr>
          <w:rFonts w:ascii="黑体" w:hAnsi="黑体" w:eastAsia="黑体" w:cs="黑体"/>
          <w:kern w:val="0"/>
          <w:sz w:val="32"/>
          <w:szCs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全年猪牛羊禽肉产量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60.0</w:t>
      </w:r>
      <w:r>
        <w:rPr>
          <w:rFonts w:hint="eastAsia" w:ascii="仿宋_GB2312" w:eastAsia="仿宋_GB2312"/>
          <w:sz w:val="32"/>
          <w:szCs w:val="32"/>
          <w:highlight w:val="none"/>
        </w:rPr>
        <w:t>万吨，比上年增长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12.4</w:t>
      </w:r>
      <w:r>
        <w:rPr>
          <w:rFonts w:hint="eastAsia" w:ascii="仿宋_GB2312" w:eastAsia="仿宋_GB2312"/>
          <w:sz w:val="32"/>
          <w:szCs w:val="32"/>
          <w:highlight w:val="none"/>
        </w:rPr>
        <w:t>%；禽蛋产量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29.8</w:t>
      </w:r>
      <w:r>
        <w:rPr>
          <w:rFonts w:hint="eastAsia" w:ascii="仿宋_GB2312" w:eastAsia="仿宋_GB2312"/>
          <w:sz w:val="32"/>
          <w:szCs w:val="32"/>
          <w:highlight w:val="none"/>
        </w:rPr>
        <w:t>万吨，下降18.8%；牛奶产量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29.0</w:t>
      </w:r>
      <w:r>
        <w:rPr>
          <w:rFonts w:hint="eastAsia" w:ascii="仿宋_GB2312" w:eastAsia="仿宋_GB2312"/>
          <w:sz w:val="32"/>
          <w:szCs w:val="32"/>
          <w:highlight w:val="none"/>
        </w:rPr>
        <w:t>万吨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增长1.3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%。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ascii="黑体" w:hAnsi="黑体" w:eastAsia="黑体" w:cs="黑体"/>
          <w:kern w:val="0"/>
          <w:sz w:val="32"/>
          <w:szCs w:val="32"/>
        </w:rPr>
      </w:pPr>
      <w:bookmarkStart w:id="2" w:name="OLE_LINK4"/>
      <w:r>
        <w:rPr>
          <w:rFonts w:hint="eastAsia" w:ascii="仿宋_GB2312" w:eastAsia="仿宋_GB2312"/>
          <w:sz w:val="32"/>
          <w:szCs w:val="32"/>
        </w:rPr>
        <w:t>全年水产品产量（不含远洋捕捞）1</w:t>
      </w:r>
      <w:r>
        <w:rPr>
          <w:rFonts w:ascii="仿宋_GB2312" w:eastAsia="仿宋_GB2312"/>
          <w:sz w:val="32"/>
          <w:szCs w:val="32"/>
        </w:rPr>
        <w:t>10.6</w:t>
      </w:r>
      <w:r>
        <w:rPr>
          <w:rFonts w:hint="eastAsia" w:ascii="仿宋_GB2312" w:eastAsia="仿宋_GB2312"/>
          <w:sz w:val="32"/>
          <w:szCs w:val="32"/>
        </w:rPr>
        <w:t>万吨，比上年增长3</w:t>
      </w:r>
      <w:r>
        <w:rPr>
          <w:rFonts w:ascii="仿宋_GB2312" w:eastAsia="仿宋_GB2312"/>
          <w:sz w:val="32"/>
          <w:szCs w:val="32"/>
        </w:rPr>
        <w:t>.5</w:t>
      </w:r>
      <w:r>
        <w:rPr>
          <w:rFonts w:hint="eastAsia" w:ascii="仿宋_GB2312" w:eastAsia="仿宋_GB2312"/>
          <w:sz w:val="32"/>
          <w:szCs w:val="32"/>
        </w:rPr>
        <w:t>%；海、淡水养殖面积4</w:t>
      </w:r>
      <w:r>
        <w:rPr>
          <w:rFonts w:ascii="仿宋_GB2312" w:eastAsia="仿宋_GB2312"/>
          <w:sz w:val="32"/>
          <w:szCs w:val="32"/>
        </w:rPr>
        <w:t>.0</w:t>
      </w:r>
      <w:r>
        <w:rPr>
          <w:rFonts w:hint="eastAsia" w:ascii="仿宋_GB2312" w:eastAsia="仿宋_GB2312"/>
          <w:sz w:val="32"/>
          <w:szCs w:val="32"/>
        </w:rPr>
        <w:t>万公顷，增长1</w:t>
      </w:r>
      <w:r>
        <w:rPr>
          <w:rFonts w:ascii="仿宋_GB2312" w:eastAsia="仿宋_GB2312"/>
          <w:sz w:val="32"/>
          <w:szCs w:val="32"/>
        </w:rPr>
        <w:t>.9</w:t>
      </w:r>
      <w:r>
        <w:rPr>
          <w:rFonts w:hint="eastAsia" w:ascii="仿宋_GB2312" w:eastAsia="仿宋_GB2312"/>
          <w:sz w:val="32"/>
          <w:szCs w:val="32"/>
        </w:rPr>
        <w:t>%。</w:t>
      </w:r>
      <w:bookmarkEnd w:id="2"/>
    </w:p>
    <w:p>
      <w:pPr>
        <w:spacing w:line="560" w:lineRule="exact"/>
        <w:jc w:val="center"/>
        <w:rPr>
          <w:rFonts w:hint="eastAsia" w:ascii="黑体" w:hAnsi="黑体" w:eastAsia="黑体" w:cs="黑体"/>
          <w:kern w:val="0"/>
          <w:sz w:val="32"/>
          <w:szCs w:val="32"/>
        </w:rPr>
      </w:pPr>
    </w:p>
    <w:p>
      <w:pPr>
        <w:spacing w:line="560" w:lineRule="exact"/>
        <w:jc w:val="center"/>
        <w:rPr>
          <w:rFonts w:eastAsia="黑体"/>
          <w:color w:val="3D3D3D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</w:rPr>
        <w:t>三、工业</w:t>
      </w:r>
      <w:r>
        <w:rPr>
          <w:rFonts w:hint="eastAsia" w:ascii="黑体" w:hAnsi="黑体" w:eastAsia="黑体" w:cs="黑体"/>
          <w:kern w:val="0"/>
          <w:sz w:val="32"/>
          <w:szCs w:val="32"/>
          <w:lang w:val="en-US" w:eastAsia="zh-CN"/>
        </w:rPr>
        <w:t>和</w:t>
      </w:r>
      <w:r>
        <w:rPr>
          <w:rFonts w:hint="eastAsia" w:ascii="黑体" w:hAnsi="黑体" w:eastAsia="黑体" w:cs="黑体"/>
          <w:kern w:val="0"/>
          <w:sz w:val="32"/>
          <w:szCs w:val="32"/>
        </w:rPr>
        <w:t>建筑业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60" w:lineRule="exact"/>
        <w:ind w:firstLine="640" w:firstLineChars="200"/>
        <w:textAlignment w:val="auto"/>
        <w:rPr>
          <w:rFonts w:ascii="黑体" w:eastAsia="黑体" w:cs="宋体"/>
          <w:kern w:val="0"/>
          <w:sz w:val="32"/>
          <w:szCs w:val="32"/>
          <w:lang w:val="zh-CN"/>
        </w:rPr>
      </w:pPr>
      <w:r>
        <w:rPr>
          <w:rFonts w:hint="eastAsia" w:ascii="仿宋_GB2312" w:eastAsia="仿宋_GB2312"/>
          <w:sz w:val="32"/>
          <w:szCs w:val="32"/>
        </w:rPr>
        <w:t>全年规模以上工业增加值增长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7.9</w:t>
      </w:r>
      <w:r>
        <w:rPr>
          <w:rFonts w:hint="eastAsia" w:ascii="仿宋_GB2312" w:eastAsia="仿宋_GB2312"/>
          <w:sz w:val="32"/>
          <w:szCs w:val="32"/>
        </w:rPr>
        <w:t>%。分门类看，采矿业增长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26.8</w:t>
      </w:r>
      <w:r>
        <w:rPr>
          <w:rFonts w:hint="eastAsia" w:ascii="仿宋_GB2312" w:eastAsia="仿宋_GB2312"/>
          <w:sz w:val="32"/>
          <w:szCs w:val="32"/>
        </w:rPr>
        <w:t>%，制造业增长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8.0</w:t>
      </w:r>
      <w:r>
        <w:rPr>
          <w:rFonts w:hint="eastAsia" w:ascii="仿宋_GB2312" w:eastAsia="仿宋_GB2312"/>
          <w:sz w:val="32"/>
          <w:szCs w:val="32"/>
        </w:rPr>
        <w:t>%，电力、热力、燃气及水生产和供应业增长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3.7</w:t>
      </w:r>
      <w:r>
        <w:rPr>
          <w:rFonts w:hint="eastAsia" w:ascii="仿宋_GB2312" w:eastAsia="仿宋_GB2312"/>
          <w:sz w:val="32"/>
          <w:szCs w:val="32"/>
        </w:rPr>
        <w:t>%</w:t>
      </w:r>
      <w:r>
        <w:rPr>
          <w:rFonts w:hint="eastAsia" w:ascii="仿宋_GB2312" w:eastAsia="仿宋_GB2312"/>
          <w:sz w:val="32"/>
          <w:szCs w:val="32"/>
          <w:lang w:eastAsia="zh"/>
        </w:rPr>
        <w:t>。</w:t>
      </w:r>
      <w:r>
        <w:rPr>
          <w:rFonts w:hint="eastAsia" w:ascii="仿宋_GB2312" w:eastAsia="仿宋_GB2312"/>
          <w:sz w:val="32"/>
          <w:szCs w:val="32"/>
        </w:rPr>
        <w:t>分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重点行业看，汽车制造业</w:t>
      </w:r>
      <w:r>
        <w:rPr>
          <w:rFonts w:hint="eastAsia" w:ascii="仿宋_GB2312" w:eastAsia="仿宋_GB2312"/>
          <w:sz w:val="32"/>
          <w:szCs w:val="32"/>
        </w:rPr>
        <w:t>增加值增长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25.9%，化学原料和化学制品制造业增加值增</w:t>
      </w:r>
      <w:r>
        <w:rPr>
          <w:rFonts w:hint="eastAsia" w:ascii="仿宋_GB2312" w:eastAsia="仿宋_GB2312"/>
          <w:sz w:val="32"/>
          <w:szCs w:val="32"/>
        </w:rPr>
        <w:t>长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15.9</w:t>
      </w:r>
      <w:r>
        <w:rPr>
          <w:rFonts w:hint="eastAsia" w:ascii="仿宋_GB2312" w:eastAsia="仿宋_GB2312"/>
          <w:sz w:val="32"/>
          <w:szCs w:val="32"/>
        </w:rPr>
        <w:t>%</w:t>
      </w:r>
      <w:r>
        <w:rPr>
          <w:rFonts w:hint="eastAsia" w:ascii="仿宋_GB2312" w:eastAsia="仿宋_GB2312"/>
          <w:sz w:val="32"/>
          <w:szCs w:val="32"/>
          <w:lang w:eastAsia="zh-CN"/>
        </w:rPr>
        <w:t>，</w:t>
      </w:r>
      <w:r>
        <w:rPr>
          <w:rFonts w:hint="eastAsia" w:ascii="仿宋_GB2312" w:eastAsia="仿宋_GB2312"/>
          <w:sz w:val="32"/>
          <w:szCs w:val="32"/>
        </w:rPr>
        <w:t>专用设备制造业增加值增长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13.6</w:t>
      </w:r>
      <w:r>
        <w:rPr>
          <w:rFonts w:hint="eastAsia" w:ascii="仿宋_GB2312" w:eastAsia="仿宋_GB2312"/>
          <w:sz w:val="32"/>
          <w:szCs w:val="32"/>
        </w:rPr>
        <w:t>%</w:t>
      </w:r>
      <w:r>
        <w:rPr>
          <w:rFonts w:hint="eastAsia" w:ascii="仿宋_GB2312" w:eastAsia="仿宋_GB2312"/>
          <w:sz w:val="32"/>
          <w:szCs w:val="32"/>
          <w:lang w:eastAsia="zh-CN"/>
        </w:rPr>
        <w:t>，</w:t>
      </w:r>
      <w:r>
        <w:rPr>
          <w:rFonts w:hint="eastAsia" w:ascii="仿宋_GB2312" w:eastAsia="仿宋_GB2312"/>
          <w:sz w:val="32"/>
          <w:szCs w:val="32"/>
        </w:rPr>
        <w:t>铁路、船舶、航空航天和其他运输设备制造业增加值增长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12.8</w:t>
      </w:r>
      <w:r>
        <w:rPr>
          <w:rFonts w:hint="eastAsia" w:ascii="仿宋_GB2312" w:eastAsia="仿宋_GB2312"/>
          <w:sz w:val="32"/>
          <w:szCs w:val="32"/>
        </w:rPr>
        <w:t>%。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全年规模以上工业企业利润总额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776.0</w:t>
      </w:r>
      <w:r>
        <w:rPr>
          <w:rFonts w:hint="eastAsia" w:ascii="仿宋_GB2312" w:eastAsia="仿宋_GB2312"/>
          <w:sz w:val="32"/>
          <w:szCs w:val="32"/>
          <w:lang w:eastAsia="zh"/>
        </w:rPr>
        <w:t>亿元，比上年</w:t>
      </w:r>
      <w:r>
        <w:rPr>
          <w:rFonts w:hint="eastAsia" w:ascii="仿宋_GB2312" w:eastAsia="仿宋_GB2312"/>
          <w:sz w:val="32"/>
          <w:szCs w:val="32"/>
        </w:rPr>
        <w:t>增长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16.4</w:t>
      </w:r>
      <w:r>
        <w:rPr>
          <w:rFonts w:hint="eastAsia" w:ascii="仿宋_GB2312" w:eastAsia="仿宋_GB2312"/>
          <w:sz w:val="32"/>
          <w:szCs w:val="32"/>
        </w:rPr>
        <w:t>%。其中，国有控股企业实现利润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261.1</w:t>
      </w:r>
      <w:r>
        <w:rPr>
          <w:rFonts w:hint="eastAsia" w:ascii="仿宋_GB2312" w:eastAsia="仿宋_GB2312"/>
          <w:sz w:val="32"/>
          <w:szCs w:val="32"/>
        </w:rPr>
        <w:t>亿元，增长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41.8</w:t>
      </w:r>
      <w:r>
        <w:rPr>
          <w:rFonts w:hint="eastAsia" w:ascii="仿宋_GB2312" w:eastAsia="仿宋_GB2312"/>
          <w:sz w:val="32"/>
          <w:szCs w:val="32"/>
        </w:rPr>
        <w:t>%；股份制企业实现利润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504.6</w:t>
      </w:r>
      <w:r>
        <w:rPr>
          <w:rFonts w:hint="eastAsia" w:ascii="仿宋_GB2312" w:eastAsia="仿宋_GB2312"/>
          <w:sz w:val="32"/>
          <w:szCs w:val="32"/>
        </w:rPr>
        <w:t>亿元，增长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23.4</w:t>
      </w:r>
      <w:r>
        <w:rPr>
          <w:rFonts w:hint="eastAsia" w:ascii="仿宋_GB2312" w:eastAsia="仿宋_GB2312"/>
          <w:sz w:val="32"/>
          <w:szCs w:val="32"/>
        </w:rPr>
        <w:t>%；外商及港澳台投资企业实现利润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267.4</w:t>
      </w:r>
      <w:r>
        <w:rPr>
          <w:rFonts w:hint="eastAsia" w:ascii="仿宋_GB2312" w:eastAsia="仿宋_GB2312"/>
          <w:sz w:val="32"/>
          <w:szCs w:val="32"/>
        </w:rPr>
        <w:t>亿元，增长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6.0</w:t>
      </w:r>
      <w:r>
        <w:rPr>
          <w:rFonts w:hint="eastAsia" w:ascii="仿宋_GB2312" w:eastAsia="仿宋_GB2312"/>
          <w:sz w:val="32"/>
          <w:szCs w:val="32"/>
        </w:rPr>
        <w:t>%。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黑体" w:eastAsia="黑体" w:cs="宋体"/>
          <w:color w:val="auto"/>
          <w:kern w:val="0"/>
          <w:sz w:val="32"/>
          <w:szCs w:val="32"/>
          <w:lang w:val="zh-CN"/>
        </w:rPr>
      </w:pPr>
      <w:r>
        <w:rPr>
          <w:rFonts w:hint="eastAsia" w:ascii="仿宋_GB2312" w:eastAsia="仿宋_GB2312"/>
          <w:color w:val="auto"/>
          <w:sz w:val="32"/>
          <w:szCs w:val="32"/>
        </w:rPr>
        <w:t>年末全市具有资质等级的总承包、专业承包建筑业企业1</w:t>
      </w:r>
      <w:r>
        <w:rPr>
          <w:rFonts w:ascii="仿宋_GB2312" w:eastAsia="仿宋_GB2312"/>
          <w:color w:val="auto"/>
          <w:sz w:val="32"/>
          <w:szCs w:val="32"/>
        </w:rPr>
        <w:t>455</w:t>
      </w:r>
      <w:r>
        <w:rPr>
          <w:rFonts w:hint="eastAsia" w:ascii="仿宋_GB2312" w:eastAsia="仿宋_GB2312"/>
          <w:color w:val="auto"/>
          <w:sz w:val="32"/>
          <w:szCs w:val="32"/>
        </w:rPr>
        <w:t>家，完成建筑业总产值4</w:t>
      </w:r>
      <w:r>
        <w:rPr>
          <w:rFonts w:ascii="仿宋_GB2312" w:eastAsia="仿宋_GB2312"/>
          <w:color w:val="auto"/>
          <w:sz w:val="32"/>
          <w:szCs w:val="32"/>
        </w:rPr>
        <w:t>077.1</w:t>
      </w:r>
      <w:r>
        <w:rPr>
          <w:rFonts w:hint="eastAsia" w:ascii="仿宋_GB2312" w:eastAsia="仿宋_GB2312"/>
          <w:color w:val="auto"/>
          <w:sz w:val="32"/>
          <w:szCs w:val="32"/>
        </w:rPr>
        <w:t>亿元，比上年下降0</w:t>
      </w:r>
      <w:r>
        <w:rPr>
          <w:rFonts w:ascii="仿宋_GB2312" w:eastAsia="仿宋_GB2312"/>
          <w:color w:val="auto"/>
          <w:sz w:val="32"/>
          <w:szCs w:val="32"/>
        </w:rPr>
        <w:t>.2</w:t>
      </w:r>
      <w:r>
        <w:rPr>
          <w:rFonts w:hint="eastAsia" w:ascii="仿宋_GB2312" w:eastAsia="仿宋_GB2312"/>
          <w:color w:val="auto"/>
          <w:sz w:val="32"/>
          <w:szCs w:val="32"/>
        </w:rPr>
        <w:t>%；签订合同额8</w:t>
      </w:r>
      <w:r>
        <w:rPr>
          <w:rFonts w:ascii="仿宋_GB2312" w:eastAsia="仿宋_GB2312"/>
          <w:color w:val="auto"/>
          <w:sz w:val="32"/>
          <w:szCs w:val="32"/>
        </w:rPr>
        <w:t>155.6</w:t>
      </w:r>
      <w:r>
        <w:rPr>
          <w:rFonts w:hint="eastAsia" w:ascii="仿宋_GB2312" w:eastAsia="仿宋_GB2312"/>
          <w:color w:val="auto"/>
          <w:sz w:val="32"/>
          <w:szCs w:val="32"/>
        </w:rPr>
        <w:t>亿元。建筑业企业房屋施工面积2</w:t>
      </w:r>
      <w:r>
        <w:rPr>
          <w:rFonts w:ascii="仿宋_GB2312" w:eastAsia="仿宋_GB2312"/>
          <w:color w:val="auto"/>
          <w:sz w:val="32"/>
          <w:szCs w:val="32"/>
        </w:rPr>
        <w:t>2415.7</w:t>
      </w:r>
      <w:r>
        <w:rPr>
          <w:rFonts w:hint="eastAsia" w:ascii="仿宋_GB2312" w:eastAsia="仿宋_GB2312"/>
          <w:color w:val="auto"/>
          <w:sz w:val="32"/>
          <w:szCs w:val="32"/>
        </w:rPr>
        <w:t>万平方米，其中新开工面积5</w:t>
      </w:r>
      <w:r>
        <w:rPr>
          <w:rFonts w:ascii="仿宋_GB2312" w:eastAsia="仿宋_GB2312"/>
          <w:color w:val="auto"/>
          <w:sz w:val="32"/>
          <w:szCs w:val="32"/>
        </w:rPr>
        <w:t>848.3</w:t>
      </w:r>
      <w:r>
        <w:rPr>
          <w:rFonts w:hint="eastAsia" w:ascii="仿宋_GB2312" w:eastAsia="仿宋_GB2312"/>
          <w:color w:val="auto"/>
          <w:sz w:val="32"/>
          <w:szCs w:val="32"/>
        </w:rPr>
        <w:t>万平方米。</w:t>
      </w:r>
    </w:p>
    <w:p>
      <w:pPr>
        <w:autoSpaceDE w:val="0"/>
        <w:autoSpaceDN w:val="0"/>
        <w:adjustRightInd w:val="0"/>
        <w:spacing w:line="560" w:lineRule="exact"/>
        <w:jc w:val="center"/>
        <w:rPr>
          <w:rFonts w:ascii="黑体" w:eastAsia="黑体" w:cs="宋体"/>
          <w:color w:val="000000"/>
          <w:kern w:val="0"/>
          <w:sz w:val="28"/>
          <w:szCs w:val="28"/>
          <w:lang w:val="zh-CN"/>
        </w:rPr>
      </w:pPr>
      <w:r>
        <w:rPr>
          <w:rFonts w:hint="eastAsia" w:ascii="黑体" w:eastAsia="黑体" w:cs="宋体"/>
          <w:color w:val="000000"/>
          <w:kern w:val="0"/>
          <w:sz w:val="28"/>
          <w:szCs w:val="28"/>
          <w:lang w:val="zh-CN"/>
        </w:rPr>
        <w:t>图</w:t>
      </w:r>
      <w:r>
        <w:rPr>
          <w:rFonts w:hint="default" w:ascii="黑体" w:eastAsia="黑体" w:cs="宋体"/>
          <w:color w:val="000000"/>
          <w:kern w:val="0"/>
          <w:sz w:val="28"/>
          <w:szCs w:val="28"/>
          <w:lang w:val="en-US"/>
        </w:rPr>
        <w:t>3</w:t>
      </w:r>
      <w:r>
        <w:rPr>
          <w:rFonts w:hint="eastAsia" w:ascii="黑体" w:eastAsia="黑体" w:cs="宋体"/>
          <w:color w:val="000000"/>
          <w:kern w:val="0"/>
          <w:sz w:val="28"/>
          <w:szCs w:val="28"/>
          <w:lang w:val="zh-CN"/>
        </w:rPr>
        <w:t>：20</w:t>
      </w:r>
      <w:r>
        <w:rPr>
          <w:rFonts w:ascii="黑体" w:eastAsia="黑体" w:cs="宋体"/>
          <w:color w:val="000000"/>
          <w:kern w:val="0"/>
          <w:sz w:val="28"/>
          <w:szCs w:val="28"/>
        </w:rPr>
        <w:t>21</w:t>
      </w:r>
      <w:r>
        <w:rPr>
          <w:rFonts w:hint="eastAsia" w:ascii="黑体" w:eastAsia="黑体" w:cs="宋体"/>
          <w:color w:val="000000"/>
          <w:kern w:val="0"/>
          <w:sz w:val="28"/>
          <w:szCs w:val="28"/>
          <w:lang w:val="zh-CN"/>
        </w:rPr>
        <w:t>-202</w:t>
      </w:r>
      <w:r>
        <w:rPr>
          <w:rFonts w:ascii="黑体" w:eastAsia="黑体" w:cs="宋体"/>
          <w:color w:val="000000"/>
          <w:kern w:val="0"/>
          <w:sz w:val="28"/>
          <w:szCs w:val="28"/>
        </w:rPr>
        <w:t>5</w:t>
      </w:r>
      <w:r>
        <w:rPr>
          <w:rFonts w:hint="eastAsia" w:ascii="黑体" w:eastAsia="黑体" w:cs="宋体"/>
          <w:color w:val="000000"/>
          <w:kern w:val="0"/>
          <w:sz w:val="28"/>
          <w:szCs w:val="28"/>
          <w:lang w:val="zh-CN"/>
        </w:rPr>
        <w:t>年建筑业总产值及增速</w:t>
      </w:r>
    </w:p>
    <w:p>
      <w:pPr>
        <w:widowControl/>
        <w:spacing w:line="360" w:lineRule="auto"/>
        <w:jc w:val="left"/>
        <w:rPr>
          <w:rFonts w:ascii="黑体" w:hAnsi="黑体" w:eastAsia="黑体" w:cs="黑体"/>
          <w:kern w:val="0"/>
          <w:sz w:val="32"/>
          <w:szCs w:val="32"/>
        </w:rPr>
      </w:pPr>
      <w:r>
        <w:drawing>
          <wp:inline distT="0" distB="0" distL="114300" distR="114300">
            <wp:extent cx="5579745" cy="2339975"/>
            <wp:effectExtent l="4445" t="5080" r="16510" b="17145"/>
            <wp:docPr id="5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>
      <w:pPr>
        <w:widowControl/>
        <w:spacing w:line="560" w:lineRule="exact"/>
        <w:jc w:val="center"/>
        <w:rPr>
          <w:rFonts w:ascii="仿宋_GB2312" w:eastAsia="黑体" w:cs="仿宋_GB2312"/>
          <w:kern w:val="0"/>
          <w:sz w:val="32"/>
          <w:szCs w:val="32"/>
          <w:lang w:val="zh-CN"/>
        </w:rPr>
      </w:pPr>
      <w:r>
        <w:rPr>
          <w:rFonts w:hint="eastAsia" w:ascii="黑体" w:hAnsi="黑体" w:eastAsia="黑体" w:cs="黑体"/>
          <w:kern w:val="0"/>
          <w:sz w:val="32"/>
          <w:szCs w:val="32"/>
        </w:rPr>
        <w:t>四、服务业</w:t>
      </w:r>
    </w:p>
    <w:p>
      <w:pPr>
        <w:widowControl/>
        <w:spacing w:line="560" w:lineRule="exact"/>
        <w:ind w:firstLine="640" w:firstLineChars="200"/>
        <w:rPr>
          <w:rFonts w:ascii="仿宋_GB2312" w:eastAsia="仿宋_GB2312"/>
          <w:sz w:val="32"/>
          <w:szCs w:val="32"/>
          <w:highlight w:val="none"/>
          <w:vertAlign w:val="subscript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全年服务业增加值11170.</w:t>
      </w:r>
      <w:r>
        <w:rPr>
          <w:rFonts w:hint="default" w:ascii="仿宋_GB2312" w:eastAsia="仿宋_GB2312"/>
          <w:sz w:val="32"/>
          <w:szCs w:val="32"/>
          <w:highlight w:val="none"/>
          <w:lang w:val="en-US"/>
        </w:rPr>
        <w:t>63</w:t>
      </w:r>
      <w:r>
        <w:rPr>
          <w:rFonts w:hint="eastAsia" w:ascii="仿宋_GB2312" w:eastAsia="仿宋_GB2312"/>
          <w:sz w:val="32"/>
          <w:szCs w:val="32"/>
          <w:highlight w:val="none"/>
        </w:rPr>
        <w:t>亿元，比上年增长5.6%，占全市生产总值比重为63.6%，对经济增长的贡献率为66.5%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。</w:t>
      </w:r>
      <w:r>
        <w:rPr>
          <w:rFonts w:hint="eastAsia" w:ascii="仿宋_GB2312" w:eastAsia="仿宋_GB2312"/>
          <w:sz w:val="32"/>
          <w:szCs w:val="32"/>
          <w:highlight w:val="none"/>
        </w:rPr>
        <w:t>全年规模以上服务业实现营业收入4251.8亿元，比上年增长1.8%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。</w:t>
      </w:r>
      <w:r>
        <w:rPr>
          <w:rFonts w:hint="eastAsia" w:ascii="仿宋_GB2312" w:eastAsia="仿宋_GB2312"/>
          <w:sz w:val="32"/>
          <w:szCs w:val="32"/>
          <w:highlight w:val="none"/>
        </w:rPr>
        <w:t>其中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eastAsia="仿宋_GB2312"/>
          <w:sz w:val="32"/>
          <w:szCs w:val="32"/>
          <w:highlight w:val="none"/>
        </w:rPr>
        <w:t>租赁和商务服务业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营业收入</w:t>
      </w:r>
      <w:r>
        <w:rPr>
          <w:rFonts w:hint="eastAsia" w:ascii="仿宋_GB2312" w:eastAsia="仿宋_GB2312"/>
          <w:sz w:val="32"/>
          <w:szCs w:val="32"/>
          <w:highlight w:val="none"/>
        </w:rPr>
        <w:t>增长21.8%，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水利、环境和公共设施管理业营业收入增长</w:t>
      </w:r>
      <w:r>
        <w:rPr>
          <w:rFonts w:hint="default" w:ascii="仿宋_GB2312" w:eastAsia="仿宋_GB2312"/>
          <w:sz w:val="32"/>
          <w:szCs w:val="32"/>
          <w:highlight w:val="none"/>
          <w:lang w:val="en-US"/>
        </w:rPr>
        <w:t>18.5</w:t>
      </w:r>
      <w:r>
        <w:rPr>
          <w:rFonts w:hint="eastAsia" w:ascii="仿宋_GB2312" w:eastAsia="仿宋_GB2312"/>
          <w:sz w:val="32"/>
          <w:szCs w:val="32"/>
          <w:highlight w:val="none"/>
        </w:rPr>
        <w:t>%。</w:t>
      </w:r>
    </w:p>
    <w:p>
      <w:pPr>
        <w:autoSpaceDE w:val="0"/>
        <w:autoSpaceDN w:val="0"/>
        <w:adjustRightInd w:val="0"/>
        <w:spacing w:line="560" w:lineRule="exact"/>
        <w:ind w:firstLine="640" w:firstLineChars="200"/>
        <w:rPr>
          <w:rFonts w:ascii="仿宋_GB2312" w:eastAsia="仿宋_GB2312"/>
          <w:sz w:val="32"/>
          <w:szCs w:val="32"/>
          <w:highlight w:val="none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全年铁路、公路、水路共完成客运量</w:t>
      </w:r>
      <w:r>
        <w:rPr>
          <w:rFonts w:ascii="仿宋_GB2312" w:eastAsia="仿宋_GB2312"/>
          <w:sz w:val="32"/>
          <w:szCs w:val="32"/>
          <w:highlight w:val="none"/>
        </w:rPr>
        <w:t>6806.9</w:t>
      </w:r>
      <w:r>
        <w:rPr>
          <w:rFonts w:hint="eastAsia" w:ascii="仿宋_GB2312" w:eastAsia="仿宋_GB2312"/>
          <w:sz w:val="32"/>
          <w:szCs w:val="32"/>
          <w:highlight w:val="none"/>
        </w:rPr>
        <w:t>万人次，比上年增长12.3%</w:t>
      </w:r>
      <w:r>
        <w:rPr>
          <w:rFonts w:hint="eastAsia" w:ascii="仿宋_GB2312" w:eastAsia="仿宋_GB2312"/>
          <w:sz w:val="32"/>
          <w:szCs w:val="32"/>
          <w:highlight w:val="none"/>
          <w:lang w:eastAsia="zh"/>
        </w:rPr>
        <w:t>；</w:t>
      </w:r>
      <w:r>
        <w:rPr>
          <w:rFonts w:hint="eastAsia" w:ascii="仿宋_GB2312" w:eastAsia="仿宋_GB2312"/>
          <w:sz w:val="32"/>
          <w:szCs w:val="32"/>
          <w:highlight w:val="none"/>
        </w:rPr>
        <w:t>完成货运量</w:t>
      </w:r>
      <w:r>
        <w:rPr>
          <w:rFonts w:ascii="仿宋_GB2312" w:eastAsia="仿宋_GB2312"/>
          <w:sz w:val="32"/>
          <w:szCs w:val="32"/>
          <w:highlight w:val="none"/>
        </w:rPr>
        <w:t>4.5</w:t>
      </w:r>
      <w:r>
        <w:rPr>
          <w:rFonts w:hint="eastAsia" w:ascii="仿宋_GB2312" w:eastAsia="仿宋_GB2312"/>
          <w:sz w:val="32"/>
          <w:szCs w:val="32"/>
          <w:highlight w:val="none"/>
          <w:lang w:eastAsia="zh"/>
        </w:rPr>
        <w:t>亿</w:t>
      </w:r>
      <w:r>
        <w:rPr>
          <w:rFonts w:hint="eastAsia" w:ascii="仿宋_GB2312" w:eastAsia="仿宋_GB2312"/>
          <w:sz w:val="32"/>
          <w:szCs w:val="32"/>
          <w:highlight w:val="none"/>
        </w:rPr>
        <w:t>吨，</w:t>
      </w:r>
      <w:r>
        <w:rPr>
          <w:rFonts w:hint="eastAsia" w:ascii="仿宋_GB2312" w:eastAsia="仿宋_GB2312"/>
          <w:sz w:val="32"/>
          <w:szCs w:val="32"/>
          <w:highlight w:val="none"/>
          <w:lang w:eastAsia="zh"/>
        </w:rPr>
        <w:t>增长</w:t>
      </w:r>
      <w:r>
        <w:rPr>
          <w:rFonts w:hint="eastAsia" w:ascii="仿宋_GB2312" w:eastAsia="仿宋_GB2312"/>
          <w:sz w:val="32"/>
          <w:szCs w:val="32"/>
          <w:highlight w:val="none"/>
        </w:rPr>
        <w:t>0.5</w:t>
      </w:r>
      <w:r>
        <w:rPr>
          <w:rFonts w:hint="eastAsia" w:ascii="仿宋_GB2312" w:eastAsia="仿宋_GB2312"/>
          <w:sz w:val="32"/>
          <w:szCs w:val="32"/>
          <w:highlight w:val="none"/>
          <w:lang w:eastAsia="zh"/>
        </w:rPr>
        <w:t>%</w:t>
      </w:r>
      <w:r>
        <w:rPr>
          <w:rFonts w:hint="eastAsia" w:ascii="仿宋_GB2312" w:eastAsia="仿宋_GB2312"/>
          <w:sz w:val="32"/>
          <w:szCs w:val="32"/>
          <w:highlight w:val="none"/>
        </w:rPr>
        <w:t>。航空旅客吞吐量</w:t>
      </w:r>
      <w:r>
        <w:rPr>
          <w:rFonts w:ascii="仿宋_GB2312" w:eastAsia="仿宋_GB2312"/>
          <w:sz w:val="32"/>
          <w:szCs w:val="32"/>
          <w:highlight w:val="none"/>
        </w:rPr>
        <w:t>2689.7</w:t>
      </w:r>
      <w:r>
        <w:rPr>
          <w:rFonts w:hint="eastAsia" w:ascii="仿宋_GB2312" w:eastAsia="仿宋_GB2312"/>
          <w:sz w:val="32"/>
          <w:szCs w:val="32"/>
          <w:highlight w:val="none"/>
        </w:rPr>
        <w:t>万人次，</w:t>
      </w:r>
      <w:r>
        <w:rPr>
          <w:rFonts w:hint="eastAsia" w:ascii="仿宋_GB2312" w:eastAsia="仿宋_GB2312"/>
          <w:sz w:val="32"/>
          <w:szCs w:val="32"/>
          <w:highlight w:val="none"/>
          <w:lang w:eastAsia="zh"/>
        </w:rPr>
        <w:t>比上年</w:t>
      </w:r>
      <w:r>
        <w:rPr>
          <w:rFonts w:hint="eastAsia" w:ascii="仿宋_GB2312" w:eastAsia="仿宋_GB2312"/>
          <w:sz w:val="32"/>
          <w:szCs w:val="32"/>
          <w:highlight w:val="none"/>
        </w:rPr>
        <w:t>增长2.7%；航空货邮吞吐量2</w:t>
      </w:r>
      <w:r>
        <w:rPr>
          <w:rFonts w:ascii="仿宋_GB2312" w:eastAsia="仿宋_GB2312"/>
          <w:sz w:val="32"/>
          <w:szCs w:val="32"/>
          <w:highlight w:val="none"/>
        </w:rPr>
        <w:t>2.7</w:t>
      </w:r>
      <w:r>
        <w:rPr>
          <w:rFonts w:hint="eastAsia" w:ascii="仿宋_GB2312" w:eastAsia="仿宋_GB2312"/>
          <w:sz w:val="32"/>
          <w:szCs w:val="32"/>
          <w:highlight w:val="none"/>
        </w:rPr>
        <w:t>万吨，下降1</w:t>
      </w:r>
      <w:r>
        <w:rPr>
          <w:rFonts w:ascii="仿宋_GB2312" w:eastAsia="仿宋_GB2312"/>
          <w:sz w:val="32"/>
          <w:szCs w:val="32"/>
          <w:highlight w:val="none"/>
        </w:rPr>
        <w:t>8.7</w:t>
      </w:r>
      <w:r>
        <w:rPr>
          <w:rFonts w:hint="eastAsia" w:ascii="仿宋_GB2312" w:eastAsia="仿宋_GB2312"/>
          <w:sz w:val="32"/>
          <w:szCs w:val="32"/>
          <w:highlight w:val="none"/>
        </w:rPr>
        <w:t>%。港口货物吞吐量7</w:t>
      </w:r>
      <w:r>
        <w:rPr>
          <w:rFonts w:ascii="仿宋_GB2312" w:eastAsia="仿宋_GB2312"/>
          <w:sz w:val="32"/>
          <w:szCs w:val="32"/>
          <w:highlight w:val="none"/>
        </w:rPr>
        <w:t>.4</w:t>
      </w:r>
      <w:r>
        <w:rPr>
          <w:rFonts w:hint="eastAsia" w:ascii="仿宋_GB2312" w:eastAsia="仿宋_GB2312"/>
          <w:sz w:val="32"/>
          <w:szCs w:val="32"/>
          <w:highlight w:val="none"/>
        </w:rPr>
        <w:t>亿吨，</w:t>
      </w:r>
      <w:r>
        <w:rPr>
          <w:rFonts w:hint="eastAsia" w:ascii="仿宋_GB2312" w:eastAsia="仿宋_GB2312"/>
          <w:sz w:val="32"/>
          <w:szCs w:val="32"/>
          <w:highlight w:val="none"/>
          <w:lang w:eastAsia="zh"/>
        </w:rPr>
        <w:t>比上年</w:t>
      </w:r>
      <w:r>
        <w:rPr>
          <w:rFonts w:hint="eastAsia" w:ascii="仿宋_GB2312" w:eastAsia="仿宋_GB2312"/>
          <w:sz w:val="32"/>
          <w:szCs w:val="32"/>
          <w:highlight w:val="none"/>
        </w:rPr>
        <w:t>增长4</w:t>
      </w:r>
      <w:r>
        <w:rPr>
          <w:rFonts w:ascii="仿宋_GB2312" w:eastAsia="仿宋_GB2312"/>
          <w:sz w:val="32"/>
          <w:szCs w:val="32"/>
          <w:highlight w:val="none"/>
        </w:rPr>
        <w:t>.1</w:t>
      </w:r>
      <w:r>
        <w:rPr>
          <w:rFonts w:hint="eastAsia" w:ascii="仿宋_GB2312" w:eastAsia="仿宋_GB2312"/>
          <w:sz w:val="32"/>
          <w:szCs w:val="32"/>
          <w:highlight w:val="none"/>
        </w:rPr>
        <w:t>%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eastAsia="仿宋_GB2312"/>
          <w:sz w:val="32"/>
          <w:szCs w:val="32"/>
          <w:highlight w:val="none"/>
        </w:rPr>
        <w:t>其中外贸吞吐量5</w:t>
      </w:r>
      <w:r>
        <w:rPr>
          <w:rFonts w:ascii="仿宋_GB2312" w:eastAsia="仿宋_GB2312"/>
          <w:sz w:val="32"/>
          <w:szCs w:val="32"/>
          <w:highlight w:val="none"/>
        </w:rPr>
        <w:t>.3</w:t>
      </w:r>
      <w:r>
        <w:rPr>
          <w:rFonts w:hint="eastAsia" w:ascii="仿宋_GB2312" w:eastAsia="仿宋_GB2312"/>
          <w:sz w:val="32"/>
          <w:szCs w:val="32"/>
          <w:highlight w:val="none"/>
        </w:rPr>
        <w:t>亿吨，增长6</w:t>
      </w:r>
      <w:r>
        <w:rPr>
          <w:rFonts w:ascii="仿宋_GB2312" w:eastAsia="仿宋_GB2312"/>
          <w:sz w:val="32"/>
          <w:szCs w:val="32"/>
          <w:highlight w:val="none"/>
        </w:rPr>
        <w:t>.3</w:t>
      </w:r>
      <w:r>
        <w:rPr>
          <w:rFonts w:hint="eastAsia" w:ascii="仿宋_GB2312" w:eastAsia="仿宋_GB2312"/>
          <w:sz w:val="32"/>
          <w:szCs w:val="32"/>
          <w:highlight w:val="none"/>
        </w:rPr>
        <w:t>%。集装箱吞吐量3</w:t>
      </w:r>
      <w:r>
        <w:rPr>
          <w:rFonts w:ascii="仿宋_GB2312" w:eastAsia="仿宋_GB2312"/>
          <w:sz w:val="32"/>
          <w:szCs w:val="32"/>
          <w:highlight w:val="none"/>
        </w:rPr>
        <w:t>289.3</w:t>
      </w:r>
      <w:r>
        <w:rPr>
          <w:rFonts w:hint="eastAsia" w:ascii="仿宋_GB2312" w:eastAsia="仿宋_GB2312"/>
          <w:sz w:val="32"/>
          <w:szCs w:val="32"/>
          <w:highlight w:val="none"/>
        </w:rPr>
        <w:t>万标准箱，增长6</w:t>
      </w:r>
      <w:r>
        <w:rPr>
          <w:rFonts w:ascii="仿宋_GB2312" w:eastAsia="仿宋_GB2312"/>
          <w:sz w:val="32"/>
          <w:szCs w:val="32"/>
          <w:highlight w:val="none"/>
        </w:rPr>
        <w:t>.5</w:t>
      </w:r>
      <w:r>
        <w:rPr>
          <w:rFonts w:hint="eastAsia" w:ascii="仿宋_GB2312" w:eastAsia="仿宋_GB2312"/>
          <w:sz w:val="32"/>
          <w:szCs w:val="32"/>
          <w:highlight w:val="none"/>
        </w:rPr>
        <w:t>%。</w:t>
      </w:r>
    </w:p>
    <w:p>
      <w:pPr>
        <w:autoSpaceDE w:val="0"/>
        <w:autoSpaceDN w:val="0"/>
        <w:adjustRightInd w:val="0"/>
        <w:spacing w:line="560" w:lineRule="exact"/>
        <w:ind w:firstLine="560" w:firstLineChars="200"/>
        <w:jc w:val="center"/>
        <w:rPr>
          <w:rFonts w:ascii="黑体" w:eastAsia="黑体" w:cs="宋体"/>
          <w:kern w:val="0"/>
          <w:sz w:val="28"/>
          <w:szCs w:val="28"/>
          <w:lang w:val="zh-CN"/>
        </w:rPr>
      </w:pPr>
      <w:r>
        <w:rPr>
          <w:rFonts w:hint="eastAsia" w:ascii="黑体" w:eastAsia="黑体" w:cs="宋体"/>
          <w:kern w:val="0"/>
          <w:sz w:val="28"/>
          <w:szCs w:val="28"/>
          <w:lang w:val="zh-CN"/>
        </w:rPr>
        <w:t>表</w:t>
      </w:r>
      <w:r>
        <w:rPr>
          <w:rFonts w:hint="default" w:ascii="黑体" w:eastAsia="黑体" w:cs="宋体"/>
          <w:kern w:val="0"/>
          <w:sz w:val="28"/>
          <w:szCs w:val="28"/>
          <w:lang w:val="en-US"/>
        </w:rPr>
        <w:t>3</w:t>
      </w:r>
      <w:r>
        <w:rPr>
          <w:rFonts w:hint="eastAsia" w:ascii="黑体" w:eastAsia="黑体" w:cs="宋体"/>
          <w:kern w:val="0"/>
          <w:sz w:val="28"/>
          <w:szCs w:val="28"/>
          <w:lang w:val="zh-CN"/>
        </w:rPr>
        <w:t>：202</w:t>
      </w:r>
      <w:r>
        <w:rPr>
          <w:rFonts w:ascii="黑体" w:eastAsia="黑体" w:cs="宋体"/>
          <w:kern w:val="0"/>
          <w:sz w:val="28"/>
          <w:szCs w:val="28"/>
        </w:rPr>
        <w:t>5</w:t>
      </w:r>
      <w:r>
        <w:rPr>
          <w:rFonts w:hint="eastAsia" w:ascii="黑体" w:eastAsia="黑体" w:cs="宋体"/>
          <w:kern w:val="0"/>
          <w:sz w:val="28"/>
          <w:szCs w:val="28"/>
          <w:lang w:val="zh-CN"/>
        </w:rPr>
        <w:t>年主要运输方式完成的运输量及增速</w:t>
      </w:r>
    </w:p>
    <w:tbl>
      <w:tblPr>
        <w:tblStyle w:val="11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4"/>
        <w:gridCol w:w="1553"/>
        <w:gridCol w:w="2479"/>
        <w:gridCol w:w="228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439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黑体" w:hAnsi="宋体" w:eastAsia="黑体" w:cs="黑体"/>
                <w:sz w:val="24"/>
              </w:rPr>
            </w:pPr>
            <w:r>
              <w:rPr>
                <w:rFonts w:hint="eastAsia" w:ascii="黑体" w:hAnsi="宋体" w:eastAsia="黑体" w:cs="黑体"/>
                <w:kern w:val="0"/>
                <w:sz w:val="24"/>
              </w:rPr>
              <w:t>指标</w:t>
            </w:r>
          </w:p>
        </w:tc>
        <w:tc>
          <w:tcPr>
            <w:tcW w:w="8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黑体" w:hAnsi="宋体" w:eastAsia="黑体" w:cs="黑体"/>
                <w:sz w:val="24"/>
              </w:rPr>
            </w:pPr>
            <w:r>
              <w:rPr>
                <w:rFonts w:hint="eastAsia" w:ascii="黑体" w:hAnsi="宋体" w:eastAsia="黑体" w:cs="黑体"/>
                <w:kern w:val="0"/>
                <w:sz w:val="24"/>
              </w:rPr>
              <w:t>单 位</w:t>
            </w:r>
          </w:p>
        </w:tc>
        <w:tc>
          <w:tcPr>
            <w:tcW w:w="1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黑体" w:hAnsi="宋体" w:eastAsia="黑体" w:cs="黑体"/>
                <w:sz w:val="24"/>
              </w:rPr>
            </w:pPr>
            <w:r>
              <w:rPr>
                <w:rFonts w:hint="eastAsia" w:ascii="黑体" w:hAnsi="宋体" w:eastAsia="黑体" w:cs="黑体"/>
                <w:kern w:val="0"/>
                <w:sz w:val="24"/>
              </w:rPr>
              <w:t>运输量</w:t>
            </w:r>
          </w:p>
        </w:tc>
        <w:tc>
          <w:tcPr>
            <w:tcW w:w="1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黑体" w:hAnsi="宋体" w:eastAsia="黑体" w:cs="黑体"/>
                <w:sz w:val="24"/>
              </w:rPr>
            </w:pPr>
            <w:r>
              <w:rPr>
                <w:rFonts w:hint="eastAsia" w:ascii="黑体" w:hAnsi="宋体" w:eastAsia="黑体" w:cs="黑体"/>
                <w:kern w:val="0"/>
                <w:sz w:val="24"/>
              </w:rPr>
              <w:t>增长</w:t>
            </w:r>
            <w:r>
              <w:rPr>
                <w:rFonts w:hint="eastAsia" w:ascii="黑体" w:hAnsi="黑体" w:eastAsia="黑体" w:cs="宋体"/>
                <w:color w:val="000000"/>
                <w:kern w:val="0"/>
                <w:sz w:val="24"/>
              </w:rPr>
              <w:t>（%）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439" w:type="pct"/>
            <w:tcBorders>
              <w:top w:val="nil"/>
              <w:left w:val="nil"/>
              <w:bottom w:val="nil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 xml:space="preserve">旅客发送量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</w:t>
            </w:r>
          </w:p>
        </w:tc>
        <w:tc>
          <w:tcPr>
            <w:tcW w:w="875" w:type="pct"/>
            <w:tcBorders>
              <w:left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万人</w:t>
            </w:r>
          </w:p>
        </w:tc>
        <w:tc>
          <w:tcPr>
            <w:tcW w:w="1397" w:type="pct"/>
            <w:tcBorders>
              <w:left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ind w:right="420" w:rightChars="200"/>
              <w:jc w:val="right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Arial"/>
                <w:szCs w:val="21"/>
              </w:rPr>
              <w:t>6806.9</w:t>
            </w:r>
          </w:p>
        </w:tc>
        <w:tc>
          <w:tcPr>
            <w:tcW w:w="1287" w:type="pct"/>
            <w:tcBorders>
              <w:lef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ind w:right="420" w:rightChars="200"/>
              <w:jc w:val="right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Arial"/>
                <w:szCs w:val="21"/>
              </w:rPr>
              <w:t>12.3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439" w:type="pct"/>
            <w:tcBorders>
              <w:top w:val="nil"/>
              <w:left w:val="nil"/>
              <w:bottom w:val="nil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铁路             </w:t>
            </w:r>
          </w:p>
        </w:tc>
        <w:tc>
          <w:tcPr>
            <w:tcW w:w="875" w:type="pct"/>
            <w:tcBorders>
              <w:left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万人</w:t>
            </w:r>
          </w:p>
        </w:tc>
        <w:tc>
          <w:tcPr>
            <w:tcW w:w="1397" w:type="pct"/>
            <w:tcBorders>
              <w:left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ind w:right="420" w:rightChars="200"/>
              <w:jc w:val="right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Arial"/>
                <w:szCs w:val="21"/>
              </w:rPr>
              <w:t>3641.2</w:t>
            </w:r>
          </w:p>
        </w:tc>
        <w:tc>
          <w:tcPr>
            <w:tcW w:w="1287" w:type="pct"/>
            <w:tcBorders>
              <w:lef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ind w:right="420" w:rightChars="200"/>
              <w:jc w:val="right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Arial"/>
                <w:szCs w:val="21"/>
              </w:rPr>
              <w:t>3.5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439" w:type="pct"/>
            <w:tcBorders>
              <w:top w:val="nil"/>
              <w:left w:val="nil"/>
              <w:bottom w:val="nil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公路             </w:t>
            </w:r>
          </w:p>
        </w:tc>
        <w:tc>
          <w:tcPr>
            <w:tcW w:w="875" w:type="pct"/>
            <w:tcBorders>
              <w:left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万人</w:t>
            </w:r>
          </w:p>
        </w:tc>
        <w:tc>
          <w:tcPr>
            <w:tcW w:w="1397" w:type="pct"/>
            <w:tcBorders>
              <w:left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ind w:right="420" w:rightChars="200"/>
              <w:jc w:val="right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Arial"/>
                <w:szCs w:val="21"/>
              </w:rPr>
              <w:t>2705.0</w:t>
            </w:r>
          </w:p>
        </w:tc>
        <w:tc>
          <w:tcPr>
            <w:tcW w:w="1287" w:type="pct"/>
            <w:tcBorders>
              <w:lef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ind w:right="420" w:rightChars="200"/>
              <w:jc w:val="right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Arial"/>
                <w:szCs w:val="21"/>
              </w:rPr>
              <w:t>21.9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439" w:type="pct"/>
            <w:tcBorders>
              <w:top w:val="nil"/>
              <w:left w:val="nil"/>
              <w:bottom w:val="nil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水运             </w:t>
            </w:r>
          </w:p>
        </w:tc>
        <w:tc>
          <w:tcPr>
            <w:tcW w:w="875" w:type="pct"/>
            <w:tcBorders>
              <w:left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万人</w:t>
            </w:r>
          </w:p>
        </w:tc>
        <w:tc>
          <w:tcPr>
            <w:tcW w:w="1397" w:type="pct"/>
            <w:tcBorders>
              <w:left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ind w:right="420" w:rightChars="200"/>
              <w:jc w:val="right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Arial"/>
                <w:szCs w:val="21"/>
              </w:rPr>
              <w:t>460.7</w:t>
            </w:r>
          </w:p>
        </w:tc>
        <w:tc>
          <w:tcPr>
            <w:tcW w:w="1287" w:type="pct"/>
            <w:tcBorders>
              <w:lef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ind w:right="420" w:rightChars="200"/>
              <w:jc w:val="right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Arial"/>
                <w:szCs w:val="21"/>
              </w:rPr>
              <w:t>43.9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439" w:type="pct"/>
            <w:tcBorders>
              <w:top w:val="nil"/>
              <w:left w:val="nil"/>
              <w:bottom w:val="nil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 xml:space="preserve">货运运输量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</w:t>
            </w:r>
          </w:p>
        </w:tc>
        <w:tc>
          <w:tcPr>
            <w:tcW w:w="875" w:type="pct"/>
            <w:tcBorders>
              <w:left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万吨</w:t>
            </w:r>
          </w:p>
        </w:tc>
        <w:tc>
          <w:tcPr>
            <w:tcW w:w="1397" w:type="pct"/>
            <w:tcBorders>
              <w:left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ind w:right="420" w:rightChars="200"/>
              <w:jc w:val="right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</w:rPr>
              <w:t>4</w:t>
            </w:r>
            <w:r>
              <w:rPr>
                <w:rFonts w:ascii="宋体" w:hAnsi="宋体" w:cs="Arial"/>
                <w:szCs w:val="21"/>
              </w:rPr>
              <w:t>4977.6</w:t>
            </w:r>
          </w:p>
        </w:tc>
        <w:tc>
          <w:tcPr>
            <w:tcW w:w="1287" w:type="pct"/>
            <w:tcBorders>
              <w:lef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ind w:right="420" w:rightChars="200"/>
              <w:jc w:val="right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</w:rPr>
              <w:t>0</w:t>
            </w:r>
            <w:r>
              <w:rPr>
                <w:rFonts w:ascii="宋体" w:hAnsi="宋体" w:cs="Arial"/>
                <w:szCs w:val="21"/>
              </w:rPr>
              <w:t>.5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439" w:type="pct"/>
            <w:tcBorders>
              <w:top w:val="nil"/>
              <w:left w:val="nil"/>
              <w:bottom w:val="nil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铁路             </w:t>
            </w:r>
          </w:p>
        </w:tc>
        <w:tc>
          <w:tcPr>
            <w:tcW w:w="875" w:type="pct"/>
            <w:tcBorders>
              <w:left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万吨</w:t>
            </w:r>
          </w:p>
        </w:tc>
        <w:tc>
          <w:tcPr>
            <w:tcW w:w="1397" w:type="pct"/>
            <w:tcBorders>
              <w:left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ind w:right="420" w:rightChars="200"/>
              <w:jc w:val="right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</w:rPr>
              <w:t>8</w:t>
            </w:r>
            <w:r>
              <w:rPr>
                <w:rFonts w:ascii="宋体" w:hAnsi="宋体" w:cs="Arial"/>
                <w:szCs w:val="21"/>
              </w:rPr>
              <w:t>644.2</w:t>
            </w:r>
          </w:p>
        </w:tc>
        <w:tc>
          <w:tcPr>
            <w:tcW w:w="1287" w:type="pct"/>
            <w:tcBorders>
              <w:lef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ind w:right="420" w:rightChars="200"/>
              <w:jc w:val="right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</w:rPr>
              <w:t>-</w:t>
            </w:r>
            <w:r>
              <w:rPr>
                <w:rFonts w:ascii="宋体" w:hAnsi="宋体" w:cs="Arial"/>
                <w:szCs w:val="21"/>
              </w:rPr>
              <w:t>4.0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439" w:type="pct"/>
            <w:tcBorders>
              <w:top w:val="nil"/>
              <w:left w:val="nil"/>
              <w:bottom w:val="nil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公路             </w:t>
            </w:r>
          </w:p>
        </w:tc>
        <w:tc>
          <w:tcPr>
            <w:tcW w:w="875" w:type="pct"/>
            <w:tcBorders>
              <w:left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万吨</w:t>
            </w:r>
          </w:p>
        </w:tc>
        <w:tc>
          <w:tcPr>
            <w:tcW w:w="1397" w:type="pct"/>
            <w:tcBorders>
              <w:left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ind w:right="420" w:rightChars="200"/>
              <w:jc w:val="right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</w:rPr>
              <w:t>2</w:t>
            </w:r>
            <w:r>
              <w:rPr>
                <w:rFonts w:ascii="宋体" w:hAnsi="宋体" w:cs="Arial"/>
                <w:szCs w:val="21"/>
              </w:rPr>
              <w:t>7888.0</w:t>
            </w:r>
          </w:p>
        </w:tc>
        <w:tc>
          <w:tcPr>
            <w:tcW w:w="1287" w:type="pct"/>
            <w:tcBorders>
              <w:lef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ind w:right="420" w:rightChars="200"/>
              <w:jc w:val="right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</w:rPr>
              <w:t>2</w:t>
            </w:r>
            <w:r>
              <w:rPr>
                <w:rFonts w:ascii="宋体" w:hAnsi="宋体" w:cs="Arial"/>
                <w:szCs w:val="21"/>
              </w:rPr>
              <w:t>.5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43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水运             </w:t>
            </w:r>
          </w:p>
        </w:tc>
        <w:tc>
          <w:tcPr>
            <w:tcW w:w="875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万吨</w:t>
            </w:r>
          </w:p>
        </w:tc>
        <w:tc>
          <w:tcPr>
            <w:tcW w:w="1397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ind w:right="420" w:rightChars="200"/>
              <w:jc w:val="right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</w:rPr>
              <w:t>8</w:t>
            </w:r>
            <w:r>
              <w:rPr>
                <w:rFonts w:ascii="宋体" w:hAnsi="宋体" w:cs="Arial"/>
                <w:szCs w:val="21"/>
              </w:rPr>
              <w:t>445.4</w:t>
            </w:r>
          </w:p>
        </w:tc>
        <w:tc>
          <w:tcPr>
            <w:tcW w:w="1287" w:type="pct"/>
            <w:tcBorders>
              <w:left w:val="single" w:color="000000" w:sz="4" w:space="0"/>
              <w:bottom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ind w:right="420" w:rightChars="200"/>
              <w:jc w:val="right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</w:rPr>
              <w:t>-1</w:t>
            </w:r>
            <w:r>
              <w:rPr>
                <w:rFonts w:ascii="宋体" w:hAnsi="宋体" w:cs="Arial"/>
                <w:szCs w:val="21"/>
              </w:rPr>
              <w:t>.4</w:t>
            </w:r>
          </w:p>
        </w:tc>
      </w:tr>
    </w:tbl>
    <w:p>
      <w:pPr>
        <w:widowControl/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  <w:highlight w:val="none"/>
        </w:rPr>
      </w:pPr>
      <w:bookmarkStart w:id="3" w:name="OLE_LINK10"/>
      <w:bookmarkStart w:id="4" w:name="OLE_LINK11"/>
    </w:p>
    <w:p>
      <w:pPr>
        <w:widowControl/>
        <w:spacing w:line="560" w:lineRule="exact"/>
        <w:ind w:firstLine="640" w:firstLineChars="200"/>
        <w:rPr>
          <w:rFonts w:ascii="仿宋_GB2312" w:eastAsia="仿宋_GB2312"/>
          <w:sz w:val="32"/>
          <w:szCs w:val="32"/>
          <w:highlight w:val="none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年末全市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轨道交通</w:t>
      </w:r>
      <w:r>
        <w:rPr>
          <w:rFonts w:hint="eastAsia" w:ascii="仿宋_GB2312" w:eastAsia="仿宋_GB2312"/>
          <w:sz w:val="32"/>
          <w:szCs w:val="32"/>
          <w:highlight w:val="none"/>
        </w:rPr>
        <w:t>运营线路9条，长度达到3</w:t>
      </w:r>
      <w:r>
        <w:rPr>
          <w:rFonts w:ascii="仿宋_GB2312" w:eastAsia="仿宋_GB2312"/>
          <w:sz w:val="32"/>
          <w:szCs w:val="32"/>
          <w:highlight w:val="none"/>
        </w:rPr>
        <w:t>60.9</w:t>
      </w:r>
      <w:r>
        <w:rPr>
          <w:rFonts w:hint="eastAsia" w:ascii="仿宋_GB2312" w:eastAsia="仿宋_GB2312"/>
          <w:sz w:val="32"/>
          <w:szCs w:val="32"/>
          <w:highlight w:val="none"/>
        </w:rPr>
        <w:t>公里，运营车站</w:t>
      </w:r>
      <w:r>
        <w:rPr>
          <w:rFonts w:hint="default" w:ascii="仿宋_GB2312" w:eastAsia="仿宋_GB2312"/>
          <w:sz w:val="32"/>
          <w:szCs w:val="32"/>
          <w:highlight w:val="none"/>
          <w:lang w:val="en-US"/>
        </w:rPr>
        <w:t>184</w:t>
      </w:r>
      <w:r>
        <w:rPr>
          <w:rFonts w:hint="eastAsia" w:ascii="仿宋_GB2312" w:eastAsia="仿宋_GB2312"/>
          <w:sz w:val="32"/>
          <w:szCs w:val="32"/>
          <w:highlight w:val="none"/>
        </w:rPr>
        <w:t>个，</w:t>
      </w:r>
      <w:r>
        <w:rPr>
          <w:rFonts w:hint="eastAsia" w:ascii="仿宋_GB2312" w:eastAsia="仿宋_GB2312"/>
          <w:sz w:val="32"/>
          <w:szCs w:val="32"/>
          <w:highlight w:val="none"/>
          <w:lang w:eastAsia="zh"/>
        </w:rPr>
        <w:t>年</w:t>
      </w:r>
      <w:r>
        <w:rPr>
          <w:rFonts w:hint="eastAsia" w:ascii="仿宋_GB2312" w:eastAsia="仿宋_GB2312"/>
          <w:sz w:val="32"/>
          <w:szCs w:val="32"/>
          <w:highlight w:val="none"/>
        </w:rPr>
        <w:t>客运量</w:t>
      </w:r>
      <w:r>
        <w:rPr>
          <w:rFonts w:ascii="仿宋_GB2312" w:eastAsia="仿宋_GB2312"/>
          <w:sz w:val="32"/>
          <w:szCs w:val="32"/>
          <w:highlight w:val="none"/>
        </w:rPr>
        <w:t>5.4</w:t>
      </w:r>
      <w:r>
        <w:rPr>
          <w:rFonts w:hint="eastAsia" w:ascii="仿宋_GB2312" w:eastAsia="仿宋_GB2312"/>
          <w:sz w:val="32"/>
          <w:szCs w:val="32"/>
          <w:highlight w:val="none"/>
        </w:rPr>
        <w:t>亿人次。地面公交运营车辆达</w:t>
      </w:r>
      <w:r>
        <w:rPr>
          <w:rFonts w:ascii="仿宋_GB2312" w:eastAsia="仿宋_GB2312"/>
          <w:sz w:val="32"/>
          <w:szCs w:val="32"/>
          <w:highlight w:val="none"/>
        </w:rPr>
        <w:t>9402</w:t>
      </w:r>
      <w:r>
        <w:rPr>
          <w:rFonts w:hint="eastAsia" w:ascii="仿宋_GB2312" w:eastAsia="仿宋_GB2312"/>
          <w:sz w:val="32"/>
          <w:szCs w:val="32"/>
          <w:highlight w:val="none"/>
        </w:rPr>
        <w:t>辆，公交运营线路</w:t>
      </w:r>
      <w:r>
        <w:rPr>
          <w:rFonts w:ascii="仿宋_GB2312" w:eastAsia="仿宋_GB2312"/>
          <w:sz w:val="32"/>
          <w:szCs w:val="32"/>
          <w:highlight w:val="none"/>
        </w:rPr>
        <w:t>897</w:t>
      </w:r>
      <w:r>
        <w:rPr>
          <w:rFonts w:hint="eastAsia" w:ascii="仿宋_GB2312" w:eastAsia="仿宋_GB2312"/>
          <w:sz w:val="32"/>
          <w:szCs w:val="32"/>
          <w:highlight w:val="none"/>
        </w:rPr>
        <w:t>条，运营线路总长度</w:t>
      </w:r>
      <w:r>
        <w:rPr>
          <w:rFonts w:ascii="仿宋_GB2312" w:eastAsia="仿宋_GB2312"/>
          <w:sz w:val="32"/>
          <w:szCs w:val="32"/>
          <w:highlight w:val="none"/>
        </w:rPr>
        <w:t>18964</w:t>
      </w:r>
      <w:r>
        <w:rPr>
          <w:rFonts w:hint="eastAsia" w:ascii="仿宋_GB2312" w:eastAsia="仿宋_GB2312"/>
          <w:sz w:val="32"/>
          <w:szCs w:val="32"/>
          <w:highlight w:val="none"/>
        </w:rPr>
        <w:t>公里，年客运量</w:t>
      </w:r>
      <w:r>
        <w:rPr>
          <w:rFonts w:ascii="仿宋_GB2312" w:eastAsia="仿宋_GB2312"/>
          <w:sz w:val="32"/>
          <w:szCs w:val="32"/>
          <w:highlight w:val="none"/>
        </w:rPr>
        <w:t>7.3</w:t>
      </w:r>
      <w:r>
        <w:rPr>
          <w:rFonts w:hint="eastAsia" w:ascii="仿宋_GB2312" w:eastAsia="仿宋_GB2312"/>
          <w:sz w:val="32"/>
          <w:szCs w:val="32"/>
          <w:highlight w:val="none"/>
        </w:rPr>
        <w:t>亿人次。运营巡游出租车</w:t>
      </w:r>
      <w:r>
        <w:rPr>
          <w:rFonts w:ascii="仿宋_GB2312" w:eastAsia="仿宋_GB2312"/>
          <w:sz w:val="32"/>
          <w:szCs w:val="32"/>
          <w:highlight w:val="none"/>
        </w:rPr>
        <w:t>10597</w:t>
      </w:r>
      <w:r>
        <w:rPr>
          <w:rFonts w:hint="eastAsia" w:ascii="仿宋_GB2312" w:eastAsia="仿宋_GB2312"/>
          <w:sz w:val="32"/>
          <w:szCs w:val="32"/>
          <w:highlight w:val="none"/>
        </w:rPr>
        <w:t>辆，年客运量</w:t>
      </w:r>
      <w:r>
        <w:rPr>
          <w:rFonts w:hint="default" w:ascii="仿宋_GB2312" w:eastAsia="仿宋_GB2312"/>
          <w:sz w:val="32"/>
          <w:szCs w:val="32"/>
          <w:highlight w:val="none"/>
          <w:lang w:val="en-US"/>
        </w:rPr>
        <w:t>5107</w:t>
      </w:r>
      <w:r>
        <w:rPr>
          <w:rFonts w:hint="eastAsia" w:ascii="仿宋_GB2312" w:eastAsia="仿宋_GB2312"/>
          <w:sz w:val="32"/>
          <w:szCs w:val="32"/>
          <w:highlight w:val="none"/>
        </w:rPr>
        <w:t>万人次。</w:t>
      </w:r>
    </w:p>
    <w:bookmarkEnd w:id="3"/>
    <w:bookmarkEnd w:id="4"/>
    <w:p>
      <w:pPr>
        <w:widowControl/>
        <w:spacing w:line="560" w:lineRule="exact"/>
        <w:ind w:firstLine="640" w:firstLineChars="200"/>
        <w:rPr>
          <w:rFonts w:ascii="仿宋_GB2312" w:eastAsia="仿宋_GB2312"/>
          <w:sz w:val="32"/>
          <w:szCs w:val="32"/>
          <w:highlight w:val="none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年末全市机动车保有量</w:t>
      </w:r>
      <w:r>
        <w:rPr>
          <w:rFonts w:ascii="仿宋_GB2312" w:eastAsia="仿宋_GB2312"/>
          <w:sz w:val="32"/>
          <w:szCs w:val="32"/>
          <w:highlight w:val="none"/>
        </w:rPr>
        <w:t>409.6</w:t>
      </w:r>
      <w:r>
        <w:rPr>
          <w:rFonts w:hint="eastAsia" w:ascii="仿宋_GB2312" w:eastAsia="仿宋_GB2312"/>
          <w:sz w:val="32"/>
          <w:szCs w:val="32"/>
          <w:highlight w:val="none"/>
        </w:rPr>
        <w:t>万辆，比上年增长2</w:t>
      </w:r>
      <w:r>
        <w:rPr>
          <w:rFonts w:ascii="仿宋_GB2312" w:eastAsia="仿宋_GB2312"/>
          <w:sz w:val="32"/>
          <w:szCs w:val="32"/>
          <w:highlight w:val="none"/>
        </w:rPr>
        <w:t>.6</w:t>
      </w:r>
      <w:r>
        <w:rPr>
          <w:rFonts w:hint="eastAsia" w:ascii="仿宋_GB2312" w:eastAsia="仿宋_GB2312"/>
          <w:sz w:val="32"/>
          <w:szCs w:val="32"/>
          <w:highlight w:val="none"/>
        </w:rPr>
        <w:t>%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eastAsia="仿宋_GB2312"/>
          <w:sz w:val="32"/>
          <w:szCs w:val="32"/>
          <w:highlight w:val="none"/>
        </w:rPr>
        <w:t>其中私人汽车</w:t>
      </w:r>
      <w:r>
        <w:rPr>
          <w:rFonts w:ascii="仿宋_GB2312" w:eastAsia="仿宋_GB2312"/>
          <w:sz w:val="32"/>
          <w:szCs w:val="32"/>
          <w:highlight w:val="none"/>
        </w:rPr>
        <w:t>337.2</w:t>
      </w:r>
      <w:r>
        <w:rPr>
          <w:rFonts w:hint="eastAsia" w:ascii="仿宋_GB2312" w:eastAsia="仿宋_GB2312"/>
          <w:sz w:val="32"/>
          <w:szCs w:val="32"/>
          <w:highlight w:val="none"/>
        </w:rPr>
        <w:t>万辆，增长2</w:t>
      </w:r>
      <w:r>
        <w:rPr>
          <w:rFonts w:ascii="仿宋_GB2312" w:eastAsia="仿宋_GB2312"/>
          <w:sz w:val="32"/>
          <w:szCs w:val="32"/>
          <w:highlight w:val="none"/>
        </w:rPr>
        <w:t>.7</w:t>
      </w:r>
      <w:r>
        <w:rPr>
          <w:rFonts w:hint="eastAsia" w:ascii="仿宋_GB2312" w:eastAsia="仿宋_GB2312"/>
          <w:sz w:val="32"/>
          <w:szCs w:val="32"/>
          <w:highlight w:val="none"/>
        </w:rPr>
        <w:t>%。</w:t>
      </w:r>
    </w:p>
    <w:p>
      <w:pPr>
        <w:widowControl/>
        <w:spacing w:line="56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  <w:highlight w:val="none"/>
          <w:lang w:val="zh-CN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全年完成邮政业务总量</w:t>
      </w:r>
      <w:r>
        <w:rPr>
          <w:rFonts w:ascii="仿宋_GB2312" w:eastAsia="仿宋_GB2312"/>
          <w:sz w:val="32"/>
          <w:szCs w:val="32"/>
          <w:highlight w:val="none"/>
        </w:rPr>
        <w:t>173.7</w:t>
      </w:r>
      <w:r>
        <w:rPr>
          <w:rFonts w:hint="eastAsia" w:ascii="仿宋_GB2312" w:eastAsia="仿宋_GB2312"/>
          <w:sz w:val="32"/>
          <w:szCs w:val="32"/>
          <w:highlight w:val="none"/>
        </w:rPr>
        <w:t>亿标准量，比上年增长1</w:t>
      </w:r>
      <w:r>
        <w:rPr>
          <w:rFonts w:ascii="仿宋_GB2312" w:eastAsia="仿宋_GB2312"/>
          <w:sz w:val="32"/>
          <w:szCs w:val="32"/>
          <w:highlight w:val="none"/>
        </w:rPr>
        <w:t>5.6</w:t>
      </w:r>
      <w:r>
        <w:rPr>
          <w:rFonts w:hint="eastAsia" w:ascii="仿宋_GB2312" w:eastAsia="仿宋_GB2312"/>
          <w:sz w:val="32"/>
          <w:szCs w:val="32"/>
          <w:highlight w:val="none"/>
        </w:rPr>
        <w:t>%。电信业务总量</w:t>
      </w:r>
      <w:r>
        <w:rPr>
          <w:rFonts w:ascii="仿宋_GB2312" w:eastAsia="仿宋_GB2312"/>
          <w:sz w:val="32"/>
          <w:szCs w:val="32"/>
          <w:highlight w:val="none"/>
        </w:rPr>
        <w:t>148.3</w:t>
      </w:r>
      <w:r>
        <w:rPr>
          <w:rFonts w:hint="eastAsia" w:ascii="仿宋_GB2312" w:eastAsia="仿宋_GB2312"/>
          <w:sz w:val="32"/>
          <w:szCs w:val="32"/>
          <w:highlight w:val="none"/>
        </w:rPr>
        <w:t>亿元，增长7</w:t>
      </w:r>
      <w:r>
        <w:rPr>
          <w:rFonts w:ascii="仿宋_GB2312" w:eastAsia="仿宋_GB2312"/>
          <w:sz w:val="32"/>
          <w:szCs w:val="32"/>
          <w:highlight w:val="none"/>
        </w:rPr>
        <w:t>.3</w:t>
      </w:r>
      <w:r>
        <w:rPr>
          <w:rFonts w:hint="eastAsia" w:ascii="仿宋_GB2312" w:eastAsia="仿宋_GB2312"/>
          <w:sz w:val="32"/>
          <w:szCs w:val="32"/>
          <w:highlight w:val="none"/>
        </w:rPr>
        <w:t>%。快递业务量</w:t>
      </w:r>
      <w:r>
        <w:rPr>
          <w:rFonts w:ascii="仿宋_GB2312" w:eastAsia="仿宋_GB2312"/>
          <w:sz w:val="32"/>
          <w:szCs w:val="32"/>
          <w:highlight w:val="none"/>
        </w:rPr>
        <w:t>15.0</w:t>
      </w:r>
      <w:r>
        <w:rPr>
          <w:rFonts w:hint="eastAsia" w:ascii="仿宋_GB2312" w:eastAsia="仿宋_GB2312"/>
          <w:sz w:val="32"/>
          <w:szCs w:val="32"/>
          <w:highlight w:val="none"/>
        </w:rPr>
        <w:t>亿件，增长1</w:t>
      </w:r>
      <w:r>
        <w:rPr>
          <w:rFonts w:ascii="仿宋_GB2312" w:eastAsia="仿宋_GB2312"/>
          <w:sz w:val="32"/>
          <w:szCs w:val="32"/>
          <w:highlight w:val="none"/>
        </w:rPr>
        <w:t>4.7</w:t>
      </w:r>
      <w:r>
        <w:rPr>
          <w:rFonts w:hint="eastAsia" w:ascii="仿宋_GB2312" w:eastAsia="仿宋_GB2312"/>
          <w:sz w:val="32"/>
          <w:szCs w:val="32"/>
          <w:highlight w:val="none"/>
        </w:rPr>
        <w:t>%。</w:t>
      </w:r>
      <w:r>
        <w:rPr>
          <w:rFonts w:hint="eastAsia" w:ascii="仿宋_GB2312" w:eastAsia="仿宋_GB2312"/>
          <w:sz w:val="32"/>
          <w:szCs w:val="32"/>
          <w:highlight w:val="none"/>
          <w:lang w:eastAsia="zh"/>
        </w:rPr>
        <w:t>年末</w:t>
      </w:r>
      <w:r>
        <w:rPr>
          <w:rFonts w:hint="eastAsia" w:ascii="仿宋_GB2312" w:eastAsia="仿宋_GB2312"/>
          <w:sz w:val="32"/>
          <w:szCs w:val="32"/>
          <w:highlight w:val="none"/>
        </w:rPr>
        <w:t>固定</w:t>
      </w:r>
      <w:r>
        <w:rPr>
          <w:rFonts w:hint="eastAsia" w:ascii="仿宋_GB2312" w:eastAsia="仿宋_GB2312"/>
          <w:sz w:val="32"/>
          <w:szCs w:val="32"/>
          <w:highlight w:val="none"/>
          <w:lang w:eastAsia="zh"/>
        </w:rPr>
        <w:t>互联网</w:t>
      </w:r>
      <w:r>
        <w:rPr>
          <w:rFonts w:hint="eastAsia" w:ascii="仿宋_GB2312" w:eastAsia="仿宋_GB2312"/>
          <w:sz w:val="32"/>
          <w:szCs w:val="32"/>
          <w:highlight w:val="none"/>
        </w:rPr>
        <w:t>宽带</w:t>
      </w:r>
      <w:r>
        <w:rPr>
          <w:rFonts w:hint="eastAsia" w:ascii="仿宋_GB2312" w:eastAsia="仿宋_GB2312"/>
          <w:sz w:val="32"/>
          <w:szCs w:val="32"/>
          <w:highlight w:val="none"/>
          <w:lang w:eastAsia="zh"/>
        </w:rPr>
        <w:t>接入</w:t>
      </w:r>
      <w:r>
        <w:rPr>
          <w:rFonts w:hint="eastAsia" w:ascii="仿宋_GB2312" w:eastAsia="仿宋_GB2312"/>
          <w:sz w:val="32"/>
          <w:szCs w:val="32"/>
          <w:highlight w:val="none"/>
        </w:rPr>
        <w:t>用户</w:t>
      </w:r>
      <w:r>
        <w:rPr>
          <w:rFonts w:ascii="仿宋_GB2312" w:eastAsia="仿宋_GB2312"/>
          <w:sz w:val="32"/>
          <w:szCs w:val="32"/>
          <w:highlight w:val="none"/>
        </w:rPr>
        <w:t>558.3</w:t>
      </w:r>
      <w:r>
        <w:rPr>
          <w:rFonts w:hint="eastAsia" w:ascii="仿宋_GB2312" w:eastAsia="仿宋_GB2312"/>
          <w:sz w:val="32"/>
          <w:szCs w:val="32"/>
          <w:highlight w:val="none"/>
        </w:rPr>
        <w:t>万户。移动电话用户</w:t>
      </w:r>
      <w:r>
        <w:rPr>
          <w:rFonts w:ascii="仿宋_GB2312" w:eastAsia="仿宋_GB2312"/>
          <w:sz w:val="32"/>
          <w:szCs w:val="32"/>
          <w:highlight w:val="none"/>
        </w:rPr>
        <w:t>1405.7</w:t>
      </w:r>
      <w:r>
        <w:rPr>
          <w:rFonts w:hint="eastAsia" w:ascii="仿宋_GB2312" w:eastAsia="仿宋_GB2312"/>
          <w:sz w:val="32"/>
          <w:szCs w:val="32"/>
          <w:highlight w:val="none"/>
        </w:rPr>
        <w:t>万户，其中5G移动电话用户</w:t>
      </w:r>
      <w:r>
        <w:rPr>
          <w:rFonts w:ascii="仿宋_GB2312" w:eastAsia="仿宋_GB2312"/>
          <w:sz w:val="32"/>
          <w:szCs w:val="32"/>
          <w:highlight w:val="none"/>
        </w:rPr>
        <w:t>914.5</w:t>
      </w:r>
      <w:r>
        <w:rPr>
          <w:rFonts w:hint="eastAsia" w:ascii="仿宋_GB2312" w:eastAsia="仿宋_GB2312"/>
          <w:sz w:val="32"/>
          <w:szCs w:val="32"/>
          <w:highlight w:val="none"/>
        </w:rPr>
        <w:t>万户。累计建成并开通5G基站</w:t>
      </w:r>
      <w:r>
        <w:rPr>
          <w:rFonts w:ascii="仿宋_GB2312" w:eastAsia="仿宋_GB2312"/>
          <w:sz w:val="32"/>
          <w:szCs w:val="32"/>
          <w:highlight w:val="none"/>
        </w:rPr>
        <w:t>46221</w:t>
      </w:r>
      <w:r>
        <w:rPr>
          <w:rFonts w:hint="eastAsia" w:ascii="仿宋_GB2312" w:eastAsia="仿宋_GB2312"/>
          <w:sz w:val="32"/>
          <w:szCs w:val="32"/>
          <w:highlight w:val="none"/>
        </w:rPr>
        <w:t>个。</w:t>
      </w:r>
    </w:p>
    <w:p>
      <w:pPr>
        <w:widowControl/>
        <w:spacing w:line="560" w:lineRule="exact"/>
        <w:jc w:val="center"/>
        <w:rPr>
          <w:rFonts w:ascii="黑体" w:hAnsi="黑体" w:eastAsia="黑体" w:cs="黑体"/>
          <w:kern w:val="0"/>
          <w:sz w:val="32"/>
          <w:szCs w:val="32"/>
        </w:rPr>
      </w:pPr>
    </w:p>
    <w:p>
      <w:pPr>
        <w:widowControl/>
        <w:spacing w:line="560" w:lineRule="exact"/>
        <w:jc w:val="center"/>
        <w:rPr>
          <w:rFonts w:ascii="黑体" w:hAnsi="黑体" w:eastAsia="黑体" w:cs="黑体"/>
          <w:kern w:val="0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</w:rPr>
        <w:t>五、固定资产投资</w:t>
      </w:r>
    </w:p>
    <w:p>
      <w:pPr>
        <w:widowControl/>
        <w:spacing w:line="560" w:lineRule="exact"/>
        <w:ind w:firstLine="640" w:firstLineChars="200"/>
        <w:rPr>
          <w:rFonts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</w:rPr>
        <w:t>全年固定资产投资</w:t>
      </w:r>
      <w:bookmarkStart w:id="5" w:name="OLE_LINK3"/>
      <w:r>
        <w:rPr>
          <w:rStyle w:val="14"/>
          <w:rFonts w:hint="eastAsia" w:ascii="仿宋_GB2312" w:hAnsi="仿宋_GB2312" w:eastAsia="仿宋_GB2312" w:cs="仿宋_GB2312"/>
          <w:color w:val="auto"/>
          <w:kern w:val="0"/>
          <w:sz w:val="32"/>
          <w:szCs w:val="32"/>
        </w:rPr>
        <w:endnoteReference w:id="6" w:customMarkFollows="1"/>
        <w:t>[</w:t>
      </w:r>
      <w:r>
        <w:rPr>
          <w:rFonts w:hint="default" w:ascii="仿宋_GB2312" w:hAnsi="仿宋_GB2312" w:eastAsia="仿宋_GB2312" w:cs="仿宋_GB2312"/>
          <w:color w:val="auto"/>
          <w:kern w:val="0"/>
          <w:sz w:val="32"/>
          <w:szCs w:val="32"/>
          <w:vertAlign w:val="superscript"/>
          <w:lang w:val="en-US"/>
        </w:rPr>
        <w:t>8</w:t>
      </w:r>
      <w:r>
        <w:rPr>
          <w:rStyle w:val="14"/>
          <w:rFonts w:hint="eastAsia" w:ascii="仿宋_GB2312" w:hAnsi="仿宋_GB2312" w:eastAsia="仿宋_GB2312" w:cs="仿宋_GB2312"/>
          <w:color w:val="auto"/>
          <w:kern w:val="0"/>
          <w:sz w:val="32"/>
          <w:szCs w:val="32"/>
        </w:rPr>
        <w:t>]</w:t>
      </w:r>
      <w:bookmarkEnd w:id="5"/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/>
        </w:rPr>
        <w:t>不含农户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eastAsia="zh-CN"/>
        </w:rPr>
        <w:t>）</w:t>
      </w:r>
      <w:r>
        <w:rPr>
          <w:rFonts w:hint="eastAsia" w:ascii="仿宋_GB2312" w:eastAsia="仿宋_GB2312"/>
          <w:color w:val="auto"/>
          <w:sz w:val="32"/>
          <w:szCs w:val="32"/>
        </w:rPr>
        <w:t>比上年下降1</w:t>
      </w:r>
      <w:r>
        <w:rPr>
          <w:rFonts w:ascii="仿宋_GB2312" w:eastAsia="仿宋_GB2312"/>
          <w:color w:val="auto"/>
          <w:sz w:val="32"/>
          <w:szCs w:val="32"/>
        </w:rPr>
        <w:t>8.7</w:t>
      </w:r>
      <w:r>
        <w:rPr>
          <w:rFonts w:hint="eastAsia" w:ascii="仿宋_GB2312" w:eastAsia="仿宋_GB2312"/>
          <w:color w:val="auto"/>
          <w:sz w:val="32"/>
          <w:szCs w:val="32"/>
        </w:rPr>
        <w:t>%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。</w:t>
      </w:r>
      <w:r>
        <w:rPr>
          <w:rFonts w:hint="eastAsia" w:ascii="仿宋_GB2312" w:eastAsia="仿宋_GB2312"/>
          <w:color w:val="auto"/>
          <w:sz w:val="32"/>
          <w:szCs w:val="32"/>
        </w:rPr>
        <w:t>其中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eastAsia="仿宋_GB2312"/>
          <w:color w:val="auto"/>
          <w:sz w:val="32"/>
          <w:szCs w:val="32"/>
        </w:rPr>
        <w:t>第一产业投资下降1</w:t>
      </w:r>
      <w:r>
        <w:rPr>
          <w:rFonts w:ascii="仿宋_GB2312" w:eastAsia="仿宋_GB2312"/>
          <w:color w:val="auto"/>
          <w:sz w:val="32"/>
          <w:szCs w:val="32"/>
        </w:rPr>
        <w:t>6.1</w:t>
      </w:r>
      <w:r>
        <w:rPr>
          <w:rFonts w:hint="eastAsia" w:ascii="仿宋_GB2312" w:eastAsia="仿宋_GB2312"/>
          <w:color w:val="auto"/>
          <w:sz w:val="32"/>
          <w:szCs w:val="32"/>
        </w:rPr>
        <w:t>%，第二产业投资下降3</w:t>
      </w:r>
      <w:r>
        <w:rPr>
          <w:rFonts w:ascii="仿宋_GB2312" w:eastAsia="仿宋_GB2312"/>
          <w:color w:val="auto"/>
          <w:sz w:val="32"/>
          <w:szCs w:val="32"/>
        </w:rPr>
        <w:t>.5</w:t>
      </w:r>
      <w:r>
        <w:rPr>
          <w:rFonts w:hint="eastAsia" w:ascii="仿宋_GB2312" w:eastAsia="仿宋_GB2312"/>
          <w:color w:val="auto"/>
          <w:sz w:val="32"/>
          <w:szCs w:val="32"/>
        </w:rPr>
        <w:t>%，第三产业投资下降2</w:t>
      </w:r>
      <w:r>
        <w:rPr>
          <w:rFonts w:ascii="仿宋_GB2312" w:eastAsia="仿宋_GB2312"/>
          <w:color w:val="auto"/>
          <w:sz w:val="32"/>
          <w:szCs w:val="32"/>
        </w:rPr>
        <w:t>6.7</w:t>
      </w:r>
      <w:r>
        <w:rPr>
          <w:rFonts w:hint="eastAsia" w:ascii="仿宋_GB2312" w:eastAsia="仿宋_GB2312"/>
          <w:color w:val="auto"/>
          <w:sz w:val="32"/>
          <w:szCs w:val="32"/>
        </w:rPr>
        <w:t>%。</w:t>
      </w:r>
    </w:p>
    <w:p>
      <w:pPr>
        <w:autoSpaceDE w:val="0"/>
        <w:autoSpaceDN w:val="0"/>
        <w:adjustRightInd w:val="0"/>
        <w:spacing w:line="560" w:lineRule="exact"/>
        <w:jc w:val="center"/>
        <w:rPr>
          <w:rFonts w:ascii="黑体" w:eastAsia="黑体" w:cs="宋体"/>
          <w:color w:val="000000"/>
          <w:kern w:val="0"/>
          <w:sz w:val="28"/>
          <w:szCs w:val="28"/>
          <w:lang w:val="zh-CN"/>
        </w:rPr>
      </w:pPr>
      <w:r>
        <w:rPr>
          <w:rFonts w:hint="eastAsia" w:ascii="黑体" w:eastAsia="黑体" w:cs="宋体"/>
          <w:color w:val="000000"/>
          <w:kern w:val="0"/>
          <w:sz w:val="28"/>
          <w:szCs w:val="28"/>
          <w:lang w:val="zh-CN"/>
        </w:rPr>
        <w:t>图</w:t>
      </w:r>
      <w:r>
        <w:rPr>
          <w:rFonts w:hint="default" w:ascii="黑体" w:eastAsia="黑体" w:cs="宋体"/>
          <w:color w:val="000000"/>
          <w:kern w:val="0"/>
          <w:sz w:val="28"/>
          <w:szCs w:val="28"/>
          <w:lang w:val="en-US"/>
        </w:rPr>
        <w:t>4</w:t>
      </w:r>
      <w:r>
        <w:rPr>
          <w:rFonts w:hint="eastAsia" w:ascii="黑体" w:eastAsia="黑体" w:cs="宋体"/>
          <w:color w:val="000000"/>
          <w:kern w:val="0"/>
          <w:sz w:val="28"/>
          <w:szCs w:val="28"/>
          <w:lang w:val="zh-CN"/>
        </w:rPr>
        <w:t>：2</w:t>
      </w:r>
      <w:r>
        <w:rPr>
          <w:rFonts w:ascii="黑体" w:eastAsia="黑体" w:cs="宋体"/>
          <w:color w:val="000000"/>
          <w:kern w:val="0"/>
          <w:sz w:val="28"/>
          <w:szCs w:val="28"/>
          <w:lang w:val="zh-CN"/>
        </w:rPr>
        <w:t>02</w:t>
      </w:r>
      <w:r>
        <w:rPr>
          <w:rFonts w:ascii="黑体" w:eastAsia="黑体" w:cs="宋体"/>
          <w:color w:val="000000"/>
          <w:kern w:val="0"/>
          <w:sz w:val="28"/>
          <w:szCs w:val="28"/>
        </w:rPr>
        <w:t>5</w:t>
      </w:r>
      <w:r>
        <w:rPr>
          <w:rFonts w:hint="eastAsia" w:ascii="黑体" w:eastAsia="黑体" w:cs="宋体"/>
          <w:color w:val="000000"/>
          <w:kern w:val="0"/>
          <w:sz w:val="28"/>
          <w:szCs w:val="28"/>
          <w:lang w:val="zh-CN"/>
        </w:rPr>
        <w:t>年三次产业投资占固定资产投资比重</w:t>
      </w:r>
    </w:p>
    <w:p>
      <w:pPr>
        <w:widowControl/>
        <w:spacing w:line="240" w:lineRule="auto"/>
        <w:ind w:firstLine="0" w:firstLineChars="0"/>
        <w:rPr>
          <w:rFonts w:hint="eastAsia" w:ascii="仿宋_GB2312" w:eastAsia="仿宋_GB2312"/>
          <w:color w:val="auto"/>
          <w:sz w:val="32"/>
          <w:szCs w:val="32"/>
        </w:rPr>
      </w:pPr>
      <w:r>
        <w:drawing>
          <wp:inline distT="0" distB="0" distL="114300" distR="114300">
            <wp:extent cx="5579745" cy="2339975"/>
            <wp:effectExtent l="4445" t="5080" r="16510" b="17145"/>
            <wp:docPr id="6" name="图表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>
      <w:pPr>
        <w:widowControl/>
        <w:spacing w:line="560" w:lineRule="exact"/>
        <w:ind w:firstLine="640" w:firstLineChars="200"/>
        <w:rPr>
          <w:rFonts w:ascii="黑体" w:eastAsia="黑体" w:cs="宋体"/>
          <w:color w:val="auto"/>
          <w:kern w:val="0"/>
          <w:sz w:val="32"/>
          <w:szCs w:val="32"/>
          <w:lang w:val="zh-CN"/>
        </w:rPr>
      </w:pPr>
      <w:r>
        <w:rPr>
          <w:rFonts w:hint="eastAsia" w:ascii="仿宋_GB2312" w:eastAsia="仿宋_GB2312"/>
          <w:color w:val="auto"/>
          <w:sz w:val="32"/>
          <w:szCs w:val="32"/>
        </w:rPr>
        <w:t>全年房地产开发投资</w:t>
      </w:r>
      <w:r>
        <w:rPr>
          <w:rFonts w:ascii="仿宋_GB2312" w:eastAsia="仿宋_GB2312"/>
          <w:color w:val="auto"/>
          <w:sz w:val="32"/>
          <w:szCs w:val="32"/>
        </w:rPr>
        <w:t>1246.6亿元，比上年下降18.6%，其中住宅投资1081.3亿元，下降12.8%。商品房销售面积1003.8万平方米，下降15.9%，其中住宅销售面积811.3万平方米，下降12.3%。</w:t>
      </w:r>
    </w:p>
    <w:p>
      <w:pPr>
        <w:widowControl/>
        <w:spacing w:line="56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全年</w:t>
      </w:r>
      <w:bookmarkStart w:id="6" w:name="OLE_LINK5"/>
      <w:r>
        <w:rPr>
          <w:rFonts w:hint="eastAsia" w:ascii="仿宋_GB2312" w:eastAsia="仿宋_GB2312"/>
          <w:sz w:val="32"/>
          <w:szCs w:val="32"/>
        </w:rPr>
        <w:t>建设筹集保障性租赁住</w:t>
      </w:r>
      <w:r>
        <w:rPr>
          <w:rFonts w:hint="eastAsia" w:ascii="仿宋_GB2312" w:eastAsia="仿宋_GB2312"/>
          <w:sz w:val="32"/>
          <w:szCs w:val="32"/>
          <w:highlight w:val="none"/>
          <w:lang w:eastAsia="zh"/>
        </w:rPr>
        <w:t>房</w:t>
      </w:r>
      <w:bookmarkEnd w:id="6"/>
      <w:r>
        <w:rPr>
          <w:rFonts w:hint="default" w:ascii="仿宋_GB2312" w:eastAsia="仿宋_GB2312"/>
          <w:sz w:val="32"/>
          <w:szCs w:val="32"/>
          <w:highlight w:val="none"/>
          <w:lang w:eastAsia="zh"/>
        </w:rPr>
        <w:t>1</w:t>
      </w:r>
      <w:r>
        <w:rPr>
          <w:rFonts w:hint="default" w:ascii="仿宋_GB2312" w:eastAsia="仿宋_GB2312"/>
          <w:sz w:val="32"/>
          <w:szCs w:val="32"/>
          <w:highlight w:val="none"/>
          <w:lang w:val="en-US" w:eastAsia="zh"/>
        </w:rPr>
        <w:t>247</w:t>
      </w:r>
      <w:r>
        <w:rPr>
          <w:rFonts w:hint="eastAsia" w:ascii="仿宋_GB2312" w:eastAsia="仿宋_GB2312"/>
          <w:sz w:val="32"/>
          <w:szCs w:val="32"/>
          <w:highlight w:val="none"/>
        </w:rPr>
        <w:t>套（间）。</w:t>
      </w:r>
      <w:r>
        <w:rPr>
          <w:rFonts w:hint="eastAsia" w:ascii="仿宋_GB2312" w:eastAsia="仿宋_GB2312"/>
          <w:sz w:val="32"/>
          <w:szCs w:val="32"/>
        </w:rPr>
        <w:t>年末全市正在享受公共租赁住房租赁补贴家庭</w:t>
      </w:r>
      <w:r>
        <w:rPr>
          <w:rFonts w:hint="eastAsia" w:ascii="仿宋_GB2312" w:eastAsia="仿宋_GB2312"/>
          <w:sz w:val="32"/>
          <w:szCs w:val="32"/>
          <w:lang w:eastAsia="zh"/>
        </w:rPr>
        <w:t>1.2</w:t>
      </w:r>
      <w:r>
        <w:rPr>
          <w:rFonts w:hint="eastAsia" w:ascii="仿宋_GB2312" w:eastAsia="仿宋_GB2312"/>
          <w:sz w:val="32"/>
          <w:szCs w:val="32"/>
        </w:rPr>
        <w:t>万户，全年发放公共租赁住房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租</w:t>
      </w:r>
      <w:r>
        <w:rPr>
          <w:rFonts w:hint="eastAsia" w:ascii="仿宋_GB2312" w:eastAsia="仿宋_GB2312"/>
          <w:sz w:val="32"/>
          <w:szCs w:val="32"/>
        </w:rPr>
        <w:t>赁补贴</w:t>
      </w:r>
      <w:r>
        <w:rPr>
          <w:rFonts w:hint="eastAsia" w:ascii="仿宋_GB2312" w:eastAsia="仿宋_GB2312"/>
          <w:sz w:val="32"/>
          <w:szCs w:val="32"/>
          <w:lang w:eastAsia="zh"/>
        </w:rPr>
        <w:t>9711.5</w:t>
      </w:r>
      <w:r>
        <w:rPr>
          <w:rFonts w:hint="eastAsia" w:ascii="仿宋_GB2312" w:eastAsia="仿宋_GB2312"/>
          <w:sz w:val="32"/>
          <w:szCs w:val="32"/>
        </w:rPr>
        <w:t>万元。</w:t>
      </w:r>
    </w:p>
    <w:p>
      <w:pPr>
        <w:spacing w:line="560" w:lineRule="exact"/>
        <w:rPr>
          <w:rFonts w:ascii="仿宋_GB2312" w:hAnsi="仿宋_GB2312" w:eastAsia="仿宋_GB2312" w:cs="仿宋_GB2312"/>
          <w:sz w:val="32"/>
          <w:szCs w:val="32"/>
          <w:lang w:val="zh-CN"/>
        </w:rPr>
      </w:pPr>
    </w:p>
    <w:p>
      <w:pPr>
        <w:spacing w:line="560" w:lineRule="exact"/>
        <w:jc w:val="center"/>
        <w:rPr>
          <w:rFonts w:ascii="黑体" w:hAnsi="黑体" w:eastAsia="黑体" w:cs="黑体"/>
          <w:kern w:val="0"/>
          <w:sz w:val="32"/>
          <w:szCs w:val="32"/>
          <w:lang w:val="zh-CN"/>
        </w:rPr>
      </w:pPr>
      <w:r>
        <w:rPr>
          <w:rFonts w:hint="eastAsia" w:ascii="黑体" w:hAnsi="黑体" w:eastAsia="黑体" w:cs="黑体"/>
          <w:kern w:val="0"/>
          <w:sz w:val="32"/>
          <w:szCs w:val="32"/>
          <w:lang w:val="zh-CN"/>
        </w:rPr>
        <w:t>六、消费市场</w:t>
      </w:r>
    </w:p>
    <w:p>
      <w:pPr>
        <w:widowControl/>
        <w:autoSpaceDE/>
        <w:autoSpaceDN/>
        <w:adjustRightInd/>
        <w:spacing w:line="560" w:lineRule="exact"/>
        <w:ind w:firstLine="640" w:firstLineChars="200"/>
        <w:rPr>
          <w:rFonts w:ascii="黑体" w:eastAsia="黑体" w:cs="宋体"/>
          <w:color w:val="000000"/>
          <w:kern w:val="0"/>
          <w:sz w:val="28"/>
          <w:szCs w:val="28"/>
          <w:lang w:val="zh-CN"/>
        </w:rPr>
      </w:pPr>
      <w:r>
        <w:rPr>
          <w:rFonts w:hint="eastAsia" w:ascii="仿宋_GB2312" w:eastAsia="仿宋_GB2312"/>
          <w:sz w:val="32"/>
          <w:szCs w:val="32"/>
        </w:rPr>
        <w:t>全年社会消费品零售总额</w:t>
      </w:r>
      <w:r>
        <w:rPr>
          <w:rStyle w:val="14"/>
          <w:rFonts w:hint="eastAsia" w:ascii="仿宋_GB2312" w:hAnsi="仿宋_GB2312" w:eastAsia="仿宋_GB2312" w:cs="仿宋_GB2312"/>
          <w:color w:val="auto"/>
          <w:kern w:val="0"/>
          <w:sz w:val="32"/>
          <w:szCs w:val="32"/>
        </w:rPr>
        <w:endnoteReference w:id="7" w:customMarkFollows="1"/>
        <w:t>[</w:t>
      </w:r>
      <w:r>
        <w:rPr>
          <w:rFonts w:hint="default" w:ascii="仿宋_GB2312" w:hAnsi="仿宋_GB2312" w:eastAsia="仿宋_GB2312" w:cs="仿宋_GB2312"/>
          <w:color w:val="auto"/>
          <w:kern w:val="0"/>
          <w:sz w:val="32"/>
          <w:szCs w:val="32"/>
          <w:vertAlign w:val="superscript"/>
          <w:lang w:val="en-US"/>
        </w:rPr>
        <w:t>9</w:t>
      </w:r>
      <w:r>
        <w:rPr>
          <w:rStyle w:val="14"/>
          <w:rFonts w:hint="eastAsia" w:ascii="仿宋_GB2312" w:hAnsi="仿宋_GB2312" w:eastAsia="仿宋_GB2312" w:cs="仿宋_GB2312"/>
          <w:color w:val="auto"/>
          <w:kern w:val="0"/>
          <w:sz w:val="32"/>
          <w:szCs w:val="32"/>
        </w:rPr>
        <w:t>]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6960.7</w:t>
      </w:r>
      <w:r>
        <w:rPr>
          <w:rFonts w:hint="eastAsia" w:ascii="仿宋_GB2312" w:eastAsia="仿宋_GB2312"/>
          <w:sz w:val="32"/>
          <w:szCs w:val="32"/>
        </w:rPr>
        <w:t>亿元，比上年增长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3.2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%</w:t>
      </w:r>
      <w:r>
        <w:rPr>
          <w:rFonts w:hint="eastAsia" w:ascii="仿宋_GB2312" w:eastAsia="仿宋_GB2312"/>
          <w:sz w:val="32"/>
          <w:szCs w:val="32"/>
        </w:rPr>
        <w:t>。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按消费类型分</w:t>
      </w:r>
      <w:r>
        <w:rPr>
          <w:rFonts w:hint="eastAsia" w:ascii="仿宋_GB2312" w:eastAsia="仿宋_GB2312"/>
          <w:sz w:val="32"/>
          <w:szCs w:val="32"/>
        </w:rPr>
        <w:t>，商品零售</w:t>
      </w:r>
      <w:r>
        <w:rPr>
          <w:rFonts w:hint="eastAsia" w:ascii="仿宋_GB2312" w:eastAsia="仿宋_GB2312"/>
          <w:sz w:val="32"/>
          <w:szCs w:val="32"/>
          <w:lang w:eastAsia="zh-CN"/>
        </w:rPr>
        <w:t>额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6153.6</w:t>
      </w:r>
      <w:r>
        <w:rPr>
          <w:rFonts w:hint="eastAsia" w:ascii="仿宋_GB2312" w:eastAsia="仿宋_GB2312"/>
          <w:sz w:val="32"/>
          <w:szCs w:val="32"/>
        </w:rPr>
        <w:t>亿元，增长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2.8</w:t>
      </w:r>
      <w:r>
        <w:rPr>
          <w:rFonts w:hint="eastAsia" w:ascii="仿宋_GB2312" w:eastAsia="仿宋_GB2312"/>
          <w:sz w:val="32"/>
          <w:szCs w:val="32"/>
        </w:rPr>
        <w:t>%；餐饮收入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807.1</w:t>
      </w:r>
      <w:r>
        <w:rPr>
          <w:rFonts w:hint="eastAsia" w:ascii="仿宋_GB2312" w:eastAsia="仿宋_GB2312"/>
          <w:sz w:val="32"/>
          <w:szCs w:val="32"/>
        </w:rPr>
        <w:t>亿元，增长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6.4</w:t>
      </w:r>
      <w:r>
        <w:rPr>
          <w:rFonts w:hint="eastAsia" w:ascii="仿宋_GB2312" w:eastAsia="仿宋_GB2312"/>
          <w:sz w:val="32"/>
          <w:szCs w:val="32"/>
        </w:rPr>
        <w:t>%。按经营地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分</w:t>
      </w:r>
      <w:r>
        <w:rPr>
          <w:rFonts w:hint="eastAsia" w:ascii="仿宋_GB2312" w:eastAsia="仿宋_GB2312"/>
          <w:sz w:val="32"/>
          <w:szCs w:val="32"/>
        </w:rPr>
        <w:t>，城镇社会消费品零售额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5720.7</w:t>
      </w:r>
      <w:r>
        <w:rPr>
          <w:rFonts w:hint="eastAsia" w:ascii="仿宋_GB2312" w:eastAsia="仿宋_GB2312"/>
          <w:sz w:val="32"/>
          <w:szCs w:val="32"/>
        </w:rPr>
        <w:t>亿元，增长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3.2</w:t>
      </w:r>
      <w:r>
        <w:rPr>
          <w:rFonts w:hint="eastAsia" w:ascii="仿宋_GB2312" w:eastAsia="仿宋_GB2312"/>
          <w:sz w:val="32"/>
          <w:szCs w:val="32"/>
        </w:rPr>
        <w:t>%；乡村社会消费品零售额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1240</w:t>
      </w:r>
      <w:r>
        <w:rPr>
          <w:rFonts w:hint="default" w:ascii="仿宋_GB2312" w:eastAsia="仿宋_GB2312"/>
          <w:sz w:val="32"/>
          <w:szCs w:val="32"/>
          <w:lang w:val="en-US" w:eastAsia="zh-CN"/>
        </w:rPr>
        <w:t>.0</w:t>
      </w:r>
      <w:r>
        <w:rPr>
          <w:rFonts w:hint="eastAsia" w:ascii="仿宋_GB2312" w:eastAsia="仿宋_GB2312"/>
          <w:sz w:val="32"/>
          <w:szCs w:val="32"/>
        </w:rPr>
        <w:t>亿元，增长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3.2</w:t>
      </w:r>
      <w:r>
        <w:rPr>
          <w:rFonts w:hint="eastAsia" w:ascii="仿宋_GB2312" w:eastAsia="仿宋_GB2312"/>
          <w:sz w:val="32"/>
          <w:szCs w:val="32"/>
        </w:rPr>
        <w:t>%。</w:t>
      </w:r>
    </w:p>
    <w:p>
      <w:pPr>
        <w:autoSpaceDE w:val="0"/>
        <w:autoSpaceDN w:val="0"/>
        <w:adjustRightInd w:val="0"/>
        <w:spacing w:line="560" w:lineRule="exact"/>
        <w:ind w:firstLine="560" w:firstLineChars="200"/>
        <w:jc w:val="center"/>
        <w:rPr>
          <w:rFonts w:hint="eastAsia" w:ascii="黑体" w:eastAsia="黑体" w:cs="宋体"/>
          <w:color w:val="00000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line="560" w:lineRule="exact"/>
        <w:ind w:firstLine="560" w:firstLineChars="200"/>
        <w:jc w:val="center"/>
        <w:rPr>
          <w:rFonts w:ascii="仿宋_GB2312" w:eastAsia="仿宋_GB2312"/>
          <w:sz w:val="32"/>
          <w:szCs w:val="32"/>
        </w:rPr>
      </w:pPr>
      <w:r>
        <w:rPr>
          <w:rFonts w:hint="eastAsia" w:ascii="黑体" w:eastAsia="黑体" w:cs="宋体"/>
          <w:color w:val="000000"/>
          <w:kern w:val="0"/>
          <w:sz w:val="28"/>
          <w:szCs w:val="28"/>
          <w:lang w:val="zh-CN"/>
        </w:rPr>
        <w:t>图</w:t>
      </w:r>
      <w:r>
        <w:rPr>
          <w:rFonts w:hint="default" w:ascii="黑体" w:eastAsia="黑体" w:cs="宋体"/>
          <w:color w:val="000000"/>
          <w:kern w:val="0"/>
          <w:sz w:val="28"/>
          <w:szCs w:val="28"/>
          <w:lang w:val="en-US"/>
        </w:rPr>
        <w:t>5</w:t>
      </w:r>
      <w:r>
        <w:rPr>
          <w:rFonts w:hint="eastAsia" w:ascii="黑体" w:eastAsia="黑体" w:cs="宋体"/>
          <w:color w:val="000000"/>
          <w:kern w:val="0"/>
          <w:sz w:val="28"/>
          <w:szCs w:val="28"/>
          <w:lang w:val="zh-CN"/>
        </w:rPr>
        <w:t>：20</w:t>
      </w:r>
      <w:r>
        <w:rPr>
          <w:rFonts w:ascii="黑体" w:eastAsia="黑体" w:cs="宋体"/>
          <w:color w:val="000000"/>
          <w:kern w:val="0"/>
          <w:sz w:val="28"/>
          <w:szCs w:val="28"/>
        </w:rPr>
        <w:t>21</w:t>
      </w:r>
      <w:r>
        <w:rPr>
          <w:rFonts w:hint="eastAsia" w:ascii="黑体" w:eastAsia="黑体" w:cs="宋体"/>
          <w:color w:val="000000"/>
          <w:kern w:val="0"/>
          <w:sz w:val="28"/>
          <w:szCs w:val="28"/>
          <w:lang w:val="zh-CN"/>
        </w:rPr>
        <w:t>-202</w:t>
      </w:r>
      <w:r>
        <w:rPr>
          <w:rFonts w:ascii="黑体" w:eastAsia="黑体" w:cs="宋体"/>
          <w:color w:val="000000"/>
          <w:kern w:val="0"/>
          <w:sz w:val="28"/>
          <w:szCs w:val="28"/>
        </w:rPr>
        <w:t>5</w:t>
      </w:r>
      <w:r>
        <w:rPr>
          <w:rFonts w:hint="eastAsia" w:ascii="黑体" w:eastAsia="黑体" w:cs="宋体"/>
          <w:color w:val="000000"/>
          <w:kern w:val="0"/>
          <w:sz w:val="28"/>
          <w:szCs w:val="28"/>
          <w:lang w:val="zh-CN"/>
        </w:rPr>
        <w:t>年社会消费品零售总额及增速</w:t>
      </w:r>
    </w:p>
    <w:p>
      <w:pPr>
        <w:widowControl/>
        <w:spacing w:line="360" w:lineRule="auto"/>
        <w:rPr>
          <w:rFonts w:ascii="仿宋_GB2312" w:eastAsia="仿宋_GB2312"/>
          <w:sz w:val="32"/>
          <w:szCs w:val="32"/>
        </w:rPr>
      </w:pPr>
      <w:r>
        <w:drawing>
          <wp:inline distT="0" distB="0" distL="114300" distR="114300">
            <wp:extent cx="5579745" cy="2339975"/>
            <wp:effectExtent l="4445" t="5080" r="16510" b="17145"/>
            <wp:docPr id="8" name="图表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>
      <w:pPr>
        <w:ind w:firstLine="640" w:firstLineChars="200"/>
        <w:rPr>
          <w:rFonts w:ascii="仿宋_GB2312" w:hAnsi="仿宋_GB2312" w:eastAsia="仿宋_GB2312" w:cs="仿宋_GB2312"/>
          <w:kern w:val="0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全年限额以上单位商品零售额中，通讯器材</w:t>
      </w:r>
      <w:r>
        <w:rPr>
          <w:rFonts w:hint="eastAsia" w:ascii="仿宋_GB2312" w:eastAsia="仿宋_GB2312"/>
          <w:color w:val="000000"/>
          <w:sz w:val="32"/>
          <w:szCs w:val="32"/>
        </w:rPr>
        <w:t>类、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家用电器和音像器材类</w:t>
      </w:r>
      <w:r>
        <w:rPr>
          <w:rFonts w:hint="eastAsia" w:ascii="仿宋_GB2312" w:eastAsia="仿宋_GB2312"/>
          <w:color w:val="000000"/>
          <w:sz w:val="32"/>
          <w:szCs w:val="32"/>
        </w:rPr>
        <w:t>、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粮油食品</w:t>
      </w:r>
      <w:r>
        <w:rPr>
          <w:rFonts w:hint="eastAsia" w:ascii="仿宋_GB2312" w:eastAsia="仿宋_GB2312"/>
          <w:color w:val="000000"/>
          <w:sz w:val="32"/>
          <w:szCs w:val="32"/>
        </w:rPr>
        <w:t>类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零售额</w:t>
      </w:r>
      <w:r>
        <w:rPr>
          <w:rFonts w:hint="eastAsia" w:ascii="仿宋_GB2312" w:eastAsia="仿宋_GB2312"/>
          <w:sz w:val="32"/>
          <w:szCs w:val="32"/>
        </w:rPr>
        <w:t>分别增长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12.3</w:t>
      </w:r>
      <w:r>
        <w:rPr>
          <w:rFonts w:hint="eastAsia" w:ascii="仿宋_GB2312" w:eastAsia="仿宋_GB2312"/>
          <w:sz w:val="32"/>
          <w:szCs w:val="32"/>
        </w:rPr>
        <w:t>%、</w:t>
      </w:r>
      <w:r>
        <w:rPr>
          <w:rFonts w:hint="default" w:ascii="仿宋_GB2312" w:eastAsia="仿宋_GB2312"/>
          <w:sz w:val="32"/>
          <w:szCs w:val="32"/>
          <w:lang w:val="en-US" w:eastAsia="zh-CN"/>
        </w:rPr>
        <w:t>5.6</w:t>
      </w:r>
      <w:r>
        <w:rPr>
          <w:rFonts w:hint="eastAsia" w:ascii="仿宋_GB2312" w:eastAsia="仿宋_GB2312"/>
          <w:sz w:val="32"/>
          <w:szCs w:val="32"/>
        </w:rPr>
        <w:t>%、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3.5</w:t>
      </w:r>
      <w:r>
        <w:rPr>
          <w:rFonts w:hint="eastAsia" w:ascii="仿宋_GB2312" w:eastAsia="仿宋_GB2312"/>
          <w:sz w:val="32"/>
          <w:szCs w:val="32"/>
        </w:rPr>
        <w:t>%；新能源汽车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零售额</w:t>
      </w:r>
      <w:r>
        <w:rPr>
          <w:rFonts w:hint="eastAsia" w:ascii="仿宋_GB2312" w:eastAsia="仿宋_GB2312"/>
          <w:sz w:val="32"/>
          <w:szCs w:val="32"/>
        </w:rPr>
        <w:t>增长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11.8</w:t>
      </w:r>
      <w:r>
        <w:rPr>
          <w:rFonts w:hint="eastAsia" w:ascii="仿宋_GB2312" w:eastAsia="仿宋_GB2312"/>
          <w:sz w:val="32"/>
          <w:szCs w:val="32"/>
        </w:rPr>
        <w:t>%。</w:t>
      </w:r>
    </w:p>
    <w:p>
      <w:pPr>
        <w:widowControl/>
        <w:spacing w:line="560" w:lineRule="exact"/>
        <w:ind w:firstLine="640" w:firstLineChars="200"/>
        <w:rPr>
          <w:rFonts w:ascii="仿宋_GB2312" w:hAnsi="仿宋_GB2312" w:eastAsia="仿宋_GB2312" w:cs="仿宋_GB2312"/>
          <w:kern w:val="0"/>
          <w:sz w:val="32"/>
          <w:szCs w:val="32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eastAsia="黑体"/>
          <w:color w:val="000000"/>
          <w:shd w:val="clear" w:color="auto" w:fill="FFFFFF"/>
          <w:lang w:val="en-US" w:eastAsia="zh-CN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  <w:lang w:val="zh-CN"/>
        </w:rPr>
        <w:t>七、对外</w:t>
      </w:r>
      <w:r>
        <w:rPr>
          <w:rFonts w:hint="eastAsia" w:ascii="黑体" w:hAnsi="黑体" w:eastAsia="黑体" w:cs="黑体"/>
          <w:color w:val="000000"/>
          <w:kern w:val="0"/>
          <w:sz w:val="32"/>
          <w:szCs w:val="32"/>
          <w:lang w:val="en-US" w:eastAsia="zh-CN"/>
        </w:rPr>
        <w:t>经济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Times New Roman" w:eastAsia="仿宋_GB2312" w:cs="Times New Roman"/>
          <w:sz w:val="32"/>
          <w:szCs w:val="32"/>
        </w:rPr>
      </w:pPr>
      <w:r>
        <w:rPr>
          <w:rFonts w:hint="eastAsia" w:ascii="仿宋_GB2312" w:hAnsi="Times New Roman" w:eastAsia="仿宋_GB2312" w:cs="Times New Roman"/>
          <w:sz w:val="32"/>
          <w:szCs w:val="32"/>
        </w:rPr>
        <w:t>全年货物进出口总额9128.9亿元，比上年增长0.6%。其中，出口5418.7亿元，增长2.7%；进口3710.2亿元，下降2.3%。对共建“一带一路”国家进出口额5460</w:t>
      </w:r>
      <w:r>
        <w:rPr>
          <w:rFonts w:hint="default" w:ascii="仿宋_GB2312" w:eastAsia="仿宋_GB2312" w:cs="Times New Roman"/>
          <w:sz w:val="32"/>
          <w:szCs w:val="32"/>
          <w:lang w:val="en-US"/>
        </w:rPr>
        <w:t>.0</w:t>
      </w:r>
      <w:r>
        <w:rPr>
          <w:rFonts w:hint="eastAsia" w:ascii="仿宋_GB2312" w:hAnsi="Times New Roman" w:eastAsia="仿宋_GB2312" w:cs="Times New Roman"/>
          <w:sz w:val="32"/>
          <w:szCs w:val="32"/>
        </w:rPr>
        <w:t>亿元，比上年增长6.2%，占进出口总额比重为59.8%。其中，出口2846.4亿元，增长8.9%；进口2613.7亿元，增长3.4%。民营企业进出口额6607.8亿元，比上年增长5</w:t>
      </w:r>
      <w:r>
        <w:rPr>
          <w:rFonts w:hint="default" w:ascii="仿宋_GB2312" w:eastAsia="仿宋_GB2312" w:cs="Times New Roman"/>
          <w:sz w:val="32"/>
          <w:szCs w:val="32"/>
          <w:lang w:val="en-US"/>
        </w:rPr>
        <w:t>.0</w:t>
      </w:r>
      <w:r>
        <w:rPr>
          <w:rFonts w:hint="eastAsia" w:ascii="仿宋_GB2312" w:hAnsi="Times New Roman" w:eastAsia="仿宋_GB2312" w:cs="Times New Roman"/>
          <w:sz w:val="32"/>
          <w:szCs w:val="32"/>
        </w:rPr>
        <w:t>%，占进出口总额比重为72.4%</w:t>
      </w:r>
      <w:r>
        <w:rPr>
          <w:rFonts w:hint="eastAsia" w:ascii="仿宋_GB2312" w:eastAsia="仿宋_GB2312" w:cs="Times New Roman"/>
          <w:sz w:val="32"/>
          <w:szCs w:val="32"/>
          <w:lang w:eastAsia="zh-CN"/>
        </w:rPr>
        <w:t>，</w:t>
      </w:r>
      <w:r>
        <w:rPr>
          <w:rFonts w:hint="eastAsia" w:ascii="仿宋_GB2312" w:hAnsi="Times New Roman" w:eastAsia="仿宋_GB2312" w:cs="Times New Roman"/>
          <w:sz w:val="32"/>
          <w:szCs w:val="32"/>
        </w:rPr>
        <w:t>其中出口4182.7亿元，增长7.1%。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全年青岛口岸对外贸易进出口总额26548.6亿元，比上年增长1.8%。其中，出口16897.4亿元，增长5.1%；进口9651.2亿元，下降3.6%。</w:t>
      </w:r>
    </w:p>
    <w:p>
      <w:pPr>
        <w:autoSpaceDE w:val="0"/>
        <w:autoSpaceDN w:val="0"/>
        <w:adjustRightInd w:val="0"/>
        <w:spacing w:line="560" w:lineRule="exact"/>
        <w:jc w:val="center"/>
        <w:rPr>
          <w:rFonts w:ascii="黑体" w:eastAsia="黑体" w:cs="宋体"/>
          <w:kern w:val="0"/>
          <w:sz w:val="28"/>
          <w:szCs w:val="28"/>
        </w:rPr>
      </w:pPr>
      <w:r>
        <w:rPr>
          <w:rFonts w:hint="eastAsia" w:ascii="黑体" w:eastAsia="黑体" w:cs="宋体"/>
          <w:color w:val="000000"/>
          <w:kern w:val="0"/>
          <w:sz w:val="28"/>
          <w:szCs w:val="28"/>
          <w:lang w:val="zh-CN"/>
        </w:rPr>
        <w:t>图</w:t>
      </w:r>
      <w:r>
        <w:rPr>
          <w:rFonts w:hint="default" w:ascii="黑体" w:eastAsia="黑体" w:cs="宋体"/>
          <w:color w:val="000000"/>
          <w:kern w:val="0"/>
          <w:sz w:val="28"/>
          <w:szCs w:val="28"/>
          <w:lang w:val="en-US"/>
        </w:rPr>
        <w:t>6</w:t>
      </w:r>
      <w:r>
        <w:rPr>
          <w:rFonts w:hint="eastAsia" w:ascii="黑体" w:eastAsia="黑体" w:cs="宋体"/>
          <w:color w:val="000000"/>
          <w:kern w:val="0"/>
          <w:sz w:val="28"/>
          <w:szCs w:val="28"/>
          <w:lang w:val="zh-CN"/>
        </w:rPr>
        <w:t>：20</w:t>
      </w:r>
      <w:r>
        <w:rPr>
          <w:rFonts w:ascii="黑体" w:eastAsia="黑体" w:cs="宋体"/>
          <w:color w:val="000000"/>
          <w:kern w:val="0"/>
          <w:sz w:val="28"/>
          <w:szCs w:val="28"/>
        </w:rPr>
        <w:t>21</w:t>
      </w:r>
      <w:r>
        <w:rPr>
          <w:rFonts w:hint="eastAsia" w:ascii="黑体" w:eastAsia="黑体" w:cs="宋体"/>
          <w:color w:val="000000"/>
          <w:kern w:val="0"/>
          <w:sz w:val="28"/>
          <w:szCs w:val="28"/>
          <w:lang w:val="zh-CN"/>
        </w:rPr>
        <w:t>-202</w:t>
      </w:r>
      <w:r>
        <w:rPr>
          <w:rFonts w:ascii="黑体" w:eastAsia="黑体" w:cs="宋体"/>
          <w:color w:val="000000"/>
          <w:kern w:val="0"/>
          <w:sz w:val="28"/>
          <w:szCs w:val="28"/>
        </w:rPr>
        <w:t>5</w:t>
      </w:r>
      <w:r>
        <w:rPr>
          <w:rFonts w:hint="eastAsia" w:ascii="黑体" w:eastAsia="黑体" w:cs="宋体"/>
          <w:color w:val="000000"/>
          <w:kern w:val="0"/>
          <w:sz w:val="28"/>
          <w:szCs w:val="28"/>
          <w:lang w:val="zh-CN"/>
        </w:rPr>
        <w:t>年外贸货物进出口总额及增速</w:t>
      </w:r>
    </w:p>
    <w:p>
      <w:pPr>
        <w:widowControl/>
        <w:spacing w:line="240" w:lineRule="auto"/>
      </w:pPr>
      <w:r>
        <w:drawing>
          <wp:inline distT="0" distB="0" distL="114300" distR="114300">
            <wp:extent cx="5579745" cy="2160270"/>
            <wp:effectExtent l="4445" t="5080" r="16510" b="6350"/>
            <wp:docPr id="15" name="图表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tbl>
      <w:tblPr>
        <w:tblStyle w:val="11"/>
        <w:tblW w:w="893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7"/>
        <w:gridCol w:w="1269"/>
        <w:gridCol w:w="863"/>
        <w:gridCol w:w="1269"/>
        <w:gridCol w:w="863"/>
        <w:gridCol w:w="1067"/>
        <w:gridCol w:w="63"/>
        <w:gridCol w:w="105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8931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autoSpaceDE w:val="0"/>
              <w:autoSpaceDN w:val="0"/>
              <w:adjustRightInd w:val="0"/>
              <w:spacing w:line="56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  <w:lang w:val="zh-CN"/>
              </w:rPr>
              <w:t>表</w:t>
            </w:r>
            <w:r>
              <w:rPr>
                <w:rFonts w:hint="default" w:ascii="黑体" w:eastAsia="黑体" w:cs="宋体"/>
                <w:color w:val="000000"/>
                <w:kern w:val="0"/>
                <w:sz w:val="28"/>
                <w:szCs w:val="28"/>
                <w:lang w:val="en-US"/>
              </w:rPr>
              <w:t>4</w:t>
            </w:r>
            <w:r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  <w:lang w:val="zh-CN"/>
              </w:rPr>
              <w:t>:202</w:t>
            </w:r>
            <w:r>
              <w:rPr>
                <w:rFonts w:ascii="黑体" w:eastAsia="黑体" w:cs="宋体"/>
                <w:color w:val="000000"/>
                <w:kern w:val="0"/>
                <w:sz w:val="28"/>
                <w:szCs w:val="28"/>
              </w:rPr>
              <w:t>5</w:t>
            </w:r>
            <w:r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  <w:lang w:val="zh-CN"/>
              </w:rPr>
              <w:t>年主要商品进出口情况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87" w:type="dxa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指标</w:t>
            </w:r>
          </w:p>
        </w:tc>
        <w:tc>
          <w:tcPr>
            <w:tcW w:w="213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进出口</w:t>
            </w:r>
          </w:p>
        </w:tc>
        <w:tc>
          <w:tcPr>
            <w:tcW w:w="126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　</w:t>
            </w:r>
          </w:p>
        </w:tc>
        <w:tc>
          <w:tcPr>
            <w:tcW w:w="863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　</w:t>
            </w:r>
          </w:p>
        </w:tc>
        <w:tc>
          <w:tcPr>
            <w:tcW w:w="1067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　</w:t>
            </w:r>
          </w:p>
        </w:tc>
        <w:tc>
          <w:tcPr>
            <w:tcW w:w="1113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487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黑体" w:hAnsi="黑体" w:eastAsia="黑体" w:cs="黑体"/>
                <w:kern w:val="0"/>
                <w:sz w:val="24"/>
              </w:rPr>
            </w:pPr>
          </w:p>
        </w:tc>
        <w:tc>
          <w:tcPr>
            <w:tcW w:w="2132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黑体" w:hAnsi="黑体" w:eastAsia="黑体" w:cs="黑体"/>
                <w:kern w:val="0"/>
                <w:sz w:val="24"/>
              </w:rPr>
            </w:pPr>
          </w:p>
        </w:tc>
        <w:tc>
          <w:tcPr>
            <w:tcW w:w="213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出 口</w:t>
            </w:r>
          </w:p>
        </w:tc>
        <w:tc>
          <w:tcPr>
            <w:tcW w:w="21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widowControl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进 口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2487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黑体" w:hAnsi="黑体" w:eastAsia="黑体" w:cs="黑体"/>
                <w:kern w:val="0"/>
                <w:sz w:val="24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金 额</w:t>
            </w:r>
          </w:p>
          <w:p>
            <w:pPr>
              <w:widowControl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（亿元）</w:t>
            </w:r>
          </w:p>
        </w:tc>
        <w:tc>
          <w:tcPr>
            <w:tcW w:w="8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增 长（%）</w:t>
            </w:r>
          </w:p>
        </w:tc>
        <w:tc>
          <w:tcPr>
            <w:tcW w:w="12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金 额</w:t>
            </w:r>
          </w:p>
          <w:p>
            <w:pPr>
              <w:widowControl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（亿元）</w:t>
            </w:r>
          </w:p>
        </w:tc>
        <w:tc>
          <w:tcPr>
            <w:tcW w:w="8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增 长（%）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金 额</w:t>
            </w:r>
          </w:p>
          <w:p>
            <w:pPr>
              <w:widowControl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（亿元）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widowControl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增 长（%）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exact"/>
        </w:trPr>
        <w:tc>
          <w:tcPr>
            <w:tcW w:w="248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纺织服装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484.3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-2.8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462.4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-3.4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21.9</w:t>
            </w:r>
          </w:p>
        </w:tc>
        <w:tc>
          <w:tcPr>
            <w:tcW w:w="1050" w:type="dxa"/>
            <w:vAlign w:val="center"/>
          </w:tcPr>
          <w:p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11.9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248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农产品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1273.1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-2.8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493.0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2.4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780.1</w:t>
            </w:r>
          </w:p>
        </w:tc>
        <w:tc>
          <w:tcPr>
            <w:tcW w:w="1050" w:type="dxa"/>
            <w:vAlign w:val="center"/>
          </w:tcPr>
          <w:p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-5.9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exact"/>
        </w:trPr>
        <w:tc>
          <w:tcPr>
            <w:tcW w:w="248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机电产品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3375.1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1.6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2826.2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5.7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548.9</w:t>
            </w:r>
          </w:p>
        </w:tc>
        <w:tc>
          <w:tcPr>
            <w:tcW w:w="1050" w:type="dxa"/>
            <w:vAlign w:val="center"/>
          </w:tcPr>
          <w:p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-15.1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24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高新技术产品</w:t>
            </w:r>
          </w:p>
        </w:tc>
        <w:tc>
          <w:tcPr>
            <w:tcW w:w="12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714.6</w:t>
            </w:r>
          </w:p>
        </w:tc>
        <w:tc>
          <w:tcPr>
            <w:tcW w:w="8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-10.7</w:t>
            </w:r>
          </w:p>
        </w:tc>
        <w:tc>
          <w:tcPr>
            <w:tcW w:w="12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441.5</w:t>
            </w:r>
          </w:p>
        </w:tc>
        <w:tc>
          <w:tcPr>
            <w:tcW w:w="8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8.3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273.1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-30.4</w:t>
            </w:r>
          </w:p>
        </w:tc>
      </w:tr>
    </w:tbl>
    <w:p>
      <w:pPr>
        <w:autoSpaceDE w:val="0"/>
        <w:autoSpaceDN w:val="0"/>
        <w:adjustRightInd w:val="0"/>
        <w:spacing w:line="560" w:lineRule="exact"/>
        <w:ind w:firstLine="0" w:firstLineChars="0"/>
        <w:jc w:val="both"/>
        <w:rPr>
          <w:rFonts w:hint="eastAsia" w:ascii="黑体" w:eastAsia="黑体" w:cs="宋体"/>
          <w:color w:val="00000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line="560" w:lineRule="exact"/>
        <w:ind w:firstLine="1400" w:firstLineChars="500"/>
        <w:jc w:val="both"/>
        <w:rPr>
          <w:rFonts w:ascii="黑体" w:eastAsia="黑体" w:cs="宋体"/>
          <w:color w:val="000000"/>
          <w:kern w:val="0"/>
          <w:sz w:val="28"/>
          <w:szCs w:val="28"/>
          <w:lang w:val="zh-CN"/>
        </w:rPr>
      </w:pPr>
      <w:r>
        <w:rPr>
          <w:rFonts w:hint="eastAsia" w:ascii="黑体" w:eastAsia="黑体" w:cs="宋体"/>
          <w:color w:val="000000"/>
          <w:kern w:val="0"/>
          <w:sz w:val="28"/>
          <w:szCs w:val="28"/>
          <w:lang w:val="zh-CN"/>
        </w:rPr>
        <w:t>表</w:t>
      </w:r>
      <w:r>
        <w:rPr>
          <w:rFonts w:hint="default" w:ascii="黑体" w:eastAsia="黑体" w:cs="宋体"/>
          <w:color w:val="000000"/>
          <w:kern w:val="0"/>
          <w:sz w:val="28"/>
          <w:szCs w:val="28"/>
          <w:lang w:val="en-US"/>
        </w:rPr>
        <w:t>5</w:t>
      </w:r>
      <w:r>
        <w:rPr>
          <w:rFonts w:hint="eastAsia" w:ascii="黑体" w:eastAsia="黑体" w:cs="宋体"/>
          <w:color w:val="000000"/>
          <w:kern w:val="0"/>
          <w:sz w:val="28"/>
          <w:szCs w:val="28"/>
          <w:lang w:val="zh-CN"/>
        </w:rPr>
        <w:t>：202</w:t>
      </w:r>
      <w:r>
        <w:rPr>
          <w:rFonts w:ascii="黑体" w:eastAsia="黑体" w:cs="宋体"/>
          <w:color w:val="000000"/>
          <w:kern w:val="0"/>
          <w:sz w:val="28"/>
          <w:szCs w:val="28"/>
        </w:rPr>
        <w:t>5</w:t>
      </w:r>
      <w:r>
        <w:rPr>
          <w:rFonts w:hint="eastAsia" w:ascii="黑体" w:eastAsia="黑体" w:cs="宋体"/>
          <w:color w:val="000000"/>
          <w:kern w:val="0"/>
          <w:sz w:val="28"/>
          <w:szCs w:val="28"/>
          <w:lang w:val="zh-CN"/>
        </w:rPr>
        <w:t>年对主要国家和地区货物进出口额及增速</w:t>
      </w:r>
    </w:p>
    <w:tbl>
      <w:tblPr>
        <w:tblStyle w:val="11"/>
        <w:tblW w:w="893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7"/>
        <w:gridCol w:w="1664"/>
        <w:gridCol w:w="1487"/>
        <w:gridCol w:w="1549"/>
        <w:gridCol w:w="143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79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</w:rPr>
              <w:t>国家和地区</w:t>
            </w:r>
          </w:p>
        </w:tc>
        <w:tc>
          <w:tcPr>
            <w:tcW w:w="1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</w:rPr>
              <w:t>出口额</w:t>
            </w:r>
          </w:p>
          <w:p>
            <w:pPr>
              <w:widowControl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</w:rPr>
              <w:t>（亿元）</w:t>
            </w: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</w:rPr>
              <w:t>增 长</w:t>
            </w:r>
          </w:p>
          <w:p>
            <w:pPr>
              <w:widowControl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</w:rPr>
              <w:t>（%）</w:t>
            </w:r>
          </w:p>
        </w:tc>
        <w:tc>
          <w:tcPr>
            <w:tcW w:w="1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</w:rPr>
              <w:t>进口额</w:t>
            </w:r>
          </w:p>
          <w:p>
            <w:pPr>
              <w:widowControl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</w:rPr>
              <w:t>（亿元）</w:t>
            </w:r>
          </w:p>
        </w:tc>
        <w:tc>
          <w:tcPr>
            <w:tcW w:w="1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bottom"/>
          </w:tcPr>
          <w:p>
            <w:pPr>
              <w:widowControl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</w:rPr>
              <w:t>增 长</w:t>
            </w:r>
          </w:p>
          <w:p>
            <w:pPr>
              <w:widowControl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</w:rPr>
              <w:t>（%）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exact"/>
        </w:trPr>
        <w:tc>
          <w:tcPr>
            <w:tcW w:w="279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亚洲</w:t>
            </w:r>
          </w:p>
        </w:tc>
        <w:tc>
          <w:tcPr>
            <w:tcW w:w="16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2557.0</w:t>
            </w:r>
          </w:p>
        </w:tc>
        <w:tc>
          <w:tcPr>
            <w:tcW w:w="14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8.3</w:t>
            </w:r>
          </w:p>
        </w:tc>
        <w:tc>
          <w:tcPr>
            <w:tcW w:w="15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1524.5</w:t>
            </w:r>
          </w:p>
        </w:tc>
        <w:tc>
          <w:tcPr>
            <w:tcW w:w="14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-11.5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279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日本</w:t>
            </w:r>
          </w:p>
        </w:tc>
        <w:tc>
          <w:tcPr>
            <w:tcW w:w="16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472.9</w:t>
            </w:r>
          </w:p>
        </w:tc>
        <w:tc>
          <w:tcPr>
            <w:tcW w:w="148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-0.9</w:t>
            </w:r>
          </w:p>
        </w:tc>
        <w:tc>
          <w:tcPr>
            <w:tcW w:w="154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125.9</w:t>
            </w:r>
          </w:p>
        </w:tc>
        <w:tc>
          <w:tcPr>
            <w:tcW w:w="143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-11.1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279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韩国</w:t>
            </w:r>
          </w:p>
        </w:tc>
        <w:tc>
          <w:tcPr>
            <w:tcW w:w="16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398.0</w:t>
            </w:r>
          </w:p>
        </w:tc>
        <w:tc>
          <w:tcPr>
            <w:tcW w:w="148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-3.6</w:t>
            </w:r>
          </w:p>
        </w:tc>
        <w:tc>
          <w:tcPr>
            <w:tcW w:w="154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231.0</w:t>
            </w:r>
          </w:p>
        </w:tc>
        <w:tc>
          <w:tcPr>
            <w:tcW w:w="143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-10.8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279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东盟</w:t>
            </w:r>
          </w:p>
        </w:tc>
        <w:tc>
          <w:tcPr>
            <w:tcW w:w="16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758.3</w:t>
            </w:r>
          </w:p>
        </w:tc>
        <w:tc>
          <w:tcPr>
            <w:tcW w:w="148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8.1</w:t>
            </w:r>
          </w:p>
        </w:tc>
        <w:tc>
          <w:tcPr>
            <w:tcW w:w="154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702.4</w:t>
            </w:r>
          </w:p>
        </w:tc>
        <w:tc>
          <w:tcPr>
            <w:tcW w:w="143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-16.6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279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中东</w:t>
            </w:r>
          </w:p>
        </w:tc>
        <w:tc>
          <w:tcPr>
            <w:tcW w:w="16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384.4</w:t>
            </w:r>
          </w:p>
        </w:tc>
        <w:tc>
          <w:tcPr>
            <w:tcW w:w="148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11.7</w:t>
            </w:r>
          </w:p>
        </w:tc>
        <w:tc>
          <w:tcPr>
            <w:tcW w:w="154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245.8</w:t>
            </w:r>
          </w:p>
        </w:tc>
        <w:tc>
          <w:tcPr>
            <w:tcW w:w="143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2.6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279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非洲</w:t>
            </w:r>
          </w:p>
        </w:tc>
        <w:tc>
          <w:tcPr>
            <w:tcW w:w="16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327.3</w:t>
            </w:r>
          </w:p>
        </w:tc>
        <w:tc>
          <w:tcPr>
            <w:tcW w:w="148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14.6</w:t>
            </w:r>
          </w:p>
        </w:tc>
        <w:tc>
          <w:tcPr>
            <w:tcW w:w="154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318.3</w:t>
            </w:r>
          </w:p>
        </w:tc>
        <w:tc>
          <w:tcPr>
            <w:tcW w:w="143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29.8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279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南非</w:t>
            </w:r>
          </w:p>
        </w:tc>
        <w:tc>
          <w:tcPr>
            <w:tcW w:w="16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38.2</w:t>
            </w:r>
          </w:p>
        </w:tc>
        <w:tc>
          <w:tcPr>
            <w:tcW w:w="148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-1.2</w:t>
            </w:r>
          </w:p>
        </w:tc>
        <w:tc>
          <w:tcPr>
            <w:tcW w:w="154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28.1</w:t>
            </w:r>
          </w:p>
        </w:tc>
        <w:tc>
          <w:tcPr>
            <w:tcW w:w="143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41.1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279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欧洲</w:t>
            </w:r>
          </w:p>
        </w:tc>
        <w:tc>
          <w:tcPr>
            <w:tcW w:w="16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1192.1</w:t>
            </w:r>
          </w:p>
        </w:tc>
        <w:tc>
          <w:tcPr>
            <w:tcW w:w="148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-0.5</w:t>
            </w:r>
          </w:p>
        </w:tc>
        <w:tc>
          <w:tcPr>
            <w:tcW w:w="154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772.4</w:t>
            </w:r>
          </w:p>
        </w:tc>
        <w:tc>
          <w:tcPr>
            <w:tcW w:w="143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22.8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279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欧盟</w:t>
            </w:r>
          </w:p>
        </w:tc>
        <w:tc>
          <w:tcPr>
            <w:tcW w:w="16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791.4</w:t>
            </w:r>
          </w:p>
        </w:tc>
        <w:tc>
          <w:tcPr>
            <w:tcW w:w="148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0.8</w:t>
            </w:r>
          </w:p>
        </w:tc>
        <w:tc>
          <w:tcPr>
            <w:tcW w:w="154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265.9</w:t>
            </w:r>
          </w:p>
        </w:tc>
        <w:tc>
          <w:tcPr>
            <w:tcW w:w="143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-13.4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279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俄罗斯</w:t>
            </w:r>
          </w:p>
        </w:tc>
        <w:tc>
          <w:tcPr>
            <w:tcW w:w="16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216.9</w:t>
            </w:r>
          </w:p>
        </w:tc>
        <w:tc>
          <w:tcPr>
            <w:tcW w:w="148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-4.5</w:t>
            </w:r>
          </w:p>
        </w:tc>
        <w:tc>
          <w:tcPr>
            <w:tcW w:w="154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436.6</w:t>
            </w:r>
          </w:p>
        </w:tc>
        <w:tc>
          <w:tcPr>
            <w:tcW w:w="143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85.3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279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南美洲</w:t>
            </w:r>
          </w:p>
        </w:tc>
        <w:tc>
          <w:tcPr>
            <w:tcW w:w="16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238.3</w:t>
            </w:r>
          </w:p>
        </w:tc>
        <w:tc>
          <w:tcPr>
            <w:tcW w:w="148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20.7</w:t>
            </w:r>
          </w:p>
        </w:tc>
        <w:tc>
          <w:tcPr>
            <w:tcW w:w="154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577.7</w:t>
            </w:r>
          </w:p>
        </w:tc>
        <w:tc>
          <w:tcPr>
            <w:tcW w:w="143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-0.7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279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巴西</w:t>
            </w:r>
          </w:p>
        </w:tc>
        <w:tc>
          <w:tcPr>
            <w:tcW w:w="16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85.7</w:t>
            </w:r>
          </w:p>
        </w:tc>
        <w:tc>
          <w:tcPr>
            <w:tcW w:w="148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2.7</w:t>
            </w:r>
          </w:p>
        </w:tc>
        <w:tc>
          <w:tcPr>
            <w:tcW w:w="154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413.3</w:t>
            </w:r>
          </w:p>
        </w:tc>
        <w:tc>
          <w:tcPr>
            <w:tcW w:w="143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-10.9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279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北美洲</w:t>
            </w:r>
          </w:p>
        </w:tc>
        <w:tc>
          <w:tcPr>
            <w:tcW w:w="16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625.1</w:t>
            </w:r>
          </w:p>
        </w:tc>
        <w:tc>
          <w:tcPr>
            <w:tcW w:w="148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-20.3</w:t>
            </w:r>
          </w:p>
        </w:tc>
        <w:tc>
          <w:tcPr>
            <w:tcW w:w="154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253.3</w:t>
            </w:r>
          </w:p>
        </w:tc>
        <w:tc>
          <w:tcPr>
            <w:tcW w:w="143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-23.3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279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美国</w:t>
            </w:r>
          </w:p>
        </w:tc>
        <w:tc>
          <w:tcPr>
            <w:tcW w:w="16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501.7</w:t>
            </w:r>
          </w:p>
        </w:tc>
        <w:tc>
          <w:tcPr>
            <w:tcW w:w="148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-26.8</w:t>
            </w:r>
          </w:p>
        </w:tc>
        <w:tc>
          <w:tcPr>
            <w:tcW w:w="154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194.0</w:t>
            </w:r>
          </w:p>
        </w:tc>
        <w:tc>
          <w:tcPr>
            <w:tcW w:w="143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-30.0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279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加拿大</w:t>
            </w:r>
          </w:p>
        </w:tc>
        <w:tc>
          <w:tcPr>
            <w:tcW w:w="16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122.0</w:t>
            </w:r>
          </w:p>
        </w:tc>
        <w:tc>
          <w:tcPr>
            <w:tcW w:w="148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25.6</w:t>
            </w:r>
          </w:p>
        </w:tc>
        <w:tc>
          <w:tcPr>
            <w:tcW w:w="154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51.1</w:t>
            </w:r>
          </w:p>
        </w:tc>
        <w:tc>
          <w:tcPr>
            <w:tcW w:w="143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6.9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279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大洋洲</w:t>
            </w:r>
          </w:p>
        </w:tc>
        <w:tc>
          <w:tcPr>
            <w:tcW w:w="16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199.4</w:t>
            </w:r>
          </w:p>
        </w:tc>
        <w:tc>
          <w:tcPr>
            <w:tcW w:w="148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10.9</w:t>
            </w:r>
          </w:p>
        </w:tc>
        <w:tc>
          <w:tcPr>
            <w:tcW w:w="154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247.6</w:t>
            </w:r>
          </w:p>
        </w:tc>
        <w:tc>
          <w:tcPr>
            <w:tcW w:w="143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-11.2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27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澳大利亚</w:t>
            </w:r>
          </w:p>
        </w:tc>
        <w:tc>
          <w:tcPr>
            <w:tcW w:w="166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160.1</w:t>
            </w:r>
          </w:p>
        </w:tc>
        <w:tc>
          <w:tcPr>
            <w:tcW w:w="14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7.9</w:t>
            </w:r>
          </w:p>
        </w:tc>
        <w:tc>
          <w:tcPr>
            <w:tcW w:w="154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216.9</w:t>
            </w:r>
          </w:p>
        </w:tc>
        <w:tc>
          <w:tcPr>
            <w:tcW w:w="1434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widowControl/>
              <w:ind w:right="210" w:rightChars="100"/>
              <w:jc w:val="right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-11.2</w:t>
            </w:r>
          </w:p>
        </w:tc>
      </w:tr>
    </w:tbl>
    <w:p>
      <w:pPr>
        <w:spacing w:line="560" w:lineRule="exact"/>
        <w:rPr>
          <w:lang w:val="zh-CN"/>
        </w:rPr>
      </w:pPr>
      <w:r>
        <w:rPr>
          <w:rFonts w:hint="eastAsia" w:ascii="楷体_GB2312" w:eastAsia="楷体_GB2312"/>
          <w:sz w:val="24"/>
          <w:shd w:val="clear" w:color="auto" w:fill="FFFFFF"/>
        </w:rPr>
        <w:t>注：本表非全口径。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textAlignment w:val="auto"/>
        <w:rPr>
          <w:rFonts w:hint="eastAsia" w:ascii="仿宋_GB2312" w:hAnsi="Times New Roman" w:eastAsia="仿宋_GB2312" w:cs="Times New Roman"/>
          <w:sz w:val="32"/>
          <w:szCs w:val="32"/>
        </w:rPr>
      </w:pPr>
      <w:r>
        <w:rPr>
          <w:rFonts w:hint="eastAsia" w:ascii="仿宋_GB2312" w:hAnsi="Times New Roman" w:eastAsia="仿宋_GB2312" w:cs="Times New Roman"/>
          <w:sz w:val="32"/>
          <w:szCs w:val="32"/>
        </w:rPr>
        <w:t>全年新设外商投资企业611家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"/>
        </w:rPr>
        <w:t>，</w:t>
      </w: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比上年</w:t>
      </w:r>
      <w:r>
        <w:rPr>
          <w:rFonts w:hint="eastAsia" w:ascii="仿宋_GB2312" w:hAnsi="Times New Roman" w:eastAsia="仿宋_GB2312" w:cs="Times New Roman"/>
          <w:sz w:val="32"/>
          <w:szCs w:val="32"/>
        </w:rPr>
        <w:t>下降6.6%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"/>
        </w:rPr>
        <w:t>。</w:t>
      </w:r>
      <w:r>
        <w:rPr>
          <w:rFonts w:hint="eastAsia" w:ascii="仿宋_GB2312" w:hAnsi="Times New Roman" w:eastAsia="仿宋_GB2312" w:cs="Times New Roman"/>
          <w:sz w:val="32"/>
          <w:szCs w:val="32"/>
        </w:rPr>
        <w:t>实际使用外资14.2亿美元</w:t>
      </w:r>
      <w:r>
        <w:rPr>
          <w:rFonts w:hint="eastAsia" w:ascii="仿宋_GB2312" w:hAnsi="Times New Roman" w:eastAsia="仿宋_GB2312" w:cs="Times New Roman"/>
          <w:sz w:val="32"/>
          <w:szCs w:val="32"/>
          <w:lang w:eastAsia="zh"/>
        </w:rPr>
        <w:t>，</w:t>
      </w:r>
      <w:r>
        <w:rPr>
          <w:rFonts w:hint="eastAsia" w:ascii="仿宋_GB2312" w:hAnsi="Times New Roman" w:eastAsia="仿宋_GB2312" w:cs="Times New Roman"/>
          <w:sz w:val="32"/>
          <w:szCs w:val="32"/>
        </w:rPr>
        <w:t>下降1</w:t>
      </w:r>
      <w:r>
        <w:rPr>
          <w:rFonts w:hint="default" w:ascii="仿宋_GB2312" w:eastAsia="仿宋_GB2312" w:cs="Times New Roman"/>
          <w:sz w:val="32"/>
          <w:szCs w:val="32"/>
          <w:lang w:val="en-US"/>
        </w:rPr>
        <w:t>8.0</w:t>
      </w:r>
      <w:r>
        <w:rPr>
          <w:rFonts w:hint="eastAsia" w:ascii="仿宋_GB2312" w:hAnsi="Times New Roman" w:eastAsia="仿宋_GB2312" w:cs="Times New Roman"/>
          <w:sz w:val="32"/>
          <w:szCs w:val="32"/>
        </w:rPr>
        <w:t>%。其中，制造业</w:t>
      </w: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利用</w:t>
      </w:r>
      <w:r>
        <w:rPr>
          <w:rFonts w:hint="eastAsia" w:ascii="仿宋_GB2312" w:hAnsi="Times New Roman" w:eastAsia="仿宋_GB2312" w:cs="Times New Roman"/>
          <w:sz w:val="32"/>
          <w:szCs w:val="32"/>
        </w:rPr>
        <w:t>外资4.3亿美元，占</w:t>
      </w: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外资总量的</w:t>
      </w:r>
      <w:r>
        <w:rPr>
          <w:rFonts w:hint="eastAsia" w:ascii="仿宋_GB2312" w:hAnsi="Times New Roman" w:eastAsia="仿宋_GB2312" w:cs="Times New Roman"/>
          <w:sz w:val="32"/>
          <w:szCs w:val="32"/>
        </w:rPr>
        <w:t>比</w:t>
      </w: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重为</w:t>
      </w:r>
      <w:r>
        <w:rPr>
          <w:rFonts w:hint="eastAsia" w:ascii="仿宋_GB2312" w:hAnsi="Times New Roman" w:eastAsia="仿宋_GB2312" w:cs="Times New Roman"/>
          <w:sz w:val="32"/>
          <w:szCs w:val="32"/>
        </w:rPr>
        <w:t>30</w:t>
      </w:r>
      <w:r>
        <w:rPr>
          <w:rFonts w:hint="default" w:ascii="仿宋_GB2312" w:eastAsia="仿宋_GB2312" w:cs="Times New Roman"/>
          <w:sz w:val="32"/>
          <w:szCs w:val="32"/>
          <w:lang w:val="en-US"/>
        </w:rPr>
        <w:t>.0</w:t>
      </w:r>
      <w:r>
        <w:rPr>
          <w:rFonts w:hint="eastAsia" w:ascii="仿宋_GB2312" w:hAnsi="Times New Roman" w:eastAsia="仿宋_GB2312" w:cs="Times New Roman"/>
          <w:sz w:val="32"/>
          <w:szCs w:val="32"/>
        </w:rPr>
        <w:t>%</w:t>
      </w:r>
      <w:r>
        <w:rPr>
          <w:rFonts w:hint="eastAsia" w:ascii="仿宋_GB2312" w:eastAsia="仿宋_GB2312" w:cs="Times New Roman"/>
          <w:sz w:val="32"/>
          <w:szCs w:val="32"/>
          <w:lang w:eastAsia="zh-CN"/>
        </w:rPr>
        <w:t>，</w:t>
      </w: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比上年提高</w:t>
      </w:r>
      <w:r>
        <w:rPr>
          <w:rFonts w:hint="default" w:ascii="仿宋_GB2312" w:eastAsia="仿宋_GB2312" w:cs="Times New Roman"/>
          <w:sz w:val="32"/>
          <w:szCs w:val="32"/>
          <w:lang w:val="en-US" w:eastAsia="zh-CN"/>
        </w:rPr>
        <w:t>5.8</w:t>
      </w: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个百分点</w:t>
      </w:r>
      <w:r>
        <w:rPr>
          <w:rFonts w:hint="eastAsia" w:ascii="仿宋_GB2312" w:hAnsi="Times New Roman" w:eastAsia="仿宋_GB2312" w:cs="Times New Roman"/>
          <w:sz w:val="32"/>
          <w:szCs w:val="32"/>
        </w:rPr>
        <w:t>；高技术产业</w:t>
      </w: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利</w:t>
      </w:r>
      <w:r>
        <w:rPr>
          <w:rFonts w:hint="eastAsia" w:ascii="仿宋_GB2312" w:hAnsi="Times New Roman" w:eastAsia="仿宋_GB2312" w:cs="Times New Roman"/>
          <w:sz w:val="32"/>
          <w:szCs w:val="32"/>
        </w:rPr>
        <w:t>用外资5.3亿美元，占比</w:t>
      </w: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为</w:t>
      </w:r>
      <w:r>
        <w:rPr>
          <w:rFonts w:hint="eastAsia" w:ascii="仿宋_GB2312" w:hAnsi="Times New Roman" w:eastAsia="仿宋_GB2312" w:cs="Times New Roman"/>
          <w:sz w:val="32"/>
          <w:szCs w:val="32"/>
        </w:rPr>
        <w:t>37.1%。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textAlignment w:val="auto"/>
        <w:rPr>
          <w:rFonts w:hint="eastAsia" w:ascii="仿宋_GB2312" w:hAnsi="Times New Roman" w:eastAsia="仿宋_GB2312" w:cs="Times New Roman"/>
          <w:sz w:val="32"/>
          <w:szCs w:val="32"/>
        </w:rPr>
      </w:pPr>
      <w:r>
        <w:rPr>
          <w:rFonts w:hint="eastAsia" w:ascii="仿宋_GB2312" w:hAnsi="Times New Roman" w:eastAsia="仿宋_GB2312" w:cs="Times New Roman"/>
          <w:sz w:val="32"/>
          <w:szCs w:val="32"/>
        </w:rPr>
        <w:t>全年实际对外投资25.1亿美元，比上年下降1.2%</w:t>
      </w:r>
      <w:r>
        <w:rPr>
          <w:rFonts w:hint="eastAsia" w:ascii="仿宋_GB2312" w:eastAsia="仿宋_GB2312" w:cs="Times New Roman"/>
          <w:sz w:val="32"/>
          <w:szCs w:val="32"/>
          <w:lang w:eastAsia="zh-CN"/>
        </w:rPr>
        <w:t>，</w:t>
      </w:r>
      <w:r>
        <w:rPr>
          <w:rFonts w:hint="eastAsia" w:ascii="仿宋_GB2312" w:hAnsi="Times New Roman" w:eastAsia="仿宋_GB2312" w:cs="Times New Roman"/>
          <w:sz w:val="32"/>
          <w:szCs w:val="32"/>
        </w:rPr>
        <w:t>其中对共建“一带一路”国家完成投资4.3亿美元，增长38.6%。全年对外承包工程完成营业额34.</w:t>
      </w:r>
      <w:r>
        <w:rPr>
          <w:rFonts w:hint="default" w:ascii="仿宋_GB2312" w:eastAsia="仿宋_GB2312" w:cs="Times New Roman"/>
          <w:sz w:val="32"/>
          <w:szCs w:val="32"/>
          <w:lang w:val="en-US"/>
        </w:rPr>
        <w:t>9</w:t>
      </w:r>
      <w:r>
        <w:rPr>
          <w:rFonts w:hint="eastAsia" w:ascii="仿宋_GB2312" w:hAnsi="Times New Roman" w:eastAsia="仿宋_GB2312" w:cs="Times New Roman"/>
          <w:sz w:val="32"/>
          <w:szCs w:val="32"/>
        </w:rPr>
        <w:t>亿美元，比上年增长8.2%</w:t>
      </w:r>
      <w:r>
        <w:rPr>
          <w:rFonts w:hint="eastAsia" w:ascii="仿宋_GB2312" w:eastAsia="仿宋_GB2312" w:cs="Times New Roman"/>
          <w:sz w:val="32"/>
          <w:szCs w:val="32"/>
          <w:lang w:eastAsia="zh-CN"/>
        </w:rPr>
        <w:t>，</w:t>
      </w:r>
      <w:r>
        <w:rPr>
          <w:rFonts w:hint="eastAsia" w:ascii="仿宋_GB2312" w:hAnsi="Times New Roman" w:eastAsia="仿宋_GB2312" w:cs="Times New Roman"/>
          <w:sz w:val="32"/>
          <w:szCs w:val="32"/>
        </w:rPr>
        <w:t>其中对共建“一带一路”国家完成营业额33.</w:t>
      </w:r>
      <w:r>
        <w:rPr>
          <w:rFonts w:hint="default" w:ascii="仿宋_GB2312" w:eastAsia="仿宋_GB2312" w:cs="Times New Roman"/>
          <w:sz w:val="32"/>
          <w:szCs w:val="32"/>
          <w:lang w:val="en-US"/>
        </w:rPr>
        <w:t>5</w:t>
      </w:r>
      <w:r>
        <w:rPr>
          <w:rFonts w:hint="eastAsia" w:ascii="仿宋_GB2312" w:hAnsi="Times New Roman" w:eastAsia="仿宋_GB2312" w:cs="Times New Roman"/>
          <w:sz w:val="32"/>
          <w:szCs w:val="32"/>
        </w:rPr>
        <w:t>亿美元，增长7.6%。对外劳务合作业务派出各类劳务人员2127人。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420" w:firstLineChars="200"/>
        <w:textAlignment w:val="auto"/>
        <w:rPr>
          <w:highlight w:val="none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jc w:val="center"/>
        <w:textAlignment w:val="auto"/>
        <w:rPr>
          <w:rFonts w:ascii="黑体" w:hAnsi="黑体" w:eastAsia="黑体" w:cs="宋体"/>
          <w:kern w:val="0"/>
          <w:sz w:val="32"/>
          <w:szCs w:val="32"/>
          <w:highlight w:val="none"/>
          <w:lang w:val="zh-CN"/>
        </w:rPr>
      </w:pPr>
      <w:r>
        <w:rPr>
          <w:rFonts w:hint="eastAsia" w:ascii="黑体" w:hAnsi="黑体" w:eastAsia="黑体" w:cs="宋体"/>
          <w:kern w:val="0"/>
          <w:sz w:val="32"/>
          <w:szCs w:val="32"/>
          <w:highlight w:val="none"/>
          <w:lang w:val="zh-CN"/>
        </w:rPr>
        <w:t>八、财政金融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textAlignment w:val="auto"/>
        <w:rPr>
          <w:rFonts w:ascii="仿宋_GB2312" w:eastAsia="仿宋_GB2312"/>
          <w:sz w:val="32"/>
          <w:szCs w:val="32"/>
          <w:highlight w:val="none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全年一般公共预算收入1340.7亿元，比上年增长0.1%，其中税收收入950.5亿元，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增长</w:t>
      </w:r>
      <w:r>
        <w:rPr>
          <w:rFonts w:hint="default" w:ascii="仿宋_GB2312" w:eastAsia="仿宋_GB2312"/>
          <w:sz w:val="32"/>
          <w:szCs w:val="32"/>
          <w:highlight w:val="none"/>
          <w:lang w:val="en-US" w:eastAsia="zh-CN"/>
        </w:rPr>
        <w:t>1.4%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，</w:t>
      </w:r>
      <w:r>
        <w:rPr>
          <w:rFonts w:hint="eastAsia" w:ascii="仿宋_GB2312" w:eastAsia="仿宋_GB2312"/>
          <w:sz w:val="32"/>
          <w:szCs w:val="32"/>
          <w:highlight w:val="none"/>
        </w:rPr>
        <w:t>占一般公共预算收入比重为70.9%。全年一般公共预算支出1718.5亿元，下降0.1%。其中，社会保障和就业支出290.7亿元，增长5.3%；一般公共服务支出196.2亿元，增长10.3%；农林水支出100.7</w:t>
      </w:r>
      <w:r>
        <w:rPr>
          <w:rFonts w:ascii="仿宋_GB2312" w:eastAsia="仿宋_GB2312"/>
          <w:sz w:val="32"/>
          <w:szCs w:val="32"/>
          <w:highlight w:val="none"/>
        </w:rPr>
        <w:t>亿元，增长</w:t>
      </w:r>
      <w:r>
        <w:rPr>
          <w:rFonts w:hint="eastAsia" w:ascii="仿宋_GB2312" w:eastAsia="仿宋_GB2312"/>
          <w:sz w:val="32"/>
          <w:szCs w:val="32"/>
          <w:highlight w:val="none"/>
        </w:rPr>
        <w:t>7.9</w:t>
      </w:r>
      <w:r>
        <w:rPr>
          <w:rFonts w:ascii="仿宋_GB2312" w:eastAsia="仿宋_GB2312"/>
          <w:sz w:val="32"/>
          <w:szCs w:val="32"/>
          <w:highlight w:val="none"/>
        </w:rPr>
        <w:t>%；</w:t>
      </w:r>
      <w:r>
        <w:rPr>
          <w:rFonts w:hint="eastAsia" w:ascii="仿宋_GB2312" w:eastAsia="仿宋_GB2312"/>
          <w:sz w:val="32"/>
          <w:szCs w:val="32"/>
          <w:highlight w:val="none"/>
        </w:rPr>
        <w:t>科学技术支出36.1亿元，增长43.7%。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textAlignment w:val="auto"/>
        <w:rPr>
          <w:rFonts w:ascii="仿宋_GB2312" w:eastAsia="仿宋_GB2312"/>
          <w:sz w:val="32"/>
          <w:szCs w:val="32"/>
          <w:highlight w:val="none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年末本外币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各项</w:t>
      </w:r>
      <w:r>
        <w:rPr>
          <w:rFonts w:hint="eastAsia" w:ascii="仿宋_GB2312" w:eastAsia="仿宋_GB2312"/>
          <w:sz w:val="32"/>
          <w:szCs w:val="32"/>
          <w:highlight w:val="none"/>
        </w:rPr>
        <w:t>存款余额30892.7亿元，比上年增长</w:t>
      </w:r>
      <w:r>
        <w:rPr>
          <w:rFonts w:hint="default" w:ascii="仿宋_GB2312" w:eastAsia="仿宋_GB2312"/>
          <w:sz w:val="32"/>
          <w:szCs w:val="32"/>
          <w:highlight w:val="none"/>
          <w:lang w:val="en-US"/>
        </w:rPr>
        <w:t>7.8</w:t>
      </w:r>
      <w:r>
        <w:rPr>
          <w:rFonts w:hint="eastAsia" w:ascii="仿宋_GB2312" w:eastAsia="仿宋_GB2312"/>
          <w:sz w:val="32"/>
          <w:szCs w:val="32"/>
          <w:highlight w:val="none"/>
        </w:rPr>
        <w:t>%，比年初增加2223.2亿元；本外币各项贷款余额34019.9亿元，增长6.6%，比年初增加2114.7亿元。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  <w:highlight w:val="none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截至年末，</w:t>
      </w:r>
      <w:r>
        <w:rPr>
          <w:rFonts w:hint="eastAsia" w:ascii="仿宋_GB2312" w:hAnsi="仿宋_GB2312" w:eastAsia="仿宋_GB2312"/>
          <w:sz w:val="32"/>
          <w:szCs w:val="28"/>
          <w:highlight w:val="none"/>
          <w:lang w:val="en-US" w:eastAsia="zh-CN"/>
        </w:rPr>
        <w:t>全市</w:t>
      </w:r>
      <w:r>
        <w:rPr>
          <w:rFonts w:hint="eastAsia" w:ascii="仿宋_GB2312" w:hAnsi="仿宋_GB2312" w:eastAsia="仿宋_GB2312"/>
          <w:sz w:val="32"/>
          <w:szCs w:val="28"/>
          <w:highlight w:val="none"/>
        </w:rPr>
        <w:t>沪深北上市公司达65家</w:t>
      </w:r>
      <w:r>
        <w:rPr>
          <w:rFonts w:hint="eastAsia" w:ascii="仿宋_GB2312" w:eastAsia="仿宋_GB2312"/>
          <w:sz w:val="32"/>
          <w:szCs w:val="32"/>
          <w:highlight w:val="none"/>
        </w:rPr>
        <w:t>，</w:t>
      </w:r>
      <w:r>
        <w:rPr>
          <w:rFonts w:ascii="仿宋_GB2312" w:eastAsia="仿宋_GB2312"/>
          <w:sz w:val="32"/>
          <w:szCs w:val="32"/>
          <w:highlight w:val="none"/>
        </w:rPr>
        <w:t>稳居北方城市第</w:t>
      </w:r>
      <w:r>
        <w:rPr>
          <w:rFonts w:hint="eastAsia" w:ascii="仿宋_GB2312" w:eastAsia="仿宋_GB2312"/>
          <w:sz w:val="32"/>
          <w:szCs w:val="32"/>
          <w:highlight w:val="none"/>
        </w:rPr>
        <w:t>三</w:t>
      </w:r>
      <w:r>
        <w:rPr>
          <w:rFonts w:ascii="仿宋_GB2312" w:eastAsia="仿宋_GB2312"/>
          <w:sz w:val="32"/>
          <w:szCs w:val="32"/>
          <w:highlight w:val="none"/>
        </w:rPr>
        <w:t>位，</w:t>
      </w:r>
      <w:r>
        <w:rPr>
          <w:rFonts w:hint="eastAsia" w:ascii="仿宋_GB2312" w:hAnsi="仿宋_GB2312" w:eastAsia="仿宋_GB2312"/>
          <w:sz w:val="32"/>
          <w:szCs w:val="28"/>
          <w:highlight w:val="none"/>
        </w:rPr>
        <w:t>新三板挂牌公司64家，</w:t>
      </w:r>
      <w:r>
        <w:rPr>
          <w:rFonts w:hint="eastAsia" w:ascii="仿宋_GB2312" w:hAnsi="仿宋_GB2312" w:eastAsia="仿宋_GB2312"/>
          <w:sz w:val="32"/>
          <w:szCs w:val="32"/>
          <w:highlight w:val="none"/>
        </w:rPr>
        <w:t>青岛蓝海股权交易中心挂牌企业2187家</w:t>
      </w:r>
      <w:r>
        <w:rPr>
          <w:rFonts w:hint="eastAsia" w:ascii="仿宋_GB2312" w:hAnsi="仿宋_GB2312" w:eastAsia="仿宋_GB2312"/>
          <w:sz w:val="32"/>
          <w:szCs w:val="28"/>
          <w:highlight w:val="none"/>
        </w:rPr>
        <w:t>。</w:t>
      </w:r>
      <w:r>
        <w:rPr>
          <w:rFonts w:hint="eastAsia" w:ascii="仿宋_GB2312" w:eastAsia="仿宋_GB2312"/>
          <w:sz w:val="32"/>
          <w:szCs w:val="32"/>
          <w:highlight w:val="none"/>
        </w:rPr>
        <w:t>在中国证券投资基金业协会登记的私募基金管理人322家，</w:t>
      </w:r>
      <w:r>
        <w:rPr>
          <w:rFonts w:hint="eastAsia" w:ascii="仿宋_GB2312" w:hAnsi="仿宋_GB2312" w:eastAsia="仿宋_GB2312"/>
          <w:sz w:val="32"/>
          <w:szCs w:val="32"/>
          <w:highlight w:val="none"/>
        </w:rPr>
        <w:t>已备案私募基金2304只，</w:t>
      </w:r>
      <w:r>
        <w:rPr>
          <w:rFonts w:hint="eastAsia" w:ascii="仿宋_GB2312" w:eastAsia="仿宋_GB2312"/>
          <w:sz w:val="32"/>
          <w:szCs w:val="32"/>
          <w:highlight w:val="none"/>
        </w:rPr>
        <w:t>基金管理规模2235.7亿元，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比上年</w:t>
      </w:r>
      <w:r>
        <w:rPr>
          <w:rFonts w:hint="eastAsia" w:ascii="仿宋_GB2312" w:eastAsia="仿宋_GB2312"/>
          <w:sz w:val="32"/>
          <w:szCs w:val="32"/>
          <w:highlight w:val="none"/>
        </w:rPr>
        <w:t>增长10.2%。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textAlignment w:val="auto"/>
        <w:rPr>
          <w:rFonts w:ascii="仿宋_GB2312" w:eastAsia="仿宋_GB2312"/>
          <w:sz w:val="32"/>
          <w:szCs w:val="32"/>
          <w:highlight w:val="none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全年保险业累计实现保费收入757亿元，比上年增长9.</w:t>
      </w:r>
      <w:r>
        <w:rPr>
          <w:rFonts w:hint="default" w:ascii="仿宋_GB2312" w:eastAsia="仿宋_GB2312"/>
          <w:sz w:val="32"/>
          <w:szCs w:val="32"/>
          <w:highlight w:val="none"/>
          <w:lang w:val="en-US"/>
        </w:rPr>
        <w:t>8</w:t>
      </w:r>
      <w:r>
        <w:rPr>
          <w:rFonts w:hint="eastAsia" w:ascii="仿宋_GB2312" w:eastAsia="仿宋_GB2312"/>
          <w:sz w:val="32"/>
          <w:szCs w:val="32"/>
          <w:highlight w:val="none"/>
        </w:rPr>
        <w:t>%。其中，人身险公司保费收入5</w:t>
      </w:r>
      <w:r>
        <w:rPr>
          <w:rFonts w:hint="default" w:ascii="仿宋_GB2312" w:eastAsia="仿宋_GB2312"/>
          <w:sz w:val="32"/>
          <w:szCs w:val="32"/>
          <w:highlight w:val="none"/>
          <w:lang w:val="en-US"/>
        </w:rPr>
        <w:t>60</w:t>
      </w:r>
      <w:r>
        <w:rPr>
          <w:rFonts w:hint="eastAsia" w:ascii="仿宋_GB2312" w:eastAsia="仿宋_GB2312"/>
          <w:sz w:val="32"/>
          <w:szCs w:val="32"/>
          <w:highlight w:val="none"/>
        </w:rPr>
        <w:t>亿元，增长11.</w:t>
      </w:r>
      <w:r>
        <w:rPr>
          <w:rFonts w:hint="default" w:ascii="仿宋_GB2312" w:eastAsia="仿宋_GB2312"/>
          <w:sz w:val="32"/>
          <w:szCs w:val="32"/>
          <w:highlight w:val="none"/>
          <w:lang w:val="en-US"/>
        </w:rPr>
        <w:t>3</w:t>
      </w:r>
      <w:r>
        <w:rPr>
          <w:rFonts w:hint="eastAsia" w:ascii="仿宋_GB2312" w:eastAsia="仿宋_GB2312"/>
          <w:sz w:val="32"/>
          <w:szCs w:val="32"/>
          <w:highlight w:val="none"/>
        </w:rPr>
        <w:t>%；财产险公司保费收入198亿元，增长5.8%。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textAlignment w:val="auto"/>
        <w:rPr>
          <w:rFonts w:ascii="仿宋_GB2312" w:eastAsia="仿宋_GB2312"/>
          <w:sz w:val="32"/>
          <w:szCs w:val="32"/>
          <w:highlight w:val="none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560" w:lineRule="exact"/>
        <w:jc w:val="center"/>
        <w:textAlignment w:val="auto"/>
        <w:rPr>
          <w:rFonts w:ascii="黑体" w:hAnsi="黑体" w:eastAsia="黑体" w:cs="黑体"/>
          <w:kern w:val="0"/>
          <w:sz w:val="32"/>
          <w:szCs w:val="32"/>
          <w:highlight w:val="none"/>
          <w:lang w:val="zh-CN"/>
        </w:rPr>
      </w:pPr>
      <w:r>
        <w:rPr>
          <w:rFonts w:hint="eastAsia" w:ascii="黑体" w:hAnsi="黑体" w:eastAsia="黑体" w:cs="黑体"/>
          <w:kern w:val="0"/>
          <w:sz w:val="32"/>
          <w:szCs w:val="32"/>
          <w:highlight w:val="none"/>
          <w:lang w:val="zh-CN"/>
        </w:rPr>
        <w:t>九、人民生活和社会保障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rPr>
          <w:rFonts w:ascii="仿宋_GB2312" w:eastAsia="仿宋_GB2312"/>
          <w:sz w:val="32"/>
          <w:szCs w:val="32"/>
          <w:highlight w:val="none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全年全市居民人均可支配收入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62738</w:t>
      </w:r>
      <w:r>
        <w:rPr>
          <w:rFonts w:hint="eastAsia" w:ascii="仿宋_GB2312" w:eastAsia="仿宋_GB2312"/>
          <w:sz w:val="32"/>
          <w:szCs w:val="32"/>
          <w:highlight w:val="none"/>
        </w:rPr>
        <w:t>元，比上年增长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4.7</w:t>
      </w:r>
      <w:r>
        <w:rPr>
          <w:rFonts w:hint="eastAsia" w:ascii="仿宋_GB2312" w:eastAsia="仿宋_GB2312"/>
          <w:sz w:val="32"/>
          <w:szCs w:val="32"/>
          <w:highlight w:val="none"/>
        </w:rPr>
        <w:t>%。按常住地分，城镇居民人均可支配收入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71703</w:t>
      </w:r>
      <w:r>
        <w:rPr>
          <w:rFonts w:hint="eastAsia" w:ascii="仿宋_GB2312" w:eastAsia="仿宋_GB2312"/>
          <w:sz w:val="32"/>
          <w:szCs w:val="32"/>
          <w:highlight w:val="none"/>
        </w:rPr>
        <w:t>元，增长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4.2</w:t>
      </w:r>
      <w:r>
        <w:rPr>
          <w:rFonts w:hint="eastAsia" w:ascii="仿宋_GB2312" w:eastAsia="仿宋_GB2312"/>
          <w:sz w:val="32"/>
          <w:szCs w:val="32"/>
          <w:highlight w:val="none"/>
        </w:rPr>
        <w:t>%；农村居民人均可支配收入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33296</w:t>
      </w:r>
      <w:r>
        <w:rPr>
          <w:rFonts w:hint="eastAsia" w:ascii="仿宋_GB2312" w:eastAsia="仿宋_GB2312"/>
          <w:sz w:val="32"/>
          <w:szCs w:val="32"/>
          <w:highlight w:val="none"/>
        </w:rPr>
        <w:t>元，增长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5.5</w:t>
      </w:r>
      <w:r>
        <w:rPr>
          <w:rFonts w:hint="eastAsia" w:ascii="仿宋_GB2312" w:eastAsia="仿宋_GB2312"/>
          <w:sz w:val="32"/>
          <w:szCs w:val="32"/>
          <w:highlight w:val="none"/>
        </w:rPr>
        <w:t>%。</w:t>
      </w:r>
    </w:p>
    <w:p>
      <w:pPr>
        <w:pStyle w:val="10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jc w:val="both"/>
        <w:textAlignment w:val="auto"/>
        <w:rPr>
          <w:rFonts w:hint="eastAsia" w:ascii="仿宋_GB2312" w:eastAsia="仿宋_GB2312"/>
          <w:sz w:val="32"/>
          <w:szCs w:val="32"/>
          <w:highlight w:val="none"/>
        </w:rPr>
      </w:pPr>
      <w:r>
        <w:rPr>
          <w:rFonts w:hint="eastAsia" w:ascii="仿宋_GB2312" w:eastAsia="仿宋_GB2312"/>
          <w:sz w:val="32"/>
          <w:szCs w:val="32"/>
          <w:highlight w:val="none"/>
          <w:lang w:eastAsia="zh"/>
        </w:rPr>
        <w:t>全年</w:t>
      </w:r>
      <w:r>
        <w:rPr>
          <w:rFonts w:hint="eastAsia" w:ascii="仿宋_GB2312" w:eastAsia="仿宋_GB2312"/>
          <w:sz w:val="32"/>
          <w:szCs w:val="32"/>
          <w:highlight w:val="none"/>
        </w:rPr>
        <w:t>全市居民人均消费支出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37429</w:t>
      </w:r>
      <w:r>
        <w:rPr>
          <w:rFonts w:hint="eastAsia" w:ascii="仿宋_GB2312" w:eastAsia="仿宋_GB2312"/>
          <w:sz w:val="32"/>
          <w:szCs w:val="32"/>
          <w:highlight w:val="none"/>
        </w:rPr>
        <w:t>元，比上年</w:t>
      </w:r>
      <w:r>
        <w:rPr>
          <w:rFonts w:hint="eastAsia" w:ascii="仿宋_GB2312" w:eastAsia="仿宋_GB2312"/>
          <w:color w:val="000000"/>
          <w:sz w:val="32"/>
          <w:szCs w:val="32"/>
          <w:highlight w:val="none"/>
        </w:rPr>
        <w:t>增长</w:t>
      </w:r>
      <w:r>
        <w:rPr>
          <w:rFonts w:hint="eastAsia" w:ascii="仿宋_GB2312" w:eastAsia="仿宋_GB2312"/>
          <w:color w:val="000000"/>
          <w:sz w:val="32"/>
          <w:szCs w:val="32"/>
          <w:highlight w:val="none"/>
          <w:lang w:val="en-US" w:eastAsia="zh-CN"/>
        </w:rPr>
        <w:t>2.7</w:t>
      </w:r>
      <w:r>
        <w:rPr>
          <w:rFonts w:hint="eastAsia" w:ascii="仿宋_GB2312" w:eastAsia="仿宋_GB2312"/>
          <w:color w:val="000000"/>
          <w:sz w:val="32"/>
          <w:szCs w:val="32"/>
          <w:highlight w:val="none"/>
        </w:rPr>
        <w:t>%</w:t>
      </w:r>
      <w:r>
        <w:rPr>
          <w:rFonts w:hint="eastAsia" w:ascii="仿宋_GB2312" w:eastAsia="仿宋_GB2312"/>
          <w:sz w:val="32"/>
          <w:szCs w:val="32"/>
          <w:highlight w:val="none"/>
        </w:rPr>
        <w:t>，恩格尔系数为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28.0</w:t>
      </w:r>
      <w:r>
        <w:rPr>
          <w:rFonts w:hint="eastAsia" w:ascii="仿宋_GB2312" w:eastAsia="仿宋_GB2312"/>
          <w:sz w:val="32"/>
          <w:szCs w:val="32"/>
          <w:highlight w:val="none"/>
        </w:rPr>
        <w:t>%。按常住地分，城镇居民人均消费支出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42391</w:t>
      </w:r>
      <w:r>
        <w:rPr>
          <w:rFonts w:hint="eastAsia" w:ascii="仿宋_GB2312" w:eastAsia="仿宋_GB2312"/>
          <w:sz w:val="32"/>
          <w:szCs w:val="32"/>
          <w:highlight w:val="none"/>
        </w:rPr>
        <w:t>元，增长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2.3</w:t>
      </w:r>
      <w:r>
        <w:rPr>
          <w:rFonts w:hint="eastAsia" w:ascii="仿宋_GB2312" w:eastAsia="仿宋_GB2312"/>
          <w:sz w:val="32"/>
          <w:szCs w:val="32"/>
          <w:highlight w:val="none"/>
        </w:rPr>
        <w:t>%；农村居民人均消费支出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21134</w:t>
      </w:r>
      <w:r>
        <w:rPr>
          <w:rFonts w:hint="eastAsia" w:ascii="仿宋_GB2312" w:eastAsia="仿宋_GB2312"/>
          <w:sz w:val="32"/>
          <w:szCs w:val="32"/>
          <w:highlight w:val="none"/>
        </w:rPr>
        <w:t>元，增长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2.9</w:t>
      </w:r>
      <w:r>
        <w:rPr>
          <w:rFonts w:hint="eastAsia" w:ascii="仿宋_GB2312" w:eastAsia="仿宋_GB2312"/>
          <w:sz w:val="32"/>
          <w:szCs w:val="32"/>
          <w:highlight w:val="none"/>
        </w:rPr>
        <w:t>%。</w:t>
      </w:r>
    </w:p>
    <w:p>
      <w:pPr>
        <w:pStyle w:val="10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0" w:firstLineChars="0"/>
        <w:jc w:val="center"/>
        <w:textAlignment w:val="auto"/>
        <w:rPr>
          <w:rFonts w:ascii="黑体" w:eastAsia="黑体" w:cs="宋体"/>
          <w:color w:val="000000"/>
          <w:sz w:val="28"/>
          <w:szCs w:val="28"/>
          <w:lang w:val="zh-CN"/>
        </w:rPr>
      </w:pPr>
      <w:r>
        <w:rPr>
          <w:rFonts w:ascii="黑体" w:eastAsia="黑体" w:cs="宋体"/>
          <w:color w:val="000000"/>
          <w:sz w:val="28"/>
          <w:szCs w:val="28"/>
          <w:lang w:val="zh-CN"/>
        </w:rPr>
        <w:t>表</w:t>
      </w:r>
      <w:r>
        <w:rPr>
          <w:rFonts w:hint="default" w:ascii="黑体" w:eastAsia="黑体" w:cs="宋体"/>
          <w:color w:val="000000"/>
          <w:sz w:val="28"/>
          <w:szCs w:val="28"/>
          <w:lang w:val="en-US"/>
        </w:rPr>
        <w:t>6</w:t>
      </w:r>
      <w:r>
        <w:rPr>
          <w:rFonts w:hint="eastAsia" w:ascii="黑体" w:eastAsia="黑体" w:cs="宋体"/>
          <w:color w:val="000000"/>
          <w:sz w:val="28"/>
          <w:szCs w:val="28"/>
        </w:rPr>
        <w:t xml:space="preserve">： </w:t>
      </w:r>
      <w:r>
        <w:rPr>
          <w:rFonts w:ascii="黑体" w:eastAsia="黑体" w:cs="宋体"/>
          <w:color w:val="000000"/>
          <w:sz w:val="28"/>
          <w:szCs w:val="28"/>
          <w:lang w:val="zh-CN"/>
        </w:rPr>
        <w:t>202</w:t>
      </w:r>
      <w:r>
        <w:rPr>
          <w:rFonts w:ascii="黑体" w:eastAsia="黑体" w:cs="宋体"/>
          <w:color w:val="000000"/>
          <w:sz w:val="28"/>
          <w:szCs w:val="28"/>
        </w:rPr>
        <w:t>5</w:t>
      </w:r>
      <w:r>
        <w:rPr>
          <w:rFonts w:ascii="黑体" w:eastAsia="黑体" w:cs="宋体"/>
          <w:color w:val="000000"/>
          <w:sz w:val="28"/>
          <w:szCs w:val="28"/>
          <w:lang w:val="zh-CN"/>
        </w:rPr>
        <w:t>年居民人均收入、消费支出情况</w:t>
      </w:r>
    </w:p>
    <w:tbl>
      <w:tblPr>
        <w:tblStyle w:val="11"/>
        <w:tblW w:w="5013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40"/>
        <w:gridCol w:w="2288"/>
        <w:gridCol w:w="245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69" w:hRule="atLeast"/>
          <w:tblHeader/>
          <w:jc w:val="center"/>
        </w:trPr>
        <w:tc>
          <w:tcPr>
            <w:tcW w:w="2390" w:type="pct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指  标</w:t>
            </w:r>
          </w:p>
        </w:tc>
        <w:tc>
          <w:tcPr>
            <w:tcW w:w="1260" w:type="pct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绝对量（元）</w:t>
            </w:r>
          </w:p>
        </w:tc>
        <w:tc>
          <w:tcPr>
            <w:tcW w:w="1349" w:type="pct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比上年增长（％）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340" w:type="dxa"/>
            <w:tcBorders>
              <w:top w:val="nil"/>
              <w:left w:val="nil"/>
              <w:bottom w:val="nil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一、人均可支配收入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62738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tabs>
                <w:tab w:val="left" w:pos="529"/>
              </w:tabs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  <w:lang w:val="en-US" w:eastAsia="zh-CN"/>
              </w:rPr>
              <w:t>4.7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340" w:type="dxa"/>
            <w:tcBorders>
              <w:top w:val="nil"/>
              <w:left w:val="nil"/>
              <w:bottom w:val="nil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    工资性收入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37392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  <w:lang w:val="en-US" w:eastAsia="zh-CN"/>
              </w:rPr>
              <w:t>5.2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340" w:type="dxa"/>
            <w:tcBorders>
              <w:top w:val="nil"/>
              <w:left w:val="nil"/>
              <w:bottom w:val="nil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    经营净收入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11403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  <w:lang w:val="en-US" w:eastAsia="zh-CN"/>
              </w:rPr>
              <w:t>3.4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340" w:type="dxa"/>
            <w:tcBorders>
              <w:top w:val="nil"/>
              <w:left w:val="nil"/>
              <w:bottom w:val="nil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    财产净收入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5180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  <w:lang w:val="en-US" w:eastAsia="zh-CN"/>
              </w:rPr>
              <w:t>3.9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340" w:type="dxa"/>
            <w:tcBorders>
              <w:top w:val="nil"/>
              <w:left w:val="nil"/>
              <w:bottom w:val="nil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    转移净收入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8763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  <w:lang w:val="en-US" w:eastAsia="zh-CN"/>
              </w:rPr>
              <w:t>4.7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340" w:type="dxa"/>
            <w:tcBorders>
              <w:top w:val="nil"/>
              <w:left w:val="nil"/>
              <w:bottom w:val="nil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二、人均消费支出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37429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  <w:lang w:val="en-US" w:eastAsia="zh-CN"/>
              </w:rPr>
              <w:t>2.7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340" w:type="dxa"/>
            <w:tcBorders>
              <w:top w:val="nil"/>
              <w:left w:val="nil"/>
              <w:bottom w:val="nil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    食品烟酒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10493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  <w:lang w:val="en-US" w:eastAsia="zh-CN"/>
              </w:rPr>
              <w:t>2.9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340" w:type="dxa"/>
            <w:tcBorders>
              <w:top w:val="nil"/>
              <w:left w:val="nil"/>
              <w:bottom w:val="nil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    衣着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3149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  <w:lang w:val="en-US" w:eastAsia="zh-CN"/>
              </w:rPr>
              <w:t>1.7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340" w:type="dxa"/>
            <w:tcBorders>
              <w:top w:val="nil"/>
              <w:left w:val="nil"/>
              <w:bottom w:val="nil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    居住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8240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  <w:lang w:val="en-US" w:eastAsia="zh-CN"/>
              </w:rPr>
              <w:t>2.0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340" w:type="dxa"/>
            <w:tcBorders>
              <w:top w:val="nil"/>
              <w:left w:val="nil"/>
              <w:bottom w:val="nil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    生活用品及服务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2320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  <w:lang w:val="en-US" w:eastAsia="zh-CN"/>
              </w:rPr>
              <w:t>2.8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340" w:type="dxa"/>
            <w:tcBorders>
              <w:top w:val="nil"/>
              <w:left w:val="nil"/>
              <w:bottom w:val="nil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    交通通信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5998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  <w:lang w:val="en-US" w:eastAsia="zh-CN"/>
              </w:rPr>
              <w:t>2.6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340" w:type="dxa"/>
            <w:tcBorders>
              <w:top w:val="nil"/>
              <w:left w:val="nil"/>
              <w:bottom w:val="nil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    教育文化娱乐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4156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  <w:lang w:val="en-US" w:eastAsia="zh-CN"/>
              </w:rPr>
              <w:t>3.7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340" w:type="dxa"/>
            <w:tcBorders>
              <w:top w:val="nil"/>
              <w:left w:val="nil"/>
              <w:bottom w:val="nil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    医疗保健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2226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  <w:lang w:val="en-US" w:eastAsia="zh-CN"/>
              </w:rPr>
              <w:t>4.4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7" w:hRule="atLeast"/>
          <w:jc w:val="center"/>
        </w:trPr>
        <w:tc>
          <w:tcPr>
            <w:tcW w:w="434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    其他用品和服务</w:t>
            </w:r>
          </w:p>
        </w:tc>
        <w:tc>
          <w:tcPr>
            <w:tcW w:w="2288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left w:w="105" w:type="dxa"/>
              <w:right w:w="105" w:type="dxa"/>
            </w:tcMar>
            <w:vAlign w:val="top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</w:rPr>
              <w:t>847</w:t>
            </w:r>
          </w:p>
        </w:tc>
        <w:tc>
          <w:tcPr>
            <w:tcW w:w="2450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widowControl/>
              <w:ind w:right="420" w:rightChars="200"/>
              <w:jc w:val="right"/>
              <w:rPr>
                <w:rFonts w:ascii="宋体" w:hAnsi="宋体" w:cs="宋体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kern w:val="0"/>
                <w:szCs w:val="21"/>
                <w:highlight w:val="none"/>
                <w:lang w:val="en-US" w:eastAsia="zh-CN"/>
              </w:rPr>
              <w:t>1.4</w:t>
            </w:r>
          </w:p>
        </w:tc>
      </w:tr>
    </w:tbl>
    <w:p>
      <w:pPr>
        <w:widowControl/>
        <w:autoSpaceDE w:val="0"/>
        <w:autoSpaceDN w:val="0"/>
        <w:adjustRightInd w:val="0"/>
        <w:spacing w:line="560" w:lineRule="exact"/>
        <w:ind w:firstLine="1680" w:firstLineChars="600"/>
        <w:jc w:val="both"/>
        <w:rPr>
          <w:rFonts w:hint="eastAsia" w:ascii="黑体" w:eastAsia="黑体" w:cs="宋体"/>
          <w:kern w:val="0"/>
          <w:sz w:val="28"/>
          <w:szCs w:val="28"/>
          <w:lang w:val="zh-CN"/>
        </w:rPr>
      </w:pPr>
    </w:p>
    <w:p>
      <w:pPr>
        <w:widowControl/>
        <w:autoSpaceDE w:val="0"/>
        <w:autoSpaceDN w:val="0"/>
        <w:adjustRightInd w:val="0"/>
        <w:spacing w:line="560" w:lineRule="exact"/>
        <w:ind w:firstLine="1680" w:firstLineChars="600"/>
        <w:jc w:val="both"/>
        <w:rPr>
          <w:rFonts w:ascii="黑体" w:eastAsia="黑体" w:cs="宋体"/>
          <w:kern w:val="0"/>
          <w:sz w:val="28"/>
          <w:szCs w:val="28"/>
        </w:rPr>
      </w:pPr>
      <w:r>
        <w:rPr>
          <w:rFonts w:hint="eastAsia" w:ascii="黑体" w:eastAsia="黑体" w:cs="宋体"/>
          <w:kern w:val="0"/>
          <w:sz w:val="28"/>
          <w:szCs w:val="28"/>
          <w:lang w:val="zh-CN"/>
        </w:rPr>
        <w:t>图</w:t>
      </w:r>
      <w:r>
        <w:rPr>
          <w:rFonts w:hint="default" w:ascii="黑体" w:eastAsia="黑体" w:cs="宋体"/>
          <w:kern w:val="0"/>
          <w:sz w:val="28"/>
          <w:szCs w:val="28"/>
          <w:lang w:val="en-US"/>
        </w:rPr>
        <w:t>7</w:t>
      </w:r>
      <w:r>
        <w:rPr>
          <w:rFonts w:hint="eastAsia" w:ascii="黑体" w:eastAsia="黑体" w:cs="宋体"/>
          <w:kern w:val="0"/>
          <w:sz w:val="28"/>
          <w:szCs w:val="28"/>
        </w:rPr>
        <w:t>：202</w:t>
      </w:r>
      <w:r>
        <w:rPr>
          <w:rFonts w:ascii="黑体" w:eastAsia="黑体" w:cs="宋体"/>
          <w:kern w:val="0"/>
          <w:sz w:val="28"/>
          <w:szCs w:val="28"/>
        </w:rPr>
        <w:t>1</w:t>
      </w:r>
      <w:r>
        <w:rPr>
          <w:rFonts w:hint="eastAsia" w:ascii="黑体" w:eastAsia="黑体" w:cs="宋体"/>
          <w:kern w:val="0"/>
          <w:sz w:val="28"/>
          <w:szCs w:val="28"/>
        </w:rPr>
        <w:t>-202</w:t>
      </w:r>
      <w:r>
        <w:rPr>
          <w:rFonts w:ascii="黑体" w:eastAsia="黑体" w:cs="宋体"/>
          <w:kern w:val="0"/>
          <w:sz w:val="28"/>
          <w:szCs w:val="28"/>
        </w:rPr>
        <w:t>5</w:t>
      </w:r>
      <w:r>
        <w:rPr>
          <w:rFonts w:hint="eastAsia" w:ascii="黑体" w:eastAsia="黑体" w:cs="宋体"/>
          <w:kern w:val="0"/>
          <w:sz w:val="28"/>
          <w:szCs w:val="28"/>
        </w:rPr>
        <w:t>年居民人均可支配收入及增速</w:t>
      </w:r>
    </w:p>
    <w:p>
      <w:r>
        <w:drawing>
          <wp:inline distT="0" distB="0" distL="114300" distR="114300">
            <wp:extent cx="5579745" cy="2339975"/>
            <wp:effectExtent l="4445" t="5080" r="16510" b="17145"/>
            <wp:docPr id="1" name="图表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>
      <w:pPr>
        <w:jc w:val="center"/>
        <w:rPr>
          <w:rFonts w:ascii="黑体" w:eastAsia="黑体" w:cs="宋体"/>
          <w:kern w:val="0"/>
          <w:sz w:val="28"/>
          <w:szCs w:val="28"/>
        </w:rPr>
      </w:pPr>
    </w:p>
    <w:p>
      <w:pPr>
        <w:jc w:val="center"/>
      </w:pPr>
      <w:r>
        <w:rPr>
          <w:rFonts w:hint="eastAsia" w:ascii="黑体" w:eastAsia="黑体" w:cs="宋体"/>
          <w:kern w:val="0"/>
          <w:sz w:val="28"/>
          <w:szCs w:val="28"/>
        </w:rPr>
        <w:t>图</w:t>
      </w:r>
      <w:r>
        <w:rPr>
          <w:rFonts w:hint="default" w:ascii="黑体" w:eastAsia="黑体" w:cs="宋体"/>
          <w:kern w:val="0"/>
          <w:sz w:val="28"/>
          <w:szCs w:val="28"/>
          <w:lang w:val="en-US"/>
        </w:rPr>
        <w:t>8</w:t>
      </w:r>
      <w:r>
        <w:rPr>
          <w:rFonts w:hint="eastAsia" w:ascii="黑体" w:eastAsia="黑体" w:cs="宋体"/>
          <w:kern w:val="0"/>
          <w:sz w:val="28"/>
          <w:szCs w:val="28"/>
        </w:rPr>
        <w:t>：202</w:t>
      </w:r>
      <w:r>
        <w:rPr>
          <w:rFonts w:ascii="黑体" w:eastAsia="黑体" w:cs="宋体"/>
          <w:kern w:val="0"/>
          <w:sz w:val="28"/>
          <w:szCs w:val="28"/>
        </w:rPr>
        <w:t>5</w:t>
      </w:r>
      <w:r>
        <w:rPr>
          <w:rFonts w:hint="eastAsia" w:ascii="黑体" w:eastAsia="黑体" w:cs="宋体"/>
          <w:kern w:val="0"/>
          <w:sz w:val="28"/>
          <w:szCs w:val="28"/>
        </w:rPr>
        <w:t>年居民人均消费支出及构成</w:t>
      </w:r>
      <w:bookmarkStart w:id="15" w:name="_GoBack"/>
      <w:bookmarkEnd w:id="15"/>
      <w:r>
        <w:drawing>
          <wp:inline distT="0" distB="0" distL="114300" distR="114300">
            <wp:extent cx="5410200" cy="2468880"/>
            <wp:effectExtent l="4445" t="4445" r="14605" b="22225"/>
            <wp:docPr id="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ascii="仿宋_GB2312" w:eastAsia="仿宋_GB2312"/>
          <w:b/>
          <w:sz w:val="32"/>
          <w:szCs w:val="32"/>
          <w:highlight w:val="none"/>
        </w:rPr>
      </w:pPr>
      <w:bookmarkStart w:id="7" w:name="OLE_LINK6"/>
      <w:r>
        <w:rPr>
          <w:rFonts w:hint="eastAsia" w:ascii="仿宋_GB2312" w:eastAsia="仿宋_GB2312"/>
          <w:sz w:val="32"/>
          <w:szCs w:val="32"/>
          <w:highlight w:val="none"/>
        </w:rPr>
        <w:t>年末</w:t>
      </w:r>
      <w:r>
        <w:rPr>
          <w:rFonts w:hint="eastAsia" w:ascii="仿宋_GB2312" w:eastAsia="仿宋_GB2312"/>
          <w:sz w:val="32"/>
          <w:szCs w:val="32"/>
          <w:highlight w:val="none"/>
          <w:lang w:eastAsia="zh"/>
        </w:rPr>
        <w:t>全市</w:t>
      </w:r>
      <w:r>
        <w:rPr>
          <w:rFonts w:hint="eastAsia" w:ascii="仿宋_GB2312" w:eastAsia="仿宋_GB2312"/>
          <w:sz w:val="32"/>
          <w:szCs w:val="32"/>
          <w:highlight w:val="none"/>
        </w:rPr>
        <w:t>参加城镇职工基本养老保险人数609.81万人，参加城乡居民基本养老保险人数258.08万人。参加失业、工伤保险人数分别为297.51万人、344.86万人。参加职工基本医疗保险人数460.08万人，参加城乡居民基本医疗保险人数485.56万人。参加生育保险人数</w:t>
      </w:r>
      <w:bookmarkEnd w:id="7"/>
      <w:r>
        <w:rPr>
          <w:rFonts w:hint="eastAsia" w:ascii="仿宋_GB2312" w:eastAsia="仿宋_GB2312"/>
          <w:sz w:val="32"/>
          <w:szCs w:val="32"/>
          <w:highlight w:val="none"/>
        </w:rPr>
        <w:t>303.26万人。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ascii="黑体" w:eastAsia="黑体" w:cs="宋体"/>
          <w:kern w:val="0"/>
          <w:sz w:val="32"/>
          <w:szCs w:val="32"/>
          <w:lang w:val="zh-CN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年末全市城乡居民最低生活保障人数7.3万人，城乡居民最低生活保障资金支出7.4亿元；城乡特困供养人数1.4万人，城乡特困人员救助供养金支出3.2亿元。</w:t>
      </w:r>
      <w:r>
        <w:rPr>
          <w:rFonts w:hint="eastAsia" w:ascii="仿宋_GB2312" w:hAnsi="Calibri" w:eastAsia="仿宋_GB2312" w:cs="Calibri"/>
          <w:sz w:val="32"/>
          <w:szCs w:val="32"/>
          <w:highlight w:val="none"/>
        </w:rPr>
        <w:t>年末共有正常运营的</w:t>
      </w:r>
      <w:r>
        <w:rPr>
          <w:rFonts w:hint="eastAsia" w:ascii="仿宋_GB2312" w:eastAsia="仿宋_GB2312"/>
          <w:sz w:val="32"/>
          <w:szCs w:val="32"/>
          <w:highlight w:val="none"/>
        </w:rPr>
        <w:t>养老机构298个，备案床位数4.3万张。</w:t>
      </w:r>
    </w:p>
    <w:p>
      <w:pPr>
        <w:widowControl/>
        <w:autoSpaceDE w:val="0"/>
        <w:autoSpaceDN w:val="0"/>
        <w:adjustRightInd w:val="0"/>
        <w:spacing w:line="560" w:lineRule="exact"/>
        <w:jc w:val="center"/>
        <w:rPr>
          <w:rFonts w:ascii="仿宋_GB2312" w:eastAsia="仿宋_GB2312"/>
          <w:sz w:val="32"/>
          <w:szCs w:val="32"/>
        </w:rPr>
      </w:pPr>
      <w:r>
        <w:rPr>
          <w:rFonts w:hint="eastAsia" w:ascii="黑体" w:eastAsia="黑体" w:cs="宋体"/>
          <w:kern w:val="0"/>
          <w:sz w:val="28"/>
          <w:szCs w:val="28"/>
          <w:lang w:val="zh-CN"/>
        </w:rPr>
        <w:t>图</w:t>
      </w:r>
      <w:r>
        <w:rPr>
          <w:rFonts w:hint="default" w:ascii="黑体" w:eastAsia="黑体" w:cs="宋体"/>
          <w:kern w:val="0"/>
          <w:sz w:val="28"/>
          <w:szCs w:val="28"/>
          <w:lang w:val="en-US"/>
        </w:rPr>
        <w:t>9</w:t>
      </w:r>
      <w:r>
        <w:rPr>
          <w:rFonts w:hint="eastAsia" w:ascii="黑体" w:eastAsia="黑体" w:cs="宋体"/>
          <w:kern w:val="0"/>
          <w:sz w:val="28"/>
          <w:szCs w:val="28"/>
          <w:lang w:val="zh-CN"/>
        </w:rPr>
        <w:t>：20</w:t>
      </w:r>
      <w:r>
        <w:rPr>
          <w:rFonts w:ascii="黑体" w:eastAsia="黑体" w:cs="宋体"/>
          <w:kern w:val="0"/>
          <w:sz w:val="28"/>
          <w:szCs w:val="28"/>
        </w:rPr>
        <w:t>21</w:t>
      </w:r>
      <w:r>
        <w:rPr>
          <w:rFonts w:hint="eastAsia" w:ascii="黑体" w:eastAsia="黑体" w:cs="宋体"/>
          <w:kern w:val="0"/>
          <w:sz w:val="28"/>
          <w:szCs w:val="28"/>
          <w:lang w:val="zh-CN"/>
        </w:rPr>
        <w:t>-202</w:t>
      </w:r>
      <w:r>
        <w:rPr>
          <w:rFonts w:ascii="黑体" w:eastAsia="黑体" w:cs="宋体"/>
          <w:kern w:val="0"/>
          <w:sz w:val="28"/>
          <w:szCs w:val="28"/>
        </w:rPr>
        <w:t>5</w:t>
      </w:r>
      <w:r>
        <w:rPr>
          <w:rFonts w:hint="eastAsia" w:ascii="黑体" w:eastAsia="黑体" w:cs="宋体"/>
          <w:kern w:val="0"/>
          <w:sz w:val="28"/>
          <w:szCs w:val="28"/>
          <w:lang w:val="zh-CN"/>
        </w:rPr>
        <w:t>年城镇职工基本养老保险参保人数</w:t>
      </w:r>
    </w:p>
    <w:p>
      <w:r>
        <w:drawing>
          <wp:inline distT="0" distB="0" distL="114300" distR="114300">
            <wp:extent cx="5579745" cy="2339975"/>
            <wp:effectExtent l="4445" t="5080" r="16510" b="17145"/>
            <wp:docPr id="9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>
      <w:pPr>
        <w:pStyle w:val="2"/>
        <w:spacing w:before="0" w:after="0" w:line="560" w:lineRule="exact"/>
      </w:pPr>
    </w:p>
    <w:p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jc w:val="both"/>
        <w:textAlignment w:val="auto"/>
        <w:rPr>
          <w:sz w:val="32"/>
          <w:szCs w:val="32"/>
          <w:lang w:val="zh-CN"/>
        </w:rPr>
      </w:pPr>
      <w:r>
        <w:rPr>
          <w:rFonts w:hint="eastAsia" w:ascii="仿宋_GB2312" w:hAnsi="Times New Roman" w:eastAsia="仿宋_GB2312"/>
          <w:kern w:val="2"/>
          <w:sz w:val="32"/>
          <w:szCs w:val="32"/>
        </w:rPr>
        <w:t>全年完成27个城中村回迁，</w:t>
      </w:r>
      <w:r>
        <w:rPr>
          <w:rFonts w:hint="eastAsia" w:ascii="仿宋_GB2312" w:hAnsi="Times New Roman" w:eastAsia="仿宋_GB2312"/>
          <w:kern w:val="2"/>
          <w:sz w:val="32"/>
          <w:szCs w:val="32"/>
          <w:lang w:eastAsia="zh"/>
        </w:rPr>
        <w:t>实施</w:t>
      </w:r>
      <w:r>
        <w:rPr>
          <w:rFonts w:hint="eastAsia" w:ascii="仿宋_GB2312" w:hAnsi="Times New Roman" w:eastAsia="仿宋_GB2312"/>
          <w:kern w:val="2"/>
          <w:sz w:val="32"/>
          <w:szCs w:val="32"/>
        </w:rPr>
        <w:t>53个老旧小区改造提升。新建、改建燃气、供热、供水管网787公里。建成口袋公园65个。新增公共停车泊位1.3万个，“全市一个停车场”平台累计接入泊位77万个。</w:t>
      </w:r>
    </w:p>
    <w:p>
      <w:pPr>
        <w:widowControl/>
        <w:adjustRightInd w:val="0"/>
        <w:spacing w:line="560" w:lineRule="exact"/>
        <w:jc w:val="both"/>
        <w:rPr>
          <w:rFonts w:hint="eastAsia" w:ascii="黑体" w:hAnsi="黑体" w:eastAsia="黑体" w:cs="黑体"/>
          <w:kern w:val="0"/>
          <w:sz w:val="32"/>
          <w:szCs w:val="32"/>
          <w:lang w:val="zh-CN"/>
        </w:rPr>
      </w:pPr>
    </w:p>
    <w:p>
      <w:pPr>
        <w:widowControl/>
        <w:adjustRightInd w:val="0"/>
        <w:spacing w:line="560" w:lineRule="exact"/>
        <w:jc w:val="center"/>
        <w:rPr>
          <w:rFonts w:ascii="黑体" w:hAnsi="黑体" w:eastAsia="黑体" w:cs="黑体"/>
          <w:kern w:val="0"/>
          <w:sz w:val="32"/>
          <w:szCs w:val="32"/>
          <w:lang w:val="zh-CN"/>
        </w:rPr>
      </w:pPr>
      <w:r>
        <w:rPr>
          <w:rFonts w:hint="eastAsia" w:ascii="黑体" w:hAnsi="黑体" w:eastAsia="黑体" w:cs="黑体"/>
          <w:kern w:val="0"/>
          <w:sz w:val="32"/>
          <w:szCs w:val="32"/>
          <w:lang w:val="zh-CN"/>
        </w:rPr>
        <w:t>十、科学技术和教育</w:t>
      </w:r>
    </w:p>
    <w:p>
      <w:pPr>
        <w:spacing w:line="560" w:lineRule="exact"/>
        <w:ind w:firstLine="640" w:firstLineChars="200"/>
        <w:rPr>
          <w:rFonts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上合科技创新合作中心挂牌运行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年末全市共获批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全国重点实验室</w:t>
      </w:r>
      <w:r>
        <w:rPr>
          <w:rFonts w:hint="default" w:ascii="仿宋_GB2312" w:eastAsia="仿宋_GB2312"/>
          <w:color w:val="000000" w:themeColor="text1"/>
          <w:sz w:val="32"/>
          <w:szCs w:val="32"/>
          <w:highlight w:val="none"/>
          <w:lang w:val="en-US"/>
          <w14:textFill>
            <w14:solidFill>
              <w14:schemeClr w14:val="tx1"/>
            </w14:solidFill>
          </w14:textFill>
        </w:rPr>
        <w:t>16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家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省重点实验室</w:t>
      </w:r>
      <w:r>
        <w:rPr>
          <w:rFonts w:hint="default" w:ascii="仿宋_GB2312" w:eastAsia="仿宋_GB2312"/>
          <w:color w:val="000000" w:themeColor="text1"/>
          <w:sz w:val="32"/>
          <w:szCs w:val="32"/>
          <w:highlight w:val="none"/>
          <w:lang w:val="en-US"/>
          <w14:textFill>
            <w14:solidFill>
              <w14:schemeClr w14:val="tx1"/>
            </w14:solidFill>
          </w14:textFill>
        </w:rPr>
        <w:t>86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家。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新增省级以上企业技术中心</w:t>
      </w:r>
      <w:r>
        <w:rPr>
          <w:rFonts w:hint="default" w:ascii="仿宋_GB2312" w:eastAsia="仿宋_GB2312"/>
          <w:color w:val="000000" w:themeColor="text1"/>
          <w:sz w:val="32"/>
          <w:szCs w:val="32"/>
          <w:highlight w:val="none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14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家、工程研究中心</w:t>
      </w:r>
      <w:r>
        <w:rPr>
          <w:rFonts w:hint="default" w:ascii="仿宋_GB2312" w:eastAsia="仿宋_GB2312"/>
          <w:color w:val="000000" w:themeColor="text1"/>
          <w:sz w:val="32"/>
          <w:szCs w:val="32"/>
          <w:highlight w:val="none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25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家，总数分别达</w:t>
      </w:r>
      <w:r>
        <w:rPr>
          <w:rFonts w:hint="default" w:ascii="仿宋_GB2312" w:eastAsia="仿宋_GB2312"/>
          <w:color w:val="000000" w:themeColor="text1"/>
          <w:sz w:val="32"/>
          <w:szCs w:val="32"/>
          <w:highlight w:val="none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254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家、</w:t>
      </w:r>
      <w:r>
        <w:rPr>
          <w:rFonts w:hint="default" w:ascii="仿宋_GB2312" w:eastAsia="仿宋_GB2312"/>
          <w:color w:val="000000" w:themeColor="text1"/>
          <w:sz w:val="32"/>
          <w:szCs w:val="32"/>
          <w:highlight w:val="none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175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家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现有国家知识产权示范企业6</w:t>
      </w:r>
      <w:r>
        <w:rPr>
          <w:rFonts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家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全年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新培育国家专精特新“小巨人”企业</w:t>
      </w:r>
      <w:r>
        <w:rPr>
          <w:rFonts w:hint="default" w:ascii="仿宋_GB2312" w:eastAsia="仿宋_GB2312"/>
          <w:color w:val="000000" w:themeColor="text1"/>
          <w:sz w:val="32"/>
          <w:szCs w:val="32"/>
          <w:highlight w:val="none"/>
          <w:lang w:val="en-US"/>
          <w14:textFill>
            <w14:solidFill>
              <w14:schemeClr w14:val="tx1"/>
            </w14:solidFill>
          </w14:textFill>
        </w:rPr>
        <w:t>40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家，总数累计达到</w:t>
      </w:r>
      <w:r>
        <w:rPr>
          <w:rFonts w:hint="default" w:ascii="仿宋_GB2312" w:eastAsia="仿宋_GB2312"/>
          <w:color w:val="000000" w:themeColor="text1"/>
          <w:sz w:val="32"/>
          <w:szCs w:val="32"/>
          <w:highlight w:val="none"/>
          <w:lang w:val="en-US"/>
          <w14:textFill>
            <w14:solidFill>
              <w14:schemeClr w14:val="tx1"/>
            </w14:solidFill>
          </w14:textFill>
        </w:rPr>
        <w:t>256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家。入库国家科技型中小企业达到</w:t>
      </w:r>
      <w:r>
        <w:rPr>
          <w:rFonts w:hint="default" w:ascii="仿宋_GB2312" w:eastAsia="仿宋_GB2312"/>
          <w:color w:val="000000" w:themeColor="text1"/>
          <w:sz w:val="32"/>
          <w:szCs w:val="32"/>
          <w:highlight w:val="none"/>
          <w:lang w:val="en-US"/>
          <w14:textFill>
            <w14:solidFill>
              <w14:schemeClr w14:val="tx1"/>
            </w14:solidFill>
          </w14:textFill>
        </w:rPr>
        <w:t>9487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家。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累计培育国家级制造业单项冠军企业45家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。引进集聚各类人才2</w:t>
      </w:r>
      <w:r>
        <w:rPr>
          <w:rFonts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6.8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万人，</w:t>
      </w:r>
      <w:bookmarkStart w:id="8" w:name="OLE_LINK8"/>
      <w:bookmarkStart w:id="9" w:name="OLE_LINK7"/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总量突破3</w:t>
      </w:r>
      <w:r>
        <w:rPr>
          <w:rFonts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00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万人。</w:t>
      </w:r>
      <w:bookmarkEnd w:id="8"/>
      <w:bookmarkEnd w:id="9"/>
    </w:p>
    <w:p>
      <w:pPr>
        <w:spacing w:line="560" w:lineRule="exact"/>
        <w:ind w:firstLine="640" w:firstLineChars="200"/>
        <w:rPr>
          <w:rFonts w:ascii="仿宋_GB2312" w:eastAsia="仿宋_GB2312"/>
          <w:sz w:val="32"/>
          <w:szCs w:val="32"/>
          <w:lang w:eastAsia="zh"/>
        </w:rPr>
      </w:pP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全年共登记科技成果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lang w:val="en-US"/>
          <w14:textFill>
            <w14:solidFill>
              <w14:schemeClr w14:val="tx1"/>
            </w14:solidFill>
          </w14:textFill>
        </w:rPr>
        <w:t>168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项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技术合同成交额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lang w:val="en-US"/>
          <w14:textFill>
            <w14:solidFill>
              <w14:schemeClr w14:val="tx1"/>
            </w14:solidFill>
          </w14:textFill>
        </w:rPr>
        <w:t>760.3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亿元，比上年增长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lang w:val="en-US"/>
          <w14:textFill>
            <w14:solidFill>
              <w14:schemeClr w14:val="tx1"/>
            </w14:solidFill>
          </w14:textFill>
        </w:rPr>
        <w:t>10.2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%。涉海技术合同成交额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lang w:val="en-US"/>
          <w14:textFill>
            <w14:solidFill>
              <w14:schemeClr w14:val="tx1"/>
            </w14:solidFill>
          </w14:textFill>
        </w:rPr>
        <w:t>113.7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亿元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增长29.9%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lang w:eastAsia="zh"/>
          <w14:textFill>
            <w14:solidFill>
              <w14:schemeClr w14:val="tx1"/>
            </w14:solidFill>
          </w14:textFill>
        </w:rPr>
        <w:t>全年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发明专利授权量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lang w:val="en-US"/>
          <w14:textFill>
            <w14:solidFill>
              <w14:schemeClr w14:val="tx1"/>
            </w14:solidFill>
          </w14:textFill>
        </w:rPr>
        <w:t>15884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件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lang w:eastAsia="zh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PCT国际专利申请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lang w:val="en-US"/>
          <w14:textFill>
            <w14:solidFill>
              <w14:schemeClr w14:val="tx1"/>
            </w14:solidFill>
          </w14:textFill>
        </w:rPr>
        <w:t>859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件。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lang w:eastAsia="zh"/>
          <w14:textFill>
            <w14:solidFill>
              <w14:schemeClr w14:val="tx1"/>
            </w14:solidFill>
          </w14:textFill>
        </w:rPr>
        <w:t>年末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有效发明专利拥有量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lang w:val="en-US"/>
          <w14:textFill>
            <w14:solidFill>
              <w14:schemeClr w14:val="tx1"/>
            </w14:solidFill>
          </w14:textFill>
        </w:rPr>
        <w:t>95606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件，比上年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lang w:eastAsia="zh"/>
          <w14:textFill>
            <w14:solidFill>
              <w14:schemeClr w14:val="tx1"/>
            </w14:solidFill>
          </w14:textFill>
        </w:rPr>
        <w:t>末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增加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lang w:val="en-US"/>
          <w14:textFill>
            <w14:solidFill>
              <w14:schemeClr w14:val="tx1"/>
            </w14:solidFill>
          </w14:textFill>
        </w:rPr>
        <w:t>11247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件</w:t>
      </w:r>
      <w:r>
        <w:rPr>
          <w:rFonts w:hint="eastAsia" w:ascii="仿宋_GB2312" w:eastAsia="仿宋_GB2312"/>
          <w:color w:val="000000" w:themeColor="text1"/>
          <w:sz w:val="32"/>
          <w:szCs w:val="32"/>
          <w:highlight w:val="none"/>
          <w:lang w:eastAsia="zh"/>
          <w14:textFill>
            <w14:solidFill>
              <w14:schemeClr w14:val="tx1"/>
            </w14:solidFill>
          </w14:textFill>
        </w:rPr>
        <w:t>。</w:t>
      </w:r>
    </w:p>
    <w:p>
      <w:pPr>
        <w:spacing w:line="560" w:lineRule="exact"/>
        <w:ind w:firstLine="640" w:firstLineChars="200"/>
        <w:rPr>
          <w:rFonts w:ascii="黑体" w:eastAsia="黑体" w:cs="宋体"/>
          <w:color w:val="000000"/>
          <w:kern w:val="0"/>
          <w:sz w:val="32"/>
          <w:szCs w:val="32"/>
          <w:lang w:val="zh-CN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年末全市共有各类高校（含民办高校）30所，其中普通高校</w:t>
      </w:r>
      <w:r>
        <w:rPr>
          <w:rFonts w:hint="default" w:ascii="仿宋_GB2312" w:eastAsia="仿宋_GB2312"/>
          <w:sz w:val="32"/>
          <w:szCs w:val="32"/>
          <w:highlight w:val="none"/>
          <w:lang w:val="en-US"/>
        </w:rPr>
        <w:t>28</w:t>
      </w:r>
      <w:r>
        <w:rPr>
          <w:rFonts w:hint="eastAsia" w:ascii="仿宋_GB2312" w:eastAsia="仿宋_GB2312"/>
          <w:sz w:val="32"/>
          <w:szCs w:val="32"/>
          <w:highlight w:val="none"/>
        </w:rPr>
        <w:t>所。</w:t>
      </w:r>
      <w:r>
        <w:rPr>
          <w:rFonts w:hint="eastAsia" w:ascii="仿宋_GB2312" w:eastAsia="仿宋_GB2312"/>
          <w:kern w:val="0"/>
          <w:sz w:val="32"/>
          <w:szCs w:val="32"/>
          <w:highlight w:val="none"/>
        </w:rPr>
        <w:t>全年研究生招生</w:t>
      </w:r>
      <w:r>
        <w:rPr>
          <w:rFonts w:hint="eastAsia" w:ascii="仿宋_GB2312" w:eastAsia="仿宋_GB2312"/>
          <w:sz w:val="32"/>
          <w:szCs w:val="32"/>
          <w:highlight w:val="none"/>
        </w:rPr>
        <w:t>2.64</w:t>
      </w:r>
      <w:r>
        <w:rPr>
          <w:rFonts w:hint="eastAsia" w:ascii="仿宋_GB2312" w:eastAsia="仿宋_GB2312"/>
          <w:kern w:val="0"/>
          <w:sz w:val="32"/>
          <w:szCs w:val="32"/>
          <w:highlight w:val="none"/>
        </w:rPr>
        <w:t>万人，在校研究生</w:t>
      </w:r>
      <w:r>
        <w:rPr>
          <w:rFonts w:hint="eastAsia" w:ascii="仿宋_GB2312" w:eastAsia="仿宋_GB2312"/>
          <w:sz w:val="32"/>
          <w:szCs w:val="32"/>
          <w:highlight w:val="none"/>
        </w:rPr>
        <w:t>7.80</w:t>
      </w:r>
      <w:r>
        <w:rPr>
          <w:rFonts w:hint="eastAsia" w:ascii="仿宋_GB2312" w:eastAsia="仿宋_GB2312"/>
          <w:kern w:val="0"/>
          <w:sz w:val="32"/>
          <w:szCs w:val="32"/>
          <w:highlight w:val="none"/>
        </w:rPr>
        <w:t>万人，毕业生</w:t>
      </w:r>
      <w:r>
        <w:rPr>
          <w:rFonts w:hint="eastAsia" w:ascii="仿宋_GB2312" w:eastAsia="仿宋_GB2312"/>
          <w:sz w:val="32"/>
          <w:szCs w:val="32"/>
          <w:highlight w:val="none"/>
        </w:rPr>
        <w:t>2.15</w:t>
      </w:r>
      <w:r>
        <w:rPr>
          <w:rFonts w:hint="eastAsia" w:ascii="仿宋_GB2312" w:eastAsia="仿宋_GB2312"/>
          <w:kern w:val="0"/>
          <w:sz w:val="32"/>
          <w:szCs w:val="32"/>
          <w:highlight w:val="none"/>
        </w:rPr>
        <w:t>万人（不含驻青科研院所研究生）；普通本专科招生</w:t>
      </w:r>
      <w:r>
        <w:rPr>
          <w:rFonts w:hint="eastAsia" w:ascii="仿宋_GB2312" w:eastAsia="仿宋_GB2312"/>
          <w:sz w:val="32"/>
          <w:szCs w:val="32"/>
          <w:highlight w:val="none"/>
        </w:rPr>
        <w:t>13.71</w:t>
      </w:r>
      <w:r>
        <w:rPr>
          <w:rFonts w:hint="eastAsia" w:ascii="仿宋_GB2312" w:eastAsia="仿宋_GB2312"/>
          <w:kern w:val="0"/>
          <w:sz w:val="32"/>
          <w:szCs w:val="32"/>
          <w:highlight w:val="none"/>
        </w:rPr>
        <w:t>万人，在校生</w:t>
      </w:r>
      <w:r>
        <w:rPr>
          <w:rFonts w:hint="eastAsia" w:ascii="仿宋_GB2312" w:eastAsia="仿宋_GB2312"/>
          <w:sz w:val="32"/>
          <w:szCs w:val="32"/>
          <w:highlight w:val="none"/>
        </w:rPr>
        <w:t>44.92</w:t>
      </w:r>
      <w:r>
        <w:rPr>
          <w:rFonts w:hint="eastAsia" w:ascii="仿宋_GB2312" w:eastAsia="仿宋_GB2312"/>
          <w:kern w:val="0"/>
          <w:sz w:val="32"/>
          <w:szCs w:val="32"/>
          <w:highlight w:val="none"/>
        </w:rPr>
        <w:t>万人，毕业生</w:t>
      </w:r>
      <w:r>
        <w:rPr>
          <w:rFonts w:hint="eastAsia" w:ascii="仿宋_GB2312" w:eastAsia="仿宋_GB2312"/>
          <w:sz w:val="32"/>
          <w:szCs w:val="32"/>
          <w:highlight w:val="none"/>
        </w:rPr>
        <w:t>12.04</w:t>
      </w:r>
      <w:r>
        <w:rPr>
          <w:rFonts w:hint="eastAsia" w:ascii="仿宋_GB2312" w:eastAsia="仿宋_GB2312"/>
          <w:kern w:val="0"/>
          <w:sz w:val="32"/>
          <w:szCs w:val="32"/>
          <w:highlight w:val="none"/>
        </w:rPr>
        <w:t>万人；中等职业教育招生</w:t>
      </w:r>
      <w:r>
        <w:rPr>
          <w:rFonts w:ascii="仿宋_GB2312" w:eastAsia="仿宋_GB2312"/>
          <w:sz w:val="32"/>
          <w:szCs w:val="32"/>
          <w:highlight w:val="none"/>
        </w:rPr>
        <w:t>2.14</w:t>
      </w:r>
      <w:r>
        <w:rPr>
          <w:rFonts w:hint="eastAsia" w:ascii="仿宋_GB2312" w:eastAsia="仿宋_GB2312"/>
          <w:kern w:val="0"/>
          <w:sz w:val="32"/>
          <w:szCs w:val="32"/>
          <w:highlight w:val="none"/>
        </w:rPr>
        <w:t>万人，在校生</w:t>
      </w:r>
      <w:r>
        <w:rPr>
          <w:rFonts w:ascii="仿宋_GB2312" w:eastAsia="仿宋_GB2312"/>
          <w:sz w:val="32"/>
          <w:szCs w:val="32"/>
          <w:highlight w:val="none"/>
        </w:rPr>
        <w:t>8.15</w:t>
      </w:r>
      <w:r>
        <w:rPr>
          <w:rFonts w:hint="eastAsia" w:ascii="仿宋_GB2312" w:eastAsia="仿宋_GB2312"/>
          <w:kern w:val="0"/>
          <w:sz w:val="32"/>
          <w:szCs w:val="32"/>
          <w:highlight w:val="none"/>
        </w:rPr>
        <w:t>万人，毕业生</w:t>
      </w:r>
      <w:r>
        <w:rPr>
          <w:rFonts w:ascii="仿宋_GB2312" w:eastAsia="仿宋_GB2312"/>
          <w:sz w:val="32"/>
          <w:szCs w:val="32"/>
          <w:highlight w:val="none"/>
        </w:rPr>
        <w:t>3.17</w:t>
      </w:r>
      <w:r>
        <w:rPr>
          <w:rFonts w:hint="eastAsia" w:ascii="仿宋_GB2312" w:eastAsia="仿宋_GB2312"/>
          <w:kern w:val="0"/>
          <w:sz w:val="32"/>
          <w:szCs w:val="32"/>
          <w:highlight w:val="none"/>
        </w:rPr>
        <w:t>万人；普通高中招生</w:t>
      </w:r>
      <w:r>
        <w:rPr>
          <w:rFonts w:ascii="仿宋_GB2312" w:eastAsia="仿宋_GB2312"/>
          <w:sz w:val="32"/>
          <w:szCs w:val="32"/>
          <w:highlight w:val="none"/>
        </w:rPr>
        <w:t>6.12</w:t>
      </w:r>
      <w:r>
        <w:rPr>
          <w:rFonts w:hint="eastAsia" w:ascii="仿宋_GB2312" w:eastAsia="仿宋_GB2312"/>
          <w:kern w:val="0"/>
          <w:sz w:val="32"/>
          <w:szCs w:val="32"/>
          <w:highlight w:val="none"/>
        </w:rPr>
        <w:t>万人，在校生</w:t>
      </w:r>
      <w:r>
        <w:rPr>
          <w:rFonts w:ascii="仿宋_GB2312" w:eastAsia="仿宋_GB2312"/>
          <w:sz w:val="32"/>
          <w:szCs w:val="32"/>
          <w:highlight w:val="none"/>
        </w:rPr>
        <w:t>16.54</w:t>
      </w:r>
      <w:r>
        <w:rPr>
          <w:rFonts w:hint="eastAsia" w:ascii="仿宋_GB2312" w:eastAsia="仿宋_GB2312"/>
          <w:kern w:val="0"/>
          <w:sz w:val="32"/>
          <w:szCs w:val="32"/>
          <w:highlight w:val="none"/>
        </w:rPr>
        <w:t>万人，毕业生</w:t>
      </w:r>
      <w:r>
        <w:rPr>
          <w:rFonts w:ascii="仿宋_GB2312" w:eastAsia="仿宋_GB2312"/>
          <w:sz w:val="32"/>
          <w:szCs w:val="32"/>
          <w:highlight w:val="none"/>
        </w:rPr>
        <w:t>4.96</w:t>
      </w:r>
      <w:r>
        <w:rPr>
          <w:rFonts w:hint="eastAsia" w:ascii="仿宋_GB2312" w:eastAsia="仿宋_GB2312"/>
          <w:kern w:val="0"/>
          <w:sz w:val="32"/>
          <w:szCs w:val="32"/>
          <w:highlight w:val="none"/>
        </w:rPr>
        <w:t>万人；初中招生</w:t>
      </w:r>
      <w:r>
        <w:rPr>
          <w:rFonts w:ascii="仿宋_GB2312" w:eastAsia="仿宋_GB2312"/>
          <w:sz w:val="32"/>
          <w:szCs w:val="32"/>
          <w:highlight w:val="none"/>
        </w:rPr>
        <w:t>11</w:t>
      </w:r>
      <w:r>
        <w:rPr>
          <w:rFonts w:hint="eastAsia" w:ascii="仿宋_GB2312" w:eastAsia="仿宋_GB2312"/>
          <w:kern w:val="0"/>
          <w:sz w:val="32"/>
          <w:szCs w:val="32"/>
          <w:highlight w:val="none"/>
        </w:rPr>
        <w:t>万人，在校生</w:t>
      </w:r>
      <w:r>
        <w:rPr>
          <w:rFonts w:ascii="仿宋_GB2312" w:eastAsia="仿宋_GB2312"/>
          <w:sz w:val="32"/>
          <w:szCs w:val="32"/>
          <w:highlight w:val="none"/>
        </w:rPr>
        <w:t>31.93</w:t>
      </w:r>
      <w:r>
        <w:rPr>
          <w:rFonts w:hint="eastAsia" w:ascii="仿宋_GB2312" w:eastAsia="仿宋_GB2312"/>
          <w:kern w:val="0"/>
          <w:sz w:val="32"/>
          <w:szCs w:val="32"/>
          <w:highlight w:val="none"/>
        </w:rPr>
        <w:t>万人，毕业生</w:t>
      </w:r>
      <w:r>
        <w:rPr>
          <w:rFonts w:ascii="仿宋_GB2312" w:eastAsia="仿宋_GB2312"/>
          <w:sz w:val="32"/>
          <w:szCs w:val="32"/>
          <w:highlight w:val="none"/>
        </w:rPr>
        <w:t>9.31</w:t>
      </w:r>
      <w:r>
        <w:rPr>
          <w:rFonts w:hint="eastAsia" w:ascii="仿宋_GB2312" w:eastAsia="仿宋_GB2312"/>
          <w:kern w:val="0"/>
          <w:sz w:val="32"/>
          <w:szCs w:val="32"/>
          <w:highlight w:val="none"/>
        </w:rPr>
        <w:t>万人；普通小学招生</w:t>
      </w:r>
      <w:r>
        <w:rPr>
          <w:rFonts w:ascii="仿宋_GB2312" w:eastAsia="仿宋_GB2312"/>
          <w:sz w:val="32"/>
          <w:szCs w:val="32"/>
          <w:highlight w:val="none"/>
        </w:rPr>
        <w:t>11.67</w:t>
      </w:r>
      <w:r>
        <w:rPr>
          <w:rFonts w:hint="eastAsia" w:ascii="仿宋_GB2312" w:eastAsia="仿宋_GB2312"/>
          <w:kern w:val="0"/>
          <w:sz w:val="32"/>
          <w:szCs w:val="32"/>
          <w:highlight w:val="none"/>
        </w:rPr>
        <w:t>万人，在校生</w:t>
      </w:r>
      <w:r>
        <w:rPr>
          <w:rFonts w:ascii="仿宋_GB2312" w:eastAsia="仿宋_GB2312"/>
          <w:sz w:val="32"/>
          <w:szCs w:val="32"/>
          <w:highlight w:val="none"/>
        </w:rPr>
        <w:t>77.12</w:t>
      </w:r>
      <w:r>
        <w:rPr>
          <w:rFonts w:hint="eastAsia" w:ascii="仿宋_GB2312" w:eastAsia="仿宋_GB2312"/>
          <w:kern w:val="0"/>
          <w:sz w:val="32"/>
          <w:szCs w:val="32"/>
          <w:highlight w:val="none"/>
        </w:rPr>
        <w:t>万人，毕业生</w:t>
      </w:r>
      <w:r>
        <w:rPr>
          <w:rFonts w:ascii="仿宋_GB2312" w:eastAsia="仿宋_GB2312"/>
          <w:sz w:val="32"/>
          <w:szCs w:val="32"/>
          <w:highlight w:val="none"/>
        </w:rPr>
        <w:t>11</w:t>
      </w:r>
      <w:r>
        <w:rPr>
          <w:rFonts w:hint="eastAsia" w:ascii="仿宋_GB2312" w:eastAsia="仿宋_GB2312"/>
          <w:kern w:val="0"/>
          <w:sz w:val="32"/>
          <w:szCs w:val="32"/>
          <w:highlight w:val="none"/>
        </w:rPr>
        <w:t>万人；特殊教育招生</w:t>
      </w:r>
      <w:r>
        <w:rPr>
          <w:rFonts w:ascii="仿宋_GB2312" w:eastAsia="仿宋_GB2312"/>
          <w:sz w:val="32"/>
          <w:szCs w:val="32"/>
          <w:highlight w:val="none"/>
        </w:rPr>
        <w:t>0.03</w:t>
      </w:r>
      <w:r>
        <w:rPr>
          <w:rFonts w:hint="eastAsia" w:ascii="仿宋_GB2312" w:eastAsia="仿宋_GB2312"/>
          <w:kern w:val="0"/>
          <w:sz w:val="32"/>
          <w:szCs w:val="32"/>
          <w:highlight w:val="none"/>
        </w:rPr>
        <w:t>万人，在校生</w:t>
      </w:r>
      <w:r>
        <w:rPr>
          <w:rFonts w:ascii="仿宋_GB2312" w:eastAsia="仿宋_GB2312"/>
          <w:sz w:val="32"/>
          <w:szCs w:val="32"/>
          <w:highlight w:val="none"/>
        </w:rPr>
        <w:t>0.23</w:t>
      </w:r>
      <w:r>
        <w:rPr>
          <w:rFonts w:hint="eastAsia" w:ascii="仿宋_GB2312" w:eastAsia="仿宋_GB2312"/>
          <w:kern w:val="0"/>
          <w:sz w:val="32"/>
          <w:szCs w:val="32"/>
          <w:highlight w:val="none"/>
        </w:rPr>
        <w:t>万人，毕业生</w:t>
      </w:r>
      <w:r>
        <w:rPr>
          <w:rFonts w:ascii="仿宋_GB2312" w:eastAsia="仿宋_GB2312"/>
          <w:kern w:val="0"/>
          <w:sz w:val="32"/>
          <w:szCs w:val="32"/>
          <w:highlight w:val="none"/>
        </w:rPr>
        <w:t>0.04</w:t>
      </w:r>
      <w:r>
        <w:rPr>
          <w:rFonts w:hint="eastAsia" w:ascii="仿宋_GB2312" w:eastAsia="仿宋_GB2312"/>
          <w:kern w:val="0"/>
          <w:sz w:val="32"/>
          <w:szCs w:val="32"/>
          <w:highlight w:val="none"/>
        </w:rPr>
        <w:t>万人；幼儿园在园幼儿</w:t>
      </w:r>
      <w:r>
        <w:rPr>
          <w:rFonts w:ascii="仿宋_GB2312" w:eastAsia="仿宋_GB2312"/>
          <w:kern w:val="0"/>
          <w:sz w:val="32"/>
          <w:szCs w:val="32"/>
          <w:highlight w:val="none"/>
        </w:rPr>
        <w:t>22.85</w:t>
      </w:r>
      <w:r>
        <w:rPr>
          <w:rFonts w:hint="eastAsia" w:ascii="仿宋_GB2312" w:eastAsia="仿宋_GB2312"/>
          <w:kern w:val="0"/>
          <w:sz w:val="32"/>
          <w:szCs w:val="32"/>
          <w:highlight w:val="none"/>
        </w:rPr>
        <w:t>万人。</w:t>
      </w:r>
    </w:p>
    <w:p>
      <w:pPr>
        <w:spacing w:line="560" w:lineRule="exact"/>
        <w:ind w:firstLine="1960" w:firstLineChars="700"/>
        <w:rPr>
          <w:rFonts w:ascii="黑体" w:eastAsia="黑体" w:cs="宋体"/>
          <w:color w:val="000000"/>
          <w:kern w:val="0"/>
          <w:sz w:val="28"/>
          <w:szCs w:val="28"/>
          <w:lang w:val="zh-CN"/>
        </w:rPr>
      </w:pPr>
      <w:r>
        <w:rPr>
          <w:rFonts w:hint="eastAsia" w:ascii="黑体" w:eastAsia="黑体" w:cs="宋体"/>
          <w:color w:val="000000"/>
          <w:kern w:val="0"/>
          <w:sz w:val="28"/>
          <w:szCs w:val="28"/>
          <w:highlight w:val="none"/>
          <w:lang w:val="zh-CN"/>
        </w:rPr>
        <w:t>图</w:t>
      </w:r>
      <w:r>
        <w:rPr>
          <w:rFonts w:ascii="黑体" w:eastAsia="黑体" w:cs="宋体"/>
          <w:color w:val="000000"/>
          <w:kern w:val="0"/>
          <w:sz w:val="28"/>
          <w:szCs w:val="28"/>
          <w:highlight w:val="none"/>
        </w:rPr>
        <w:t>10</w:t>
      </w:r>
      <w:r>
        <w:rPr>
          <w:rFonts w:hint="eastAsia" w:ascii="黑体" w:eastAsia="黑体" w:cs="宋体"/>
          <w:color w:val="000000"/>
          <w:kern w:val="0"/>
          <w:sz w:val="28"/>
          <w:szCs w:val="28"/>
          <w:highlight w:val="none"/>
          <w:lang w:val="zh-CN"/>
        </w:rPr>
        <w:t>：20</w:t>
      </w:r>
      <w:r>
        <w:rPr>
          <w:rFonts w:ascii="黑体" w:eastAsia="黑体" w:cs="宋体"/>
          <w:color w:val="000000"/>
          <w:kern w:val="0"/>
          <w:sz w:val="28"/>
          <w:szCs w:val="28"/>
          <w:highlight w:val="none"/>
        </w:rPr>
        <w:t>21</w:t>
      </w:r>
      <w:r>
        <w:rPr>
          <w:rFonts w:hint="eastAsia" w:ascii="黑体" w:eastAsia="黑体" w:cs="宋体"/>
          <w:color w:val="000000"/>
          <w:kern w:val="0"/>
          <w:sz w:val="28"/>
          <w:szCs w:val="28"/>
          <w:highlight w:val="none"/>
          <w:lang w:val="zh-CN"/>
        </w:rPr>
        <w:t>-20</w:t>
      </w:r>
      <w:r>
        <w:rPr>
          <w:rFonts w:ascii="黑体" w:eastAsia="黑体" w:cs="宋体"/>
          <w:color w:val="000000"/>
          <w:kern w:val="0"/>
          <w:sz w:val="28"/>
          <w:szCs w:val="28"/>
          <w:highlight w:val="none"/>
          <w:lang w:val="zh-CN"/>
        </w:rPr>
        <w:t>2</w:t>
      </w:r>
      <w:r>
        <w:rPr>
          <w:rFonts w:ascii="黑体" w:eastAsia="黑体" w:cs="宋体"/>
          <w:color w:val="000000"/>
          <w:kern w:val="0"/>
          <w:sz w:val="28"/>
          <w:szCs w:val="28"/>
          <w:highlight w:val="none"/>
        </w:rPr>
        <w:t>5</w:t>
      </w:r>
      <w:r>
        <w:rPr>
          <w:rFonts w:hint="eastAsia" w:ascii="黑体" w:eastAsia="黑体" w:cs="宋体"/>
          <w:color w:val="000000"/>
          <w:kern w:val="0"/>
          <w:sz w:val="28"/>
          <w:szCs w:val="28"/>
          <w:highlight w:val="none"/>
          <w:lang w:val="zh-CN"/>
        </w:rPr>
        <w:t>年各类学校招生人数</w:t>
      </w:r>
    </w:p>
    <w:p>
      <w:pPr>
        <w:jc w:val="center"/>
        <w:rPr>
          <w:rFonts w:ascii="黑体" w:hAnsi="黑体" w:eastAsia="黑体" w:cs="宋体"/>
          <w:kern w:val="0"/>
          <w:sz w:val="32"/>
          <w:szCs w:val="32"/>
        </w:rPr>
      </w:pPr>
      <w:r>
        <w:drawing>
          <wp:inline distT="0" distB="0" distL="114300" distR="114300">
            <wp:extent cx="5579745" cy="2339975"/>
            <wp:effectExtent l="4445" t="5080" r="16510" b="17145"/>
            <wp:docPr id="10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>
      <w:pPr>
        <w:jc w:val="center"/>
        <w:rPr>
          <w:rFonts w:ascii="黑体" w:hAnsi="黑体" w:eastAsia="黑体" w:cs="宋体"/>
          <w:kern w:val="0"/>
          <w:sz w:val="32"/>
          <w:szCs w:val="32"/>
          <w:lang w:val="zh-CN"/>
        </w:rPr>
      </w:pPr>
    </w:p>
    <w:p>
      <w:pPr>
        <w:spacing w:line="560" w:lineRule="exact"/>
        <w:jc w:val="center"/>
        <w:rPr>
          <w:rFonts w:ascii="黑体" w:hAnsi="黑体" w:eastAsia="黑体" w:cs="宋体"/>
          <w:kern w:val="0"/>
          <w:sz w:val="32"/>
          <w:szCs w:val="32"/>
          <w:lang w:val="zh-CN"/>
        </w:rPr>
      </w:pPr>
      <w:r>
        <w:rPr>
          <w:rFonts w:hint="eastAsia" w:ascii="黑体" w:hAnsi="黑体" w:eastAsia="黑体" w:cs="宋体"/>
          <w:kern w:val="0"/>
          <w:sz w:val="32"/>
          <w:szCs w:val="32"/>
          <w:lang w:val="zh-CN"/>
        </w:rPr>
        <w:t>十一、文化</w:t>
      </w:r>
      <w:r>
        <w:rPr>
          <w:rFonts w:hint="eastAsia" w:ascii="黑体" w:hAnsi="黑体" w:eastAsia="黑体" w:cs="宋体"/>
          <w:kern w:val="0"/>
          <w:sz w:val="32"/>
          <w:szCs w:val="32"/>
        </w:rPr>
        <w:t>旅游、</w:t>
      </w:r>
      <w:r>
        <w:rPr>
          <w:rFonts w:hint="eastAsia" w:ascii="黑体" w:hAnsi="黑体" w:eastAsia="黑体" w:cs="宋体"/>
          <w:kern w:val="0"/>
          <w:sz w:val="32"/>
          <w:szCs w:val="32"/>
          <w:lang w:val="zh-CN"/>
        </w:rPr>
        <w:t>卫生</w:t>
      </w:r>
      <w:r>
        <w:rPr>
          <w:rFonts w:hint="eastAsia" w:ascii="黑体" w:hAnsi="黑体" w:eastAsia="黑体" w:cs="宋体"/>
          <w:kern w:val="0"/>
          <w:sz w:val="32"/>
          <w:szCs w:val="32"/>
          <w:lang w:val="en-US" w:eastAsia="zh-CN"/>
        </w:rPr>
        <w:t>健康</w:t>
      </w:r>
      <w:r>
        <w:rPr>
          <w:rFonts w:hint="eastAsia" w:ascii="黑体" w:hAnsi="黑体" w:eastAsia="黑体" w:cs="宋体"/>
          <w:kern w:val="0"/>
          <w:sz w:val="32"/>
          <w:szCs w:val="32"/>
          <w:lang w:val="zh-CN"/>
        </w:rPr>
        <w:t>和体育</w:t>
      </w:r>
    </w:p>
    <w:p>
      <w:pPr>
        <w:widowControl/>
        <w:spacing w:line="550" w:lineRule="exact"/>
        <w:ind w:firstLine="640" w:firstLineChars="200"/>
        <w:rPr>
          <w:rFonts w:ascii="仿宋_GB2312" w:eastAsia="仿宋_GB2312"/>
          <w:sz w:val="32"/>
          <w:szCs w:val="32"/>
          <w:highlight w:val="none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年末全市共有影院102家，剧院6家，文化馆（站）147个，博物馆148个，公共图书馆11个，国有文艺院团</w:t>
      </w:r>
      <w:r>
        <w:rPr>
          <w:rFonts w:hint="default" w:ascii="仿宋_GB2312" w:eastAsia="仿宋_GB2312"/>
          <w:sz w:val="32"/>
          <w:szCs w:val="32"/>
          <w:highlight w:val="none"/>
          <w:lang w:val="en-US"/>
        </w:rPr>
        <w:t>8</w:t>
      </w:r>
      <w:r>
        <w:rPr>
          <w:rFonts w:hint="eastAsia" w:ascii="仿宋_GB2312" w:eastAsia="仿宋_GB2312"/>
          <w:sz w:val="32"/>
          <w:szCs w:val="32"/>
          <w:highlight w:val="none"/>
        </w:rPr>
        <w:t>个，广播电台6座、11套节目，电视台6座、15套节目。全市共有档案馆</w:t>
      </w:r>
      <w:r>
        <w:rPr>
          <w:rFonts w:ascii="仿宋_GB2312" w:eastAsia="仿宋_GB2312"/>
          <w:sz w:val="32"/>
          <w:szCs w:val="32"/>
          <w:highlight w:val="none"/>
        </w:rPr>
        <w:t>12</w:t>
      </w:r>
      <w:r>
        <w:rPr>
          <w:rFonts w:hint="eastAsia" w:ascii="仿宋_GB2312" w:eastAsia="仿宋_GB2312"/>
          <w:sz w:val="32"/>
          <w:szCs w:val="32"/>
          <w:highlight w:val="none"/>
        </w:rPr>
        <w:t>个。</w:t>
      </w:r>
    </w:p>
    <w:p>
      <w:pPr>
        <w:widowControl/>
        <w:spacing w:line="550" w:lineRule="exact"/>
        <w:ind w:firstLine="640" w:firstLineChars="200"/>
        <w:rPr>
          <w:rFonts w:ascii="仿宋_GB2312" w:eastAsia="仿宋_GB2312"/>
          <w:sz w:val="32"/>
          <w:szCs w:val="32"/>
          <w:highlight w:val="none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年末拥有A级旅游景区96处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。</w:t>
      </w:r>
      <w:r>
        <w:rPr>
          <w:rFonts w:hint="eastAsia" w:ascii="仿宋_GB2312" w:eastAsia="仿宋_GB2312"/>
          <w:sz w:val="32"/>
          <w:szCs w:val="32"/>
          <w:highlight w:val="none"/>
        </w:rPr>
        <w:t>其中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eastAsia="仿宋_GB2312"/>
          <w:sz w:val="32"/>
          <w:szCs w:val="32"/>
          <w:highlight w:val="none"/>
        </w:rPr>
        <w:t>5A级旅游景区2处，4A级旅游景区26处。拥有星级酒店77家，其中5星级酒店16家。拥有旅行社1029家，其中经营出境旅游业务旅行社64家。</w:t>
      </w:r>
    </w:p>
    <w:p>
      <w:pPr>
        <w:widowControl/>
        <w:spacing w:line="560" w:lineRule="exact"/>
        <w:ind w:firstLine="640" w:firstLineChars="200"/>
        <w:rPr>
          <w:rFonts w:ascii="仿宋_GB2312" w:eastAsia="仿宋_GB2312"/>
          <w:sz w:val="32"/>
          <w:szCs w:val="32"/>
          <w:highlight w:val="none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年末共有医疗卫生机构9225个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。</w:t>
      </w:r>
      <w:r>
        <w:rPr>
          <w:rFonts w:hint="eastAsia" w:ascii="仿宋_GB2312" w:eastAsia="仿宋_GB2312"/>
          <w:sz w:val="32"/>
          <w:szCs w:val="32"/>
          <w:highlight w:val="none"/>
        </w:rPr>
        <w:t>其中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eastAsia="仿宋_GB2312"/>
          <w:sz w:val="32"/>
          <w:szCs w:val="32"/>
          <w:highlight w:val="none"/>
        </w:rPr>
        <w:t>医院359个，基层卫生医疗机构8772个。各类卫生技术人员10.97万人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。</w:t>
      </w:r>
      <w:r>
        <w:rPr>
          <w:rFonts w:hint="eastAsia" w:ascii="仿宋_GB2312" w:eastAsia="仿宋_GB2312"/>
          <w:sz w:val="32"/>
          <w:szCs w:val="32"/>
          <w:highlight w:val="none"/>
        </w:rPr>
        <w:t>其中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eastAsia="仿宋_GB2312"/>
          <w:sz w:val="32"/>
          <w:szCs w:val="32"/>
          <w:highlight w:val="none"/>
        </w:rPr>
        <w:t>执业</w:t>
      </w:r>
      <w:r>
        <w:rPr>
          <w:rFonts w:hint="eastAsia" w:ascii="仿宋_GB2312" w:eastAsia="仿宋_GB2312"/>
          <w:sz w:val="32"/>
          <w:szCs w:val="32"/>
          <w:highlight w:val="none"/>
          <w:lang w:eastAsia="zh"/>
        </w:rPr>
        <w:t>医师和执业</w:t>
      </w:r>
      <w:r>
        <w:rPr>
          <w:rFonts w:hint="eastAsia" w:ascii="仿宋_GB2312" w:eastAsia="仿宋_GB2312"/>
          <w:sz w:val="32"/>
          <w:szCs w:val="32"/>
          <w:highlight w:val="none"/>
        </w:rPr>
        <w:t>助理医师4.65万人，注册护士4.83万人。全市拥有医疗床位6.77万张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。</w:t>
      </w:r>
      <w:r>
        <w:rPr>
          <w:rFonts w:hint="eastAsia" w:ascii="仿宋_GB2312" w:eastAsia="仿宋_GB2312"/>
          <w:sz w:val="32"/>
          <w:szCs w:val="32"/>
          <w:highlight w:val="none"/>
        </w:rPr>
        <w:t>其中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eastAsia="仿宋_GB2312"/>
          <w:sz w:val="32"/>
          <w:szCs w:val="32"/>
          <w:highlight w:val="none"/>
        </w:rPr>
        <w:t>医院5.93万张，基层医疗卫生机构0.71万张，卫生院0.59万张。</w:t>
      </w:r>
    </w:p>
    <w:p>
      <w:pPr>
        <w:widowControl/>
        <w:spacing w:line="560" w:lineRule="exact"/>
        <w:ind w:firstLine="640" w:firstLineChars="200"/>
        <w:rPr>
          <w:rFonts w:ascii="仿宋_GB2312" w:eastAsia="仿宋_GB2312"/>
          <w:sz w:val="32"/>
          <w:szCs w:val="32"/>
          <w:highlight w:val="none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全年新建、改扩建全民健身体育公园、儿童运动空间、长者运动健康中心11处，健身场地设施230处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。</w:t>
      </w:r>
      <w:r>
        <w:rPr>
          <w:rFonts w:hint="eastAsia" w:ascii="仿宋_GB2312" w:eastAsia="仿宋_GB2312"/>
          <w:sz w:val="32"/>
          <w:szCs w:val="32"/>
          <w:highlight w:val="none"/>
        </w:rPr>
        <w:t>举办各级各类群众性赛事活动2万余场次。</w:t>
      </w:r>
      <w:r>
        <w:rPr>
          <w:rFonts w:hint="eastAsia" w:ascii="仿宋_GB2312" w:eastAsia="仿宋_GB2312"/>
          <w:sz w:val="32"/>
          <w:szCs w:val="32"/>
          <w:highlight w:val="none"/>
          <w:lang w:eastAsia="zh"/>
        </w:rPr>
        <w:t>我市在第九届亚冬会上实现金牌“零的突破”，在第十五届全运会上获金牌数量位居副省级城市首位，在中国体育城市指数排名中跃居第7位。全年</w:t>
      </w:r>
      <w:r>
        <w:rPr>
          <w:rFonts w:hint="eastAsia" w:ascii="仿宋_GB2312" w:eastAsia="仿宋_GB2312"/>
          <w:sz w:val="32"/>
          <w:szCs w:val="32"/>
          <w:highlight w:val="none"/>
        </w:rPr>
        <w:t>共获得世界级比赛11金12银6铜，洲级比赛10金5银8铜，全国级比赛166金108银104铜。年末全市共有重点体校1所，学员1033人；业余体校10所，学员4070人。</w:t>
      </w:r>
    </w:p>
    <w:p>
      <w:pPr>
        <w:widowControl/>
        <w:spacing w:line="560" w:lineRule="exact"/>
        <w:rPr>
          <w:rFonts w:ascii="仿宋_GB2312" w:hAnsi="仿宋_GB2312" w:eastAsia="仿宋_GB2312" w:cs="仿宋_GB2312"/>
          <w:kern w:val="0"/>
          <w:sz w:val="32"/>
          <w:szCs w:val="32"/>
          <w:lang w:val="zh-CN"/>
        </w:rPr>
      </w:pPr>
    </w:p>
    <w:p>
      <w:pPr>
        <w:spacing w:line="560" w:lineRule="exact"/>
        <w:jc w:val="center"/>
        <w:rPr>
          <w:rFonts w:hint="default" w:ascii="黑体" w:eastAsia="黑体"/>
          <w:sz w:val="32"/>
          <w:szCs w:val="32"/>
          <w:lang w:val="en-US" w:eastAsia="zh-CN"/>
        </w:rPr>
      </w:pPr>
      <w:r>
        <w:rPr>
          <w:rFonts w:hint="eastAsia" w:ascii="黑体" w:eastAsia="黑体"/>
          <w:sz w:val="32"/>
          <w:szCs w:val="32"/>
          <w:lang w:val="zh-CN"/>
        </w:rPr>
        <w:t>十二、能源、环境和</w:t>
      </w:r>
      <w:r>
        <w:rPr>
          <w:rFonts w:hint="eastAsia" w:ascii="黑体" w:eastAsia="黑体"/>
          <w:sz w:val="32"/>
          <w:szCs w:val="32"/>
          <w:lang w:val="en-US" w:eastAsia="zh-CN"/>
        </w:rPr>
        <w:t>应急管理</w:t>
      </w:r>
    </w:p>
    <w:p>
      <w:pPr>
        <w:widowControl/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  <w:highlight w:val="none"/>
          <w:lang w:val="zh-CN"/>
        </w:rPr>
      </w:pPr>
      <w:r>
        <w:rPr>
          <w:rFonts w:hint="eastAsia" w:ascii="仿宋_GB2312" w:eastAsia="仿宋_GB2312"/>
          <w:sz w:val="32"/>
          <w:szCs w:val="32"/>
          <w:highlight w:val="none"/>
          <w:lang w:val="zh-CN"/>
        </w:rPr>
        <w:t>全年</w:t>
      </w:r>
      <w:bookmarkStart w:id="10" w:name="OLE_LINK15"/>
      <w:r>
        <w:rPr>
          <w:rFonts w:hint="eastAsia" w:ascii="仿宋_GB2312" w:eastAsia="仿宋_GB2312"/>
          <w:sz w:val="32"/>
          <w:szCs w:val="32"/>
          <w:highlight w:val="none"/>
          <w:lang w:val="zh-CN"/>
        </w:rPr>
        <w:t>能源生产量</w:t>
      </w:r>
      <w:bookmarkEnd w:id="10"/>
      <w:r>
        <w:rPr>
          <w:rStyle w:val="14"/>
          <w:rFonts w:hint="eastAsia" w:ascii="仿宋_GB2312" w:hAnsi="仿宋_GB2312" w:eastAsia="仿宋_GB2312" w:cs="仿宋_GB2312"/>
          <w:color w:val="auto"/>
          <w:kern w:val="0"/>
          <w:sz w:val="32"/>
          <w:szCs w:val="32"/>
        </w:rPr>
        <w:endnoteReference w:id="8" w:customMarkFollows="1"/>
        <w:t>[</w:t>
      </w:r>
      <w:r>
        <w:rPr>
          <w:rFonts w:hint="default" w:ascii="仿宋_GB2312" w:hAnsi="仿宋_GB2312" w:eastAsia="仿宋_GB2312" w:cs="仿宋_GB2312"/>
          <w:color w:val="auto"/>
          <w:kern w:val="0"/>
          <w:sz w:val="32"/>
          <w:szCs w:val="32"/>
          <w:vertAlign w:val="superscript"/>
          <w:lang w:val="en-US"/>
        </w:rPr>
        <w:t>10</w:t>
      </w:r>
      <w:r>
        <w:rPr>
          <w:rStyle w:val="14"/>
          <w:rFonts w:hint="eastAsia" w:ascii="仿宋_GB2312" w:hAnsi="仿宋_GB2312" w:eastAsia="仿宋_GB2312" w:cs="仿宋_GB2312"/>
          <w:color w:val="auto"/>
          <w:kern w:val="0"/>
          <w:sz w:val="32"/>
          <w:szCs w:val="32"/>
        </w:rPr>
        <w:t>]</w:t>
      </w:r>
      <w:r>
        <w:rPr>
          <w:rFonts w:hint="eastAsia" w:ascii="仿宋_GB2312" w:eastAsia="仿宋_GB2312"/>
          <w:sz w:val="32"/>
          <w:szCs w:val="32"/>
          <w:highlight w:val="none"/>
          <w:lang w:val="zh-CN"/>
        </w:rPr>
        <w:t>3360.6万吨标准煤，比上年下降0.2%。全年全社会用电量729.7亿千瓦时，增长6.7%。其中，工业用电量380.0亿千瓦时，增长7.0%；服务业用电量191.6亿千瓦时，增长6.0%；城乡居民生活用电量132.9亿千瓦时，增长9.3%。规模以上工业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企业</w:t>
      </w:r>
      <w:r>
        <w:rPr>
          <w:rFonts w:hint="eastAsia" w:ascii="仿宋_GB2312" w:eastAsia="仿宋_GB2312"/>
          <w:sz w:val="32"/>
          <w:szCs w:val="32"/>
          <w:highlight w:val="none"/>
          <w:lang w:val="zh-CN"/>
        </w:rPr>
        <w:t>综合能源消费量2173.0万吨标准煤，增长3.2%。其中，煤炭消费量下降4.3%，石油消费量增长0.8%，天然气消费量下降5.9%。</w:t>
      </w:r>
    </w:p>
    <w:p>
      <w:pPr>
        <w:widowControl/>
        <w:spacing w:line="540" w:lineRule="exact"/>
        <w:ind w:firstLine="0" w:firstLineChars="0"/>
        <w:rPr>
          <w:rFonts w:hint="eastAsia" w:ascii="黑体" w:eastAsia="黑体" w:cs="宋体"/>
          <w:color w:val="000000"/>
          <w:kern w:val="0"/>
          <w:sz w:val="28"/>
          <w:szCs w:val="28"/>
          <w:highlight w:val="none"/>
          <w:lang w:val="zh-CN"/>
        </w:rPr>
      </w:pPr>
    </w:p>
    <w:p>
      <w:pPr>
        <w:widowControl/>
        <w:spacing w:line="540" w:lineRule="exact"/>
        <w:ind w:firstLine="0" w:firstLineChars="0"/>
        <w:rPr>
          <w:rFonts w:hint="eastAsia" w:ascii="黑体" w:eastAsia="黑体" w:cs="宋体"/>
          <w:color w:val="000000"/>
          <w:kern w:val="0"/>
          <w:sz w:val="28"/>
          <w:szCs w:val="28"/>
          <w:highlight w:val="none"/>
          <w:lang w:val="zh-CN"/>
        </w:rPr>
      </w:pPr>
    </w:p>
    <w:p>
      <w:pPr>
        <w:widowControl/>
        <w:spacing w:line="540" w:lineRule="exact"/>
        <w:ind w:firstLine="1960" w:firstLineChars="700"/>
        <w:rPr>
          <w:rFonts w:hint="eastAsia" w:ascii="黑体" w:eastAsia="黑体" w:cs="宋体"/>
          <w:color w:val="000000"/>
          <w:kern w:val="0"/>
          <w:sz w:val="28"/>
          <w:szCs w:val="28"/>
          <w:highlight w:val="none"/>
          <w:lang w:val="zh-CN"/>
        </w:rPr>
      </w:pPr>
    </w:p>
    <w:p>
      <w:pPr>
        <w:widowControl/>
        <w:spacing w:line="540" w:lineRule="exact"/>
        <w:ind w:firstLine="1960" w:firstLineChars="700"/>
        <w:rPr>
          <w:rFonts w:hint="eastAsia" w:ascii="黑体" w:eastAsia="黑体" w:cs="宋体"/>
          <w:color w:val="000000"/>
          <w:kern w:val="0"/>
          <w:sz w:val="28"/>
          <w:szCs w:val="28"/>
          <w:highlight w:val="none"/>
          <w:lang w:val="zh-CN"/>
        </w:rPr>
      </w:pPr>
    </w:p>
    <w:p>
      <w:pPr>
        <w:widowControl/>
        <w:spacing w:line="540" w:lineRule="exact"/>
        <w:ind w:firstLine="1960" w:firstLineChars="700"/>
        <w:rPr>
          <w:rFonts w:hint="eastAsia" w:ascii="黑体" w:eastAsia="黑体" w:cs="宋体"/>
          <w:color w:val="000000"/>
          <w:kern w:val="0"/>
          <w:sz w:val="28"/>
          <w:szCs w:val="28"/>
          <w:highlight w:val="none"/>
          <w:lang w:val="zh-CN"/>
        </w:rPr>
      </w:pPr>
    </w:p>
    <w:p>
      <w:pPr>
        <w:widowControl/>
        <w:spacing w:line="540" w:lineRule="exact"/>
        <w:ind w:firstLine="1960" w:firstLineChars="700"/>
        <w:rPr>
          <w:rFonts w:ascii="黑体" w:eastAsia="黑体" w:cs="宋体"/>
          <w:color w:val="000000"/>
          <w:kern w:val="0"/>
          <w:sz w:val="28"/>
          <w:szCs w:val="28"/>
          <w:lang w:val="zh-CN"/>
        </w:rPr>
      </w:pPr>
      <w:r>
        <w:rPr>
          <w:rFonts w:hint="eastAsia" w:ascii="黑体" w:eastAsia="黑体" w:cs="宋体"/>
          <w:color w:val="000000"/>
          <w:kern w:val="0"/>
          <w:sz w:val="28"/>
          <w:szCs w:val="28"/>
          <w:highlight w:val="none"/>
          <w:lang w:val="zh-CN"/>
        </w:rPr>
        <w:t>图11：2021-2025年全社会用电量及增速</w:t>
      </w:r>
    </w:p>
    <w:p>
      <w:r>
        <w:drawing>
          <wp:inline distT="0" distB="0" distL="114300" distR="114300">
            <wp:extent cx="5579745" cy="2339975"/>
            <wp:effectExtent l="4445" t="5080" r="16510" b="17145"/>
            <wp:docPr id="1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0" w:after="0" w:line="560" w:lineRule="exact"/>
        <w:textAlignment w:val="auto"/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560" w:lineRule="exact"/>
        <w:ind w:firstLine="640" w:firstLineChars="200"/>
        <w:textAlignment w:val="auto"/>
        <w:rPr>
          <w:rFonts w:ascii="仿宋_GB2312" w:hAnsi="Calibri" w:eastAsia="仿宋_GB2312"/>
          <w:sz w:val="32"/>
          <w:szCs w:val="32"/>
          <w:highlight w:val="none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全市年平均气温1</w:t>
      </w:r>
      <w:r>
        <w:rPr>
          <w:rFonts w:ascii="仿宋_GB2312" w:eastAsia="仿宋_GB2312"/>
          <w:sz w:val="32"/>
          <w:szCs w:val="32"/>
          <w:highlight w:val="none"/>
        </w:rPr>
        <w:t>4.6</w:t>
      </w:r>
      <w:r>
        <w:rPr>
          <w:rFonts w:hint="eastAsia" w:ascii="仿宋_GB2312" w:eastAsia="仿宋_GB2312"/>
          <w:sz w:val="32"/>
          <w:szCs w:val="32"/>
          <w:highlight w:val="none"/>
        </w:rPr>
        <w:t>℃，平均年降水量8</w:t>
      </w:r>
      <w:r>
        <w:rPr>
          <w:rFonts w:ascii="仿宋_GB2312" w:eastAsia="仿宋_GB2312"/>
          <w:sz w:val="32"/>
          <w:szCs w:val="32"/>
          <w:highlight w:val="none"/>
        </w:rPr>
        <w:t>75.1</w:t>
      </w:r>
      <w:r>
        <w:rPr>
          <w:rFonts w:hint="eastAsia" w:ascii="仿宋_GB2312" w:eastAsia="仿宋_GB2312"/>
          <w:sz w:val="32"/>
          <w:szCs w:val="32"/>
          <w:highlight w:val="none"/>
        </w:rPr>
        <w:t>毫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米。市区空气质量优良天数325天，占全年的89</w:t>
      </w:r>
      <w:r>
        <w:rPr>
          <w:rFonts w:hint="default" w:ascii="仿宋_GB2312" w:eastAsia="仿宋_GB2312"/>
          <w:sz w:val="32"/>
          <w:szCs w:val="32"/>
          <w:highlight w:val="none"/>
          <w:lang w:val="en-US" w:eastAsia="zh-CN"/>
        </w:rPr>
        <w:t>.0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%。20个国省控地表水断面水质全部达标。近岸海域水质优良面积比例达99%。全市主要污染物细颗粒物（</w:t>
      </w:r>
      <w:r>
        <w:rPr>
          <w:rFonts w:hint="eastAsia" w:ascii="仿宋_GB2312" w:eastAsia="仿宋_GB2312"/>
          <w:sz w:val="32"/>
          <w:szCs w:val="32"/>
        </w:rPr>
        <w:t>PM</w:t>
      </w:r>
      <w:r>
        <w:rPr>
          <w:rFonts w:hint="eastAsia" w:ascii="仿宋_GB2312" w:eastAsia="仿宋_GB2312"/>
          <w:sz w:val="32"/>
          <w:szCs w:val="32"/>
          <w:vertAlign w:val="subscript"/>
        </w:rPr>
        <w:t>2.5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）、可吸入颗粒物（</w:t>
      </w:r>
      <w:r>
        <w:rPr>
          <w:rFonts w:hint="eastAsia" w:ascii="仿宋_GB2312" w:eastAsia="仿宋_GB2312"/>
          <w:sz w:val="32"/>
          <w:szCs w:val="32"/>
        </w:rPr>
        <w:t>PM</w:t>
      </w:r>
      <w:r>
        <w:rPr>
          <w:rFonts w:hint="eastAsia" w:ascii="仿宋_GB2312" w:eastAsia="仿宋_GB2312"/>
          <w:sz w:val="32"/>
          <w:szCs w:val="32"/>
          <w:vertAlign w:val="subscript"/>
        </w:rPr>
        <w:t>10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）年均值分别为24和45微克/立方米，连续六年达到国家二级标准。市区（国控点）区域环境噪声昼间平均等效声级为54.7分贝，市区（国控点）道路交通噪声昼间路长加权平均值为67.1分贝。</w:t>
      </w:r>
    </w:p>
    <w:p>
      <w:pPr>
        <w:spacing w:line="560" w:lineRule="exact"/>
        <w:ind w:firstLine="640" w:firstLineChars="200"/>
        <w:jc w:val="left"/>
        <w:rPr>
          <w:highlight w:val="none"/>
        </w:rPr>
      </w:pPr>
      <w:bookmarkStart w:id="11" w:name="OLE_LINK13"/>
      <w:bookmarkStart w:id="12" w:name="OLE_LINK12"/>
      <w:r>
        <w:rPr>
          <w:rFonts w:hint="eastAsia" w:ascii="仿宋_GB2312" w:eastAsia="仿宋_GB2312"/>
          <w:sz w:val="32"/>
          <w:szCs w:val="32"/>
          <w:highlight w:val="none"/>
        </w:rPr>
        <w:t>全市共发生各类生产安全事故126起，死亡70人，比上年分别下降17.6%和11.4%。亿元GDP生产安全事故死亡率0.00399，十万人工矿商贸企业就业人员生产安全事故死亡率0.34。</w:t>
      </w:r>
      <w:bookmarkEnd w:id="11"/>
      <w:bookmarkEnd w:id="12"/>
    </w:p>
    <w:p>
      <w:pPr>
        <w:pStyle w:val="2"/>
      </w:pPr>
    </w:p>
    <w:sectPr>
      <w:footerReference r:id="rId5" w:type="default"/>
      <w:footerReference r:id="rId6" w:type="even"/>
      <w:pgSz w:w="11906" w:h="16838"/>
      <w:pgMar w:top="2098" w:right="1474" w:bottom="1985" w:left="1588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18">
    <w:p/>
  </w:endnote>
  <w:endnote w:type="continuationSeparator" w:id="19">
    <w:p/>
  </w:endnote>
  <w:endnote w:id="0">
    <w:p>
      <w:pPr>
        <w:widowControl/>
        <w:spacing w:line="560" w:lineRule="exact"/>
        <w:rPr>
          <w:rFonts w:hint="eastAsia" w:ascii="楷体_GB2312" w:eastAsia="楷体_GB2312"/>
          <w:color w:val="000000"/>
          <w:kern w:val="0"/>
          <w:sz w:val="28"/>
          <w:szCs w:val="28"/>
        </w:rPr>
      </w:pPr>
    </w:p>
    <w:p>
      <w:pPr>
        <w:widowControl/>
        <w:spacing w:line="560" w:lineRule="exact"/>
      </w:pPr>
      <w:r>
        <w:rPr>
          <w:rFonts w:hint="eastAsia" w:ascii="楷体_GB2312" w:eastAsia="楷体_GB2312"/>
          <w:color w:val="000000"/>
          <w:kern w:val="0"/>
          <w:sz w:val="28"/>
          <w:szCs w:val="28"/>
        </w:rPr>
        <w:t>注释：</w:t>
      </w:r>
    </w:p>
    <w:p>
      <w:pPr>
        <w:widowControl/>
        <w:spacing w:line="560" w:lineRule="exact"/>
        <w:ind w:firstLine="560" w:firstLineChars="200"/>
        <w:rPr>
          <w:rFonts w:ascii="楷体_GB2312" w:eastAsia="楷体_GB2312"/>
          <w:color w:val="000000"/>
          <w:kern w:val="0"/>
          <w:sz w:val="28"/>
          <w:szCs w:val="28"/>
        </w:rPr>
      </w:pPr>
      <w:r>
        <w:rPr>
          <w:rFonts w:ascii="楷体_GB2312" w:eastAsia="楷体_GB2312"/>
          <w:color w:val="000000"/>
          <w:kern w:val="0"/>
          <w:sz w:val="28"/>
          <w:szCs w:val="28"/>
        </w:rPr>
        <w:t>[1]</w:t>
      </w:r>
      <w:r>
        <w:rPr>
          <w:rFonts w:hint="eastAsia" w:ascii="楷体_GB2312" w:eastAsia="楷体_GB2312"/>
          <w:color w:val="000000"/>
          <w:kern w:val="0"/>
          <w:sz w:val="28"/>
          <w:szCs w:val="28"/>
        </w:rPr>
        <w:t>本公报中数据均为初步统计数，部分数据因四舍五入的原因，存在总计与分项合计不等的情况。</w:t>
      </w:r>
    </w:p>
  </w:endnote>
  <w:endnote w:id="1">
    <w:p>
      <w:pPr>
        <w:widowControl/>
        <w:snapToGrid/>
        <w:spacing w:line="560" w:lineRule="exact"/>
        <w:ind w:firstLine="560" w:firstLineChars="200"/>
        <w:rPr>
          <w:rFonts w:hint="eastAsia" w:ascii="楷体_GB2312" w:hAnsi="Times New Roman" w:eastAsia="楷体_GB2312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/>
        </w:rPr>
      </w:pPr>
      <w:bookmarkStart w:id="13" w:name="OLE_LINK9"/>
      <w:r>
        <w:rPr>
          <w:rFonts w:hint="eastAsia" w:ascii="楷体_GB2312" w:eastAsia="楷体_GB2312"/>
          <w:color w:val="000000"/>
          <w:kern w:val="0"/>
          <w:sz w:val="28"/>
          <w:szCs w:val="28"/>
        </w:rPr>
        <w:t>[2]</w:t>
      </w:r>
      <w:r>
        <w:rPr>
          <w:rFonts w:hint="eastAsia" w:ascii="楷体_GB2312" w:hAnsi="Times New Roman" w:eastAsia="楷体_GB2312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/>
        </w:rPr>
        <w:t>地区生产总值、三次产业及相关行业增加值按现价计算，增长速度按不变价格计算。按照我国地区生产总值统一核算和数据发布制度规定，地区生产总值核算包括初步核算和最终核实两个步骤。经最终核实，2024年，我市地区生产总值现价总量为16719.39亿元，按不变价格计算，比上年增长5.7%。</w:t>
      </w:r>
    </w:p>
    <w:bookmarkEnd w:id="13"/>
    <w:p>
      <w:pPr>
        <w:snapToGrid w:val="0"/>
        <w:spacing w:line="560" w:lineRule="exact"/>
        <w:ind w:firstLine="560" w:firstLineChars="200"/>
      </w:pPr>
      <w:r>
        <w:rPr>
          <w:rFonts w:ascii="楷体_GB2312" w:eastAsia="楷体_GB2312"/>
          <w:color w:val="000000"/>
          <w:kern w:val="0"/>
          <w:sz w:val="28"/>
          <w:szCs w:val="28"/>
        </w:rPr>
        <w:t>[3]</w:t>
      </w:r>
      <w:r>
        <w:rPr>
          <w:rFonts w:hint="eastAsia" w:ascii="楷体_GB2312" w:eastAsia="楷体_GB2312"/>
          <w:kern w:val="0"/>
          <w:sz w:val="28"/>
          <w:szCs w:val="28"/>
        </w:rPr>
        <w:t>规模以上工业是指年主营业务收入2000万元及以上的工业企业。</w:t>
      </w:r>
    </w:p>
  </w:endnote>
  <w:endnote w:id="2">
    <w:p>
      <w:pPr>
        <w:numPr>
          <w:ilvl w:val="255"/>
          <w:numId w:val="0"/>
        </w:numPr>
        <w:snapToGrid w:val="0"/>
        <w:spacing w:line="560" w:lineRule="exact"/>
        <w:ind w:firstLine="560" w:firstLineChars="200"/>
        <w:rPr>
          <w:rFonts w:ascii="楷体_GB2312" w:eastAsia="楷体_GB2312"/>
          <w:color w:val="000000"/>
          <w:kern w:val="0"/>
          <w:sz w:val="28"/>
          <w:szCs w:val="28"/>
        </w:rPr>
      </w:pPr>
      <w:r>
        <w:rPr>
          <w:rFonts w:ascii="楷体_GB2312" w:eastAsia="楷体_GB2312"/>
          <w:color w:val="000000"/>
          <w:kern w:val="0"/>
          <w:sz w:val="28"/>
          <w:szCs w:val="28"/>
        </w:rPr>
        <w:t>[4]装备制造业包括金属制品业，通用设备制造业，专用设备制造业，汽车制造业，铁路、船舶、航空航天和其他运输设备制造业，电气机械和器材制造业，计算机、通信和其他电子设备制造业，仪器仪表制造业。</w:t>
      </w:r>
    </w:p>
  </w:endnote>
  <w:endnote w:id="3">
    <w:p>
      <w:pPr>
        <w:snapToGrid w:val="0"/>
        <w:spacing w:line="560" w:lineRule="exact"/>
        <w:ind w:firstLine="560" w:firstLineChars="200"/>
        <w:rPr>
          <w:rFonts w:ascii="楷体_GB2312" w:eastAsia="楷体_GB2312"/>
          <w:color w:val="000000"/>
          <w:kern w:val="0"/>
          <w:sz w:val="28"/>
          <w:szCs w:val="28"/>
        </w:rPr>
      </w:pPr>
      <w:r>
        <w:rPr>
          <w:rFonts w:ascii="楷体_GB2312" w:eastAsia="楷体_GB2312"/>
          <w:color w:val="000000"/>
          <w:kern w:val="0"/>
          <w:sz w:val="28"/>
          <w:szCs w:val="28"/>
        </w:rPr>
        <w:t>[5]高技术制造业包括医药制造业，航空、航天器及设备制造业，电子及通信设备制造业，计算机及办公设备制造业，医疗仪器设备及仪器仪表制造业，信息化学品制造业。</w:t>
      </w:r>
    </w:p>
  </w:endnote>
  <w:endnote w:id="4">
    <w:p>
      <w:pPr>
        <w:snapToGrid w:val="0"/>
        <w:spacing w:line="560" w:lineRule="exact"/>
        <w:ind w:firstLine="560" w:firstLineChars="200"/>
        <w:rPr>
          <w:rFonts w:ascii="楷体_GB2312" w:eastAsia="楷体_GB2312"/>
          <w:kern w:val="0"/>
          <w:sz w:val="28"/>
          <w:szCs w:val="28"/>
        </w:rPr>
      </w:pPr>
      <w:r>
        <w:rPr>
          <w:rFonts w:ascii="楷体_GB2312" w:eastAsia="楷体_GB2312"/>
          <w:kern w:val="0"/>
          <w:sz w:val="28"/>
          <w:szCs w:val="28"/>
        </w:rPr>
        <w:t>[6]</w:t>
      </w:r>
      <w:r>
        <w:rPr>
          <w:rFonts w:hint="eastAsia" w:ascii="楷体_GB2312" w:eastAsia="楷体_GB2312"/>
          <w:kern w:val="0"/>
          <w:sz w:val="28"/>
          <w:szCs w:val="28"/>
        </w:rPr>
        <w:t>规模以上服务业统计范围包括：年营业收入2000万元及以上的交通运输、仓储和邮政业，信息传输、软件和信息技术服务业，水利、环境和公共设施管理业，卫生行业法人单位；年营业收入1000万元及以上的房地产业（不含房地产开发经营），租赁和商务服务业，科学研究和技术服务业，教育行业法人单位；以及年营业收入500万元及以上的居民服务、修理和其他服务业，文化、体育和娱乐业，社会工作行业法人单位。</w:t>
      </w:r>
    </w:p>
  </w:endnote>
  <w:endnote w:id="5">
    <w:p>
      <w:pPr>
        <w:snapToGrid w:val="0"/>
        <w:spacing w:line="560" w:lineRule="exact"/>
        <w:ind w:firstLine="560" w:firstLineChars="200"/>
        <w:rPr>
          <w:rFonts w:ascii="楷体_GB2312" w:eastAsia="楷体_GB2312"/>
          <w:kern w:val="0"/>
          <w:sz w:val="28"/>
          <w:szCs w:val="28"/>
        </w:rPr>
      </w:pPr>
      <w:bookmarkStart w:id="14" w:name="OLE_LINK14"/>
      <w:r>
        <w:rPr>
          <w:rFonts w:ascii="楷体_GB2312" w:eastAsia="楷体_GB2312"/>
          <w:kern w:val="0"/>
          <w:sz w:val="28"/>
          <w:szCs w:val="28"/>
        </w:rPr>
        <w:t>[</w:t>
      </w:r>
      <w:r>
        <w:rPr>
          <w:rFonts w:hint="default" w:ascii="楷体_GB2312" w:eastAsia="楷体_GB2312"/>
          <w:kern w:val="0"/>
          <w:sz w:val="28"/>
          <w:szCs w:val="28"/>
          <w:lang w:val="en-US"/>
        </w:rPr>
        <w:t>7</w:t>
      </w:r>
      <w:r>
        <w:rPr>
          <w:rFonts w:ascii="楷体_GB2312" w:eastAsia="楷体_GB2312"/>
          <w:kern w:val="0"/>
          <w:sz w:val="28"/>
          <w:szCs w:val="28"/>
        </w:rPr>
        <w:t>]</w:t>
      </w:r>
      <w:r>
        <w:rPr>
          <w:rFonts w:hint="eastAsia" w:ascii="楷体_GB2312" w:eastAsia="楷体_GB2312"/>
          <w:kern w:val="0"/>
          <w:sz w:val="28"/>
          <w:szCs w:val="28"/>
        </w:rPr>
        <w:t>2025年非化石能源发电装机容量统计范围调整，相关指标增速和结构变化数据按可比口径计算。</w:t>
      </w:r>
    </w:p>
    <w:bookmarkEnd w:id="14"/>
  </w:endnote>
  <w:endnote w:id="6">
    <w:p>
      <w:pPr>
        <w:snapToGrid w:val="0"/>
        <w:spacing w:line="560" w:lineRule="exact"/>
        <w:ind w:firstLine="560" w:firstLineChars="200"/>
        <w:rPr>
          <w:rFonts w:ascii="楷体_GB2312" w:eastAsia="楷体_GB2312"/>
          <w:color w:val="000000"/>
          <w:kern w:val="0"/>
          <w:sz w:val="28"/>
          <w:szCs w:val="28"/>
        </w:rPr>
      </w:pPr>
      <w:r>
        <w:rPr>
          <w:rFonts w:ascii="楷体_GB2312" w:eastAsia="楷体_GB2312"/>
          <w:color w:val="000000"/>
          <w:kern w:val="0"/>
          <w:sz w:val="28"/>
          <w:szCs w:val="28"/>
        </w:rPr>
        <w:t>[</w:t>
      </w:r>
      <w:r>
        <w:rPr>
          <w:rFonts w:hint="default" w:ascii="楷体_GB2312" w:eastAsia="楷体_GB2312"/>
          <w:color w:val="000000"/>
          <w:kern w:val="0"/>
          <w:sz w:val="28"/>
          <w:szCs w:val="28"/>
          <w:lang w:val="en-US"/>
        </w:rPr>
        <w:t>8</w:t>
      </w:r>
      <w:r>
        <w:rPr>
          <w:rFonts w:ascii="楷体_GB2312" w:eastAsia="楷体_GB2312"/>
          <w:color w:val="000000"/>
          <w:kern w:val="0"/>
          <w:sz w:val="28"/>
          <w:szCs w:val="28"/>
        </w:rPr>
        <w:t>]</w:t>
      </w:r>
      <w:r>
        <w:rPr>
          <w:rFonts w:hint="eastAsia" w:ascii="楷体_GB2312" w:eastAsia="楷体_GB2312"/>
          <w:color w:val="000000"/>
          <w:kern w:val="0"/>
          <w:sz w:val="28"/>
          <w:szCs w:val="28"/>
        </w:rPr>
        <w:t>固定资产投资统计范围包括：辖区内计划总投资500万元及以上建设项目投资，全部房地产开发经营业法人单位开发项目投资，不包括农户投资。</w:t>
      </w:r>
    </w:p>
  </w:endnote>
  <w:endnote w:id="7">
    <w:p>
      <w:pPr>
        <w:pStyle w:val="5"/>
        <w:spacing w:line="560" w:lineRule="exact"/>
        <w:ind w:firstLine="560" w:firstLineChars="200"/>
        <w:jc w:val="both"/>
        <w:rPr>
          <w:rFonts w:ascii="楷体_GB2312" w:eastAsia="楷体_GB2312"/>
          <w:b w:val="0"/>
          <w:color w:val="000000"/>
          <w:kern w:val="0"/>
          <w:sz w:val="28"/>
          <w:szCs w:val="28"/>
        </w:rPr>
      </w:pPr>
      <w:r>
        <w:rPr>
          <w:rFonts w:ascii="楷体_GB2312" w:eastAsia="楷体_GB2312"/>
          <w:b w:val="0"/>
          <w:bCs/>
          <w:color w:val="000000"/>
          <w:kern w:val="0"/>
          <w:sz w:val="28"/>
          <w:szCs w:val="28"/>
        </w:rPr>
        <w:t>[</w:t>
      </w:r>
      <w:r>
        <w:rPr>
          <w:rFonts w:hint="default" w:ascii="楷体_GB2312" w:eastAsia="楷体_GB2312"/>
          <w:b w:val="0"/>
          <w:bCs/>
          <w:color w:val="000000"/>
          <w:kern w:val="0"/>
          <w:sz w:val="28"/>
          <w:szCs w:val="28"/>
          <w:lang w:val="en-US"/>
        </w:rPr>
        <w:t>9</w:t>
      </w:r>
      <w:r>
        <w:rPr>
          <w:rFonts w:ascii="楷体_GB2312" w:eastAsia="楷体_GB2312"/>
          <w:b w:val="0"/>
          <w:bCs/>
          <w:color w:val="000000"/>
          <w:kern w:val="0"/>
          <w:sz w:val="28"/>
          <w:szCs w:val="28"/>
        </w:rPr>
        <w:t>]</w:t>
      </w:r>
      <w:r>
        <w:rPr>
          <w:rFonts w:hint="eastAsia" w:ascii="楷体_GB2312" w:eastAsia="楷体_GB2312"/>
          <w:kern w:val="0"/>
          <w:sz w:val="28"/>
          <w:szCs w:val="28"/>
        </w:rPr>
        <w:t>社会消费品零售总额统计范围包括：从事商品零售活动或提供餐饮服务的法人企业、产业活动单位和个体户。其中，限额以上单位是指年主营业务收入2000万元及以上的批发业企业（单位）、500万元及以上的零售业企业（单位）、200万元及以上的住宿和餐饮业企业（单位）。</w:t>
      </w:r>
    </w:p>
  </w:endnote>
  <w:endnote w:id="8">
    <w:p>
      <w:pPr>
        <w:pStyle w:val="5"/>
        <w:spacing w:line="560" w:lineRule="exact"/>
        <w:ind w:firstLine="560" w:firstLineChars="200"/>
        <w:jc w:val="both"/>
        <w:rPr>
          <w:rFonts w:hint="default" w:ascii="楷体_GB2312" w:eastAsia="楷体_GB2312"/>
          <w:bCs/>
          <w:color w:val="000000"/>
          <w:kern w:val="0"/>
          <w:sz w:val="28"/>
          <w:szCs w:val="28"/>
          <w:lang w:val="zh-CN"/>
        </w:rPr>
      </w:pPr>
      <w:r>
        <w:rPr>
          <w:rFonts w:hint="default" w:ascii="楷体_GB2312" w:eastAsia="楷体_GB2312"/>
          <w:bCs/>
          <w:color w:val="000000"/>
          <w:kern w:val="0"/>
          <w:sz w:val="28"/>
          <w:szCs w:val="28"/>
          <w:lang w:val="zh-CN"/>
        </w:rPr>
        <w:t>[10]2025年能源生产量统计范围调整，相关指标增速和结构变化数据按可比口径计算。</w:t>
      </w:r>
    </w:p>
    <w:p>
      <w:pPr>
        <w:pStyle w:val="5"/>
        <w:spacing w:line="560" w:lineRule="exact"/>
        <w:ind w:firstLine="560" w:firstLineChars="200"/>
        <w:jc w:val="both"/>
        <w:rPr>
          <w:rFonts w:hint="default" w:ascii="楷体_GB2312" w:eastAsia="楷体_GB2312"/>
          <w:bCs/>
          <w:color w:val="000000"/>
          <w:kern w:val="0"/>
          <w:sz w:val="28"/>
          <w:szCs w:val="28"/>
          <w:lang w:val="zh-CN"/>
        </w:rPr>
      </w:pPr>
    </w:p>
    <w:p>
      <w:pPr>
        <w:pStyle w:val="5"/>
        <w:spacing w:line="560" w:lineRule="exact"/>
        <w:ind w:firstLine="560" w:firstLineChars="200"/>
        <w:jc w:val="both"/>
        <w:rPr>
          <w:rFonts w:hint="default" w:ascii="楷体_GB2312" w:eastAsia="楷体_GB2312"/>
          <w:bCs/>
          <w:color w:val="000000"/>
          <w:kern w:val="0"/>
          <w:sz w:val="28"/>
          <w:szCs w:val="28"/>
          <w:lang w:val="zh-CN"/>
        </w:rPr>
      </w:pPr>
    </w:p>
    <w:p>
      <w:pPr>
        <w:pStyle w:val="5"/>
        <w:spacing w:line="560" w:lineRule="exact"/>
        <w:ind w:firstLine="560" w:firstLineChars="200"/>
        <w:jc w:val="both"/>
        <w:rPr>
          <w:rFonts w:ascii="楷体_GB2312" w:hAnsi="宋体" w:eastAsia="楷体_GB2312" w:cs="宋体"/>
          <w:kern w:val="0"/>
          <w:sz w:val="28"/>
          <w:szCs w:val="28"/>
        </w:rPr>
      </w:pPr>
      <w:r>
        <w:rPr>
          <w:rFonts w:hint="eastAsia" w:ascii="楷体_GB2312" w:hAnsi="宋体" w:eastAsia="楷体_GB2312" w:cs="宋体"/>
          <w:kern w:val="0"/>
          <w:sz w:val="28"/>
          <w:szCs w:val="28"/>
        </w:rPr>
        <w:t>资料来源：本公报中财政数据来自青岛市财政局；社会保障、就业、人才等数据来自青岛市人力资源和社会保障局</w:t>
      </w:r>
      <w:r>
        <w:rPr>
          <w:rFonts w:hint="eastAsia" w:ascii="楷体_GB2312" w:hAnsi="宋体" w:eastAsia="楷体_GB2312" w:cs="宋体"/>
          <w:kern w:val="0"/>
          <w:sz w:val="28"/>
          <w:szCs w:val="28"/>
          <w:lang w:eastAsia="zh-CN"/>
        </w:rPr>
        <w:t>、</w:t>
      </w:r>
      <w:r>
        <w:rPr>
          <w:rFonts w:hint="eastAsia" w:ascii="楷体_GB2312" w:hAnsi="宋体" w:eastAsia="楷体_GB2312" w:cs="宋体"/>
          <w:kern w:val="0"/>
          <w:sz w:val="28"/>
          <w:szCs w:val="28"/>
          <w:lang w:val="en-US" w:eastAsia="zh-CN"/>
        </w:rPr>
        <w:t>市委组织部</w:t>
      </w:r>
      <w:r>
        <w:rPr>
          <w:rFonts w:hint="eastAsia" w:ascii="楷体_GB2312" w:hAnsi="宋体" w:eastAsia="楷体_GB2312" w:cs="宋体"/>
          <w:kern w:val="0"/>
          <w:sz w:val="28"/>
          <w:szCs w:val="28"/>
        </w:rPr>
        <w:t>；金融数据来自中国人民银行青岛市分行；证券保险数据来自中国证券监督管理委员会青岛监管局、国家金融监督管理总局青岛监管局；水产品数据来自青岛市海洋发展局；农业数据来自青岛市农业农村局；交通运输数据来自青岛市交通运输局；邮政数据来自青岛市邮政管理局；宽带、移动电话等数据来自青岛市通信管理局；进出口、外资、对外承包工程、对外劳务合作等数据来自青岛市商务局；</w:t>
      </w:r>
      <w:r>
        <w:rPr>
          <w:rFonts w:hint="eastAsia" w:ascii="楷体_GB2312" w:hAnsi="宋体" w:eastAsia="楷体_GB2312" w:cs="宋体"/>
          <w:kern w:val="0"/>
          <w:sz w:val="28"/>
          <w:szCs w:val="28"/>
          <w:lang w:val="en-US" w:eastAsia="zh-CN"/>
        </w:rPr>
        <w:t>文化、</w:t>
      </w:r>
      <w:r>
        <w:rPr>
          <w:rFonts w:hint="eastAsia" w:ascii="楷体_GB2312" w:hAnsi="宋体" w:eastAsia="楷体_GB2312" w:cs="宋体"/>
          <w:kern w:val="0"/>
          <w:sz w:val="28"/>
          <w:szCs w:val="28"/>
        </w:rPr>
        <w:t>旅游数据来自</w:t>
      </w:r>
      <w:r>
        <w:rPr>
          <w:rFonts w:hint="eastAsia" w:ascii="楷体_GB2312" w:hAnsi="宋体" w:eastAsia="楷体_GB2312" w:cs="宋体"/>
          <w:kern w:val="0"/>
          <w:sz w:val="28"/>
          <w:szCs w:val="28"/>
          <w:lang w:val="en-US" w:eastAsia="zh-CN"/>
        </w:rPr>
        <w:t>市委宣传部、</w:t>
      </w:r>
      <w:r>
        <w:rPr>
          <w:rFonts w:hint="eastAsia" w:ascii="楷体_GB2312" w:hAnsi="宋体" w:eastAsia="楷体_GB2312" w:cs="宋体"/>
          <w:kern w:val="0"/>
          <w:sz w:val="28"/>
          <w:szCs w:val="28"/>
        </w:rPr>
        <w:t>青岛市文化和旅游局；教育数据来自青岛市教育局；科技数据来自青岛市科学技术局；</w:t>
      </w:r>
      <w:r>
        <w:rPr>
          <w:rFonts w:hint="eastAsia" w:ascii="楷体_GB2312" w:hAnsi="宋体" w:eastAsia="楷体_GB2312" w:cs="宋体"/>
          <w:kern w:val="0"/>
          <w:sz w:val="28"/>
          <w:szCs w:val="28"/>
          <w:lang w:val="en-US" w:eastAsia="zh-CN"/>
        </w:rPr>
        <w:t>相关企业数据来自青岛市发改委、市工信局、市民营经济局；</w:t>
      </w:r>
      <w:r>
        <w:rPr>
          <w:rFonts w:hint="eastAsia" w:ascii="楷体_GB2312" w:hAnsi="宋体" w:eastAsia="楷体_GB2312" w:cs="宋体"/>
          <w:color w:val="auto"/>
          <w:kern w:val="0"/>
          <w:sz w:val="28"/>
          <w:szCs w:val="28"/>
          <w:lang w:val="en-US" w:eastAsia="zh-CN"/>
        </w:rPr>
        <w:t>经营</w:t>
      </w:r>
      <w:r>
        <w:rPr>
          <w:rFonts w:hint="eastAsia" w:ascii="楷体_GB2312" w:hAnsi="宋体" w:eastAsia="楷体_GB2312" w:cs="宋体"/>
          <w:color w:val="auto"/>
          <w:kern w:val="0"/>
          <w:sz w:val="28"/>
          <w:szCs w:val="28"/>
        </w:rPr>
        <w:t>主体、专利等数据来自青岛市市场监督管理局；低保数据来自青岛市民政局；体育数据来自青岛市体育局；卫生数据来自青岛市卫生健康委员会</w:t>
      </w:r>
      <w:r>
        <w:rPr>
          <w:rFonts w:hint="eastAsia" w:ascii="楷体_GB2312" w:hAnsi="宋体" w:eastAsia="楷体_GB2312" w:cs="宋体"/>
          <w:kern w:val="0"/>
          <w:sz w:val="28"/>
          <w:szCs w:val="28"/>
        </w:rPr>
        <w:t>；</w:t>
      </w:r>
      <w:r>
        <w:rPr>
          <w:rFonts w:hint="eastAsia" w:ascii="楷体_GB2312" w:hAnsi="宋体" w:eastAsia="楷体_GB2312" w:cs="宋体"/>
          <w:kern w:val="0"/>
          <w:sz w:val="28"/>
          <w:szCs w:val="28"/>
          <w:lang w:val="en-US" w:eastAsia="zh-CN"/>
        </w:rPr>
        <w:t>医疗保险、生育保险数据来自青岛市医保局；</w:t>
      </w:r>
      <w:r>
        <w:rPr>
          <w:rFonts w:hint="eastAsia" w:ascii="楷体_GB2312" w:hAnsi="宋体" w:eastAsia="楷体_GB2312" w:cs="宋体"/>
          <w:kern w:val="0"/>
          <w:sz w:val="28"/>
          <w:szCs w:val="28"/>
        </w:rPr>
        <w:t>环境数据来自青岛市生态环境局；</w:t>
      </w:r>
      <w:r>
        <w:rPr>
          <w:rFonts w:hint="eastAsia" w:ascii="楷体_GB2312" w:hAnsi="宋体" w:eastAsia="楷体_GB2312" w:cs="宋体"/>
          <w:kern w:val="0"/>
          <w:sz w:val="28"/>
          <w:szCs w:val="28"/>
          <w:lang w:val="en-US" w:eastAsia="zh-CN"/>
        </w:rPr>
        <w:t>档案数据来自青岛市档案馆；</w:t>
      </w:r>
      <w:r>
        <w:rPr>
          <w:rFonts w:hint="eastAsia" w:ascii="楷体_GB2312" w:hAnsi="宋体" w:eastAsia="楷体_GB2312" w:cs="宋体"/>
          <w:kern w:val="0"/>
          <w:sz w:val="28"/>
          <w:szCs w:val="28"/>
        </w:rPr>
        <w:t>用电量数据来自青岛供电公司；气象数据来自青岛市气象局；安全生产数据来自青岛市应急管理局；城市建设数据来自青岛市</w:t>
      </w:r>
      <w:r>
        <w:rPr>
          <w:rFonts w:ascii="楷体_GB2312" w:hAnsi="宋体" w:eastAsia="楷体_GB2312" w:cs="宋体"/>
          <w:kern w:val="0"/>
          <w:sz w:val="28"/>
          <w:szCs w:val="28"/>
        </w:rPr>
        <w:t>住房和城乡建设局；</w:t>
      </w:r>
      <w:r>
        <w:rPr>
          <w:rFonts w:hint="eastAsia" w:ascii="楷体_GB2312" w:hAnsi="宋体" w:eastAsia="楷体_GB2312" w:cs="宋体"/>
          <w:kern w:val="0"/>
          <w:sz w:val="28"/>
          <w:szCs w:val="28"/>
        </w:rPr>
        <w:t>粮食数据、畜牧数据、居民生活数据、价格数据来自国家统计局青岛调查队；其他数据来自青岛市统计局。</w:t>
      </w:r>
    </w:p>
    <w:p>
      <w:pPr>
        <w:pStyle w:val="2"/>
        <w:spacing w:before="0" w:after="0" w:line="560" w:lineRule="exact"/>
        <w:ind w:firstLine="560" w:firstLineChars="200"/>
        <w:rPr>
          <w:rFonts w:ascii="楷体_GB2312" w:eastAsia="楷体_GB2312"/>
          <w:b w:val="0"/>
          <w:color w:val="000000"/>
          <w:kern w:val="0"/>
          <w:sz w:val="28"/>
          <w:szCs w:val="28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right"/>
      <w:rPr>
        <w:rFonts w:ascii="宋体" w:hAnsi="宋体"/>
        <w:sz w:val="28"/>
        <w:szCs w:val="28"/>
      </w:rPr>
    </w:pPr>
    <w:r>
      <w:rPr>
        <w:rFonts w:hint="eastAsia" w:ascii="宋体" w:hAnsi="宋体"/>
        <w:sz w:val="28"/>
        <w:szCs w:val="28"/>
      </w:rPr>
      <w:t>—</w:t>
    </w:r>
    <w:sdt>
      <w:sdtPr>
        <w:rPr>
          <w:rFonts w:ascii="宋体" w:hAnsi="宋体"/>
          <w:sz w:val="28"/>
          <w:szCs w:val="28"/>
        </w:rPr>
        <w:id w:val="-1"/>
      </w:sdtPr>
      <w:sdtEndPr>
        <w:rPr>
          <w:rFonts w:ascii="宋体" w:hAnsi="宋体"/>
          <w:sz w:val="28"/>
          <w:szCs w:val="28"/>
        </w:rPr>
      </w:sdtEndPr>
      <w:sdtContent>
        <w:r>
          <w:rPr>
            <w:rFonts w:ascii="宋体" w:hAnsi="宋体"/>
            <w:sz w:val="28"/>
            <w:szCs w:val="28"/>
          </w:rPr>
          <w:fldChar w:fldCharType="begin"/>
        </w:r>
        <w:r>
          <w:rPr>
            <w:rFonts w:ascii="宋体" w:hAnsi="宋体"/>
            <w:sz w:val="28"/>
            <w:szCs w:val="28"/>
          </w:rPr>
          <w:instrText xml:space="preserve">PAGE   \* MERGEFORMAT</w:instrText>
        </w:r>
        <w:r>
          <w:rPr>
            <w:rFonts w:ascii="宋体" w:hAnsi="宋体"/>
            <w:sz w:val="28"/>
            <w:szCs w:val="28"/>
          </w:rPr>
          <w:fldChar w:fldCharType="separate"/>
        </w:r>
        <w:r>
          <w:rPr>
            <w:rFonts w:ascii="宋体" w:hAnsi="宋体"/>
            <w:sz w:val="28"/>
            <w:szCs w:val="28"/>
            <w:lang w:val="zh-CN"/>
          </w:rPr>
          <w:t>1</w:t>
        </w:r>
        <w:r>
          <w:rPr>
            <w:rFonts w:ascii="宋体" w:hAnsi="宋体"/>
            <w:sz w:val="28"/>
            <w:szCs w:val="28"/>
          </w:rPr>
          <w:fldChar w:fldCharType="end"/>
        </w:r>
        <w:r>
          <w:rPr>
            <w:rFonts w:hint="eastAsia" w:ascii="宋体" w:hAnsi="宋体"/>
            <w:sz w:val="28"/>
            <w:szCs w:val="28"/>
          </w:rPr>
          <w:t>—</w:t>
        </w:r>
      </w:sdtContent>
    </w:sdt>
  </w:p>
  <w:p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tabs>
        <w:tab w:val="left" w:pos="3315"/>
        <w:tab w:val="clear" w:pos="4153"/>
        <w:tab w:val="clear" w:pos="8306"/>
      </w:tabs>
    </w:pPr>
    <w:r>
      <w:rPr>
        <w:rFonts w:hint="eastAsia" w:ascii="宋体" w:hAnsi="宋体"/>
        <w:sz w:val="28"/>
        <w:szCs w:val="28"/>
      </w:rPr>
      <w:t>—</w:t>
    </w:r>
    <w:sdt>
      <w:sdtPr>
        <w:rPr>
          <w:rFonts w:ascii="宋体" w:hAnsi="宋体"/>
          <w:sz w:val="28"/>
          <w:szCs w:val="28"/>
        </w:rPr>
        <w:id w:val="1046809857"/>
      </w:sdtPr>
      <w:sdtEndPr>
        <w:rPr>
          <w:rFonts w:ascii="Times New Roman" w:hAnsi="Times New Roman"/>
          <w:sz w:val="18"/>
          <w:szCs w:val="18"/>
        </w:rPr>
      </w:sdtEndPr>
      <w:sdtContent>
        <w:r>
          <w:rPr>
            <w:rFonts w:ascii="宋体" w:hAnsi="宋体"/>
            <w:sz w:val="28"/>
            <w:szCs w:val="28"/>
          </w:rPr>
          <w:fldChar w:fldCharType="begin"/>
        </w:r>
        <w:r>
          <w:rPr>
            <w:rFonts w:ascii="宋体" w:hAnsi="宋体"/>
            <w:sz w:val="28"/>
            <w:szCs w:val="28"/>
          </w:rPr>
          <w:instrText xml:space="preserve">PAGE   \* MERGEFORMAT</w:instrText>
        </w:r>
        <w:r>
          <w:rPr>
            <w:rFonts w:ascii="宋体" w:hAnsi="宋体"/>
            <w:sz w:val="28"/>
            <w:szCs w:val="28"/>
          </w:rPr>
          <w:fldChar w:fldCharType="separate"/>
        </w:r>
        <w:r>
          <w:rPr>
            <w:rFonts w:ascii="宋体" w:hAnsi="宋体"/>
            <w:sz w:val="28"/>
            <w:szCs w:val="28"/>
            <w:lang w:val="zh-CN"/>
          </w:rPr>
          <w:t>2</w:t>
        </w:r>
        <w:r>
          <w:rPr>
            <w:rFonts w:ascii="宋体" w:hAnsi="宋体"/>
            <w:sz w:val="28"/>
            <w:szCs w:val="28"/>
          </w:rPr>
          <w:fldChar w:fldCharType="end"/>
        </w:r>
        <w:r>
          <w:rPr>
            <w:rFonts w:hint="eastAsia" w:ascii="宋体" w:hAnsi="宋体"/>
            <w:sz w:val="28"/>
            <w:szCs w:val="28"/>
          </w:rPr>
          <w:t>—</w:t>
        </w:r>
      </w:sdtContent>
    </w:sdt>
    <w:r>
      <w:tab/>
    </w:r>
  </w:p>
  <w:p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18"/>
    <w:endnote w:id="19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I5MWM3ODJiYTIzZWUzMjQzODcwZmUwZWRkZmYxNzgifQ=="/>
  </w:docVars>
  <w:rsids>
    <w:rsidRoot w:val="005A79EE"/>
    <w:rsid w:val="0000287D"/>
    <w:rsid w:val="00004A57"/>
    <w:rsid w:val="00006BBC"/>
    <w:rsid w:val="00007C8E"/>
    <w:rsid w:val="0001018B"/>
    <w:rsid w:val="000118A6"/>
    <w:rsid w:val="0001566A"/>
    <w:rsid w:val="00021297"/>
    <w:rsid w:val="000221C8"/>
    <w:rsid w:val="00024874"/>
    <w:rsid w:val="00035CE2"/>
    <w:rsid w:val="00037EE1"/>
    <w:rsid w:val="00041461"/>
    <w:rsid w:val="00041E04"/>
    <w:rsid w:val="00042E35"/>
    <w:rsid w:val="0004349C"/>
    <w:rsid w:val="000441F9"/>
    <w:rsid w:val="000462B1"/>
    <w:rsid w:val="00047C4A"/>
    <w:rsid w:val="0005187D"/>
    <w:rsid w:val="000537CC"/>
    <w:rsid w:val="0005730D"/>
    <w:rsid w:val="00064D11"/>
    <w:rsid w:val="00070F2A"/>
    <w:rsid w:val="000726FE"/>
    <w:rsid w:val="00073252"/>
    <w:rsid w:val="000762F2"/>
    <w:rsid w:val="00082964"/>
    <w:rsid w:val="00093235"/>
    <w:rsid w:val="000944AC"/>
    <w:rsid w:val="00095736"/>
    <w:rsid w:val="000B520A"/>
    <w:rsid w:val="000B5A27"/>
    <w:rsid w:val="000C2C1D"/>
    <w:rsid w:val="000C3ED0"/>
    <w:rsid w:val="000C770E"/>
    <w:rsid w:val="000C7ED0"/>
    <w:rsid w:val="000D2E66"/>
    <w:rsid w:val="000D53C7"/>
    <w:rsid w:val="000D622A"/>
    <w:rsid w:val="000E0870"/>
    <w:rsid w:val="000E0C6C"/>
    <w:rsid w:val="000E536F"/>
    <w:rsid w:val="000E5E4E"/>
    <w:rsid w:val="000E6730"/>
    <w:rsid w:val="000F267C"/>
    <w:rsid w:val="000F78FC"/>
    <w:rsid w:val="001018CF"/>
    <w:rsid w:val="00101BA5"/>
    <w:rsid w:val="00102292"/>
    <w:rsid w:val="0010281F"/>
    <w:rsid w:val="00104C89"/>
    <w:rsid w:val="00110BF5"/>
    <w:rsid w:val="00116606"/>
    <w:rsid w:val="00117B49"/>
    <w:rsid w:val="00122BB5"/>
    <w:rsid w:val="00124CEE"/>
    <w:rsid w:val="0012640B"/>
    <w:rsid w:val="00131413"/>
    <w:rsid w:val="00135E02"/>
    <w:rsid w:val="0014746F"/>
    <w:rsid w:val="001517A9"/>
    <w:rsid w:val="00152A56"/>
    <w:rsid w:val="00160DC4"/>
    <w:rsid w:val="00163EC8"/>
    <w:rsid w:val="00167193"/>
    <w:rsid w:val="001743CC"/>
    <w:rsid w:val="001754FB"/>
    <w:rsid w:val="00182CAE"/>
    <w:rsid w:val="00183AE4"/>
    <w:rsid w:val="00183B2B"/>
    <w:rsid w:val="0018492A"/>
    <w:rsid w:val="00186FA7"/>
    <w:rsid w:val="001916E7"/>
    <w:rsid w:val="001923C0"/>
    <w:rsid w:val="00192CFE"/>
    <w:rsid w:val="001951DD"/>
    <w:rsid w:val="001A00F6"/>
    <w:rsid w:val="001B1B3F"/>
    <w:rsid w:val="001B2457"/>
    <w:rsid w:val="001B46F2"/>
    <w:rsid w:val="001C0C52"/>
    <w:rsid w:val="001C40CE"/>
    <w:rsid w:val="001C51D1"/>
    <w:rsid w:val="001C524F"/>
    <w:rsid w:val="001C5837"/>
    <w:rsid w:val="001D1082"/>
    <w:rsid w:val="001D1A7E"/>
    <w:rsid w:val="001D2A12"/>
    <w:rsid w:val="001D41F3"/>
    <w:rsid w:val="001D5051"/>
    <w:rsid w:val="001D600F"/>
    <w:rsid w:val="001D746A"/>
    <w:rsid w:val="001E03A2"/>
    <w:rsid w:val="001E273C"/>
    <w:rsid w:val="001F06B2"/>
    <w:rsid w:val="001F10D2"/>
    <w:rsid w:val="001F50E3"/>
    <w:rsid w:val="001F6986"/>
    <w:rsid w:val="00200409"/>
    <w:rsid w:val="002051D4"/>
    <w:rsid w:val="00205D8F"/>
    <w:rsid w:val="002072AC"/>
    <w:rsid w:val="00213887"/>
    <w:rsid w:val="00214456"/>
    <w:rsid w:val="00216C1D"/>
    <w:rsid w:val="00225E3A"/>
    <w:rsid w:val="00227D27"/>
    <w:rsid w:val="00231ADF"/>
    <w:rsid w:val="002352DA"/>
    <w:rsid w:val="0023689F"/>
    <w:rsid w:val="002420A0"/>
    <w:rsid w:val="00244F60"/>
    <w:rsid w:val="00245804"/>
    <w:rsid w:val="002462BC"/>
    <w:rsid w:val="00252786"/>
    <w:rsid w:val="00253D47"/>
    <w:rsid w:val="00273035"/>
    <w:rsid w:val="00276514"/>
    <w:rsid w:val="00282472"/>
    <w:rsid w:val="00290CB1"/>
    <w:rsid w:val="00291251"/>
    <w:rsid w:val="002928B8"/>
    <w:rsid w:val="00292DE4"/>
    <w:rsid w:val="0029385C"/>
    <w:rsid w:val="00293B2F"/>
    <w:rsid w:val="00293E76"/>
    <w:rsid w:val="00296A97"/>
    <w:rsid w:val="002A12A5"/>
    <w:rsid w:val="002A1414"/>
    <w:rsid w:val="002A2DF1"/>
    <w:rsid w:val="002A4ADB"/>
    <w:rsid w:val="002B4118"/>
    <w:rsid w:val="002C25D3"/>
    <w:rsid w:val="002D35B3"/>
    <w:rsid w:val="002D4065"/>
    <w:rsid w:val="002E3583"/>
    <w:rsid w:val="002E5080"/>
    <w:rsid w:val="002F01B1"/>
    <w:rsid w:val="002F231E"/>
    <w:rsid w:val="002F36F5"/>
    <w:rsid w:val="002F3DC2"/>
    <w:rsid w:val="002F6B31"/>
    <w:rsid w:val="002F7048"/>
    <w:rsid w:val="002F76C1"/>
    <w:rsid w:val="002F7B88"/>
    <w:rsid w:val="003000D5"/>
    <w:rsid w:val="00303506"/>
    <w:rsid w:val="0030680F"/>
    <w:rsid w:val="003115C9"/>
    <w:rsid w:val="00316291"/>
    <w:rsid w:val="00320809"/>
    <w:rsid w:val="00322139"/>
    <w:rsid w:val="00325198"/>
    <w:rsid w:val="00326B91"/>
    <w:rsid w:val="00326FFE"/>
    <w:rsid w:val="003273C8"/>
    <w:rsid w:val="003313BF"/>
    <w:rsid w:val="00332623"/>
    <w:rsid w:val="00337168"/>
    <w:rsid w:val="003408A3"/>
    <w:rsid w:val="003467D1"/>
    <w:rsid w:val="003505B0"/>
    <w:rsid w:val="0035278A"/>
    <w:rsid w:val="0035336F"/>
    <w:rsid w:val="00354AFA"/>
    <w:rsid w:val="00356747"/>
    <w:rsid w:val="00360807"/>
    <w:rsid w:val="00360ADA"/>
    <w:rsid w:val="003679D6"/>
    <w:rsid w:val="00370920"/>
    <w:rsid w:val="003800A4"/>
    <w:rsid w:val="00380894"/>
    <w:rsid w:val="00381331"/>
    <w:rsid w:val="003854A0"/>
    <w:rsid w:val="003872DE"/>
    <w:rsid w:val="00390677"/>
    <w:rsid w:val="00397A78"/>
    <w:rsid w:val="00397E07"/>
    <w:rsid w:val="003A03DD"/>
    <w:rsid w:val="003A1022"/>
    <w:rsid w:val="003A103B"/>
    <w:rsid w:val="003A14C5"/>
    <w:rsid w:val="003A21A4"/>
    <w:rsid w:val="003A4234"/>
    <w:rsid w:val="003A5474"/>
    <w:rsid w:val="003B0703"/>
    <w:rsid w:val="003B238C"/>
    <w:rsid w:val="003B7AF8"/>
    <w:rsid w:val="003C09AD"/>
    <w:rsid w:val="003C13F7"/>
    <w:rsid w:val="003C2288"/>
    <w:rsid w:val="003C28B1"/>
    <w:rsid w:val="003C488D"/>
    <w:rsid w:val="003C4FC9"/>
    <w:rsid w:val="003C5F0B"/>
    <w:rsid w:val="003D4587"/>
    <w:rsid w:val="003E2B16"/>
    <w:rsid w:val="003E4A7F"/>
    <w:rsid w:val="003F1E8A"/>
    <w:rsid w:val="003F6E9A"/>
    <w:rsid w:val="00406D36"/>
    <w:rsid w:val="00411F00"/>
    <w:rsid w:val="00413413"/>
    <w:rsid w:val="00414519"/>
    <w:rsid w:val="004168DC"/>
    <w:rsid w:val="0042041A"/>
    <w:rsid w:val="004238ED"/>
    <w:rsid w:val="004363FC"/>
    <w:rsid w:val="00437EB1"/>
    <w:rsid w:val="00442A4B"/>
    <w:rsid w:val="00442E74"/>
    <w:rsid w:val="0044421E"/>
    <w:rsid w:val="00444779"/>
    <w:rsid w:val="004476B4"/>
    <w:rsid w:val="00450645"/>
    <w:rsid w:val="00460771"/>
    <w:rsid w:val="004659CC"/>
    <w:rsid w:val="00472421"/>
    <w:rsid w:val="004768D8"/>
    <w:rsid w:val="00482BD4"/>
    <w:rsid w:val="00483815"/>
    <w:rsid w:val="0048508D"/>
    <w:rsid w:val="00487B2B"/>
    <w:rsid w:val="00492A43"/>
    <w:rsid w:val="00494148"/>
    <w:rsid w:val="004A4062"/>
    <w:rsid w:val="004B5114"/>
    <w:rsid w:val="004B6588"/>
    <w:rsid w:val="004C283E"/>
    <w:rsid w:val="004C2B42"/>
    <w:rsid w:val="004C63F6"/>
    <w:rsid w:val="004C721F"/>
    <w:rsid w:val="004C75C7"/>
    <w:rsid w:val="004D0935"/>
    <w:rsid w:val="004D0D7E"/>
    <w:rsid w:val="004D4A63"/>
    <w:rsid w:val="004D5124"/>
    <w:rsid w:val="004D67FD"/>
    <w:rsid w:val="004F10DD"/>
    <w:rsid w:val="004F12FA"/>
    <w:rsid w:val="004F18EE"/>
    <w:rsid w:val="004F3CED"/>
    <w:rsid w:val="004F4930"/>
    <w:rsid w:val="004F5178"/>
    <w:rsid w:val="004F6CE6"/>
    <w:rsid w:val="004F711E"/>
    <w:rsid w:val="005024D0"/>
    <w:rsid w:val="00504A20"/>
    <w:rsid w:val="00516569"/>
    <w:rsid w:val="00516622"/>
    <w:rsid w:val="005175AF"/>
    <w:rsid w:val="00531610"/>
    <w:rsid w:val="005345E6"/>
    <w:rsid w:val="00534F7D"/>
    <w:rsid w:val="005370C1"/>
    <w:rsid w:val="00540C1C"/>
    <w:rsid w:val="005524B9"/>
    <w:rsid w:val="00556410"/>
    <w:rsid w:val="005613C3"/>
    <w:rsid w:val="00562BC7"/>
    <w:rsid w:val="00571034"/>
    <w:rsid w:val="00571C0C"/>
    <w:rsid w:val="00574205"/>
    <w:rsid w:val="00575EE4"/>
    <w:rsid w:val="00576FE2"/>
    <w:rsid w:val="0057729A"/>
    <w:rsid w:val="00581E78"/>
    <w:rsid w:val="0058218B"/>
    <w:rsid w:val="0058288C"/>
    <w:rsid w:val="005831D8"/>
    <w:rsid w:val="00587DF6"/>
    <w:rsid w:val="00591D42"/>
    <w:rsid w:val="00595697"/>
    <w:rsid w:val="005A1007"/>
    <w:rsid w:val="005A17E2"/>
    <w:rsid w:val="005A504B"/>
    <w:rsid w:val="005A79EE"/>
    <w:rsid w:val="005B2B23"/>
    <w:rsid w:val="005B7700"/>
    <w:rsid w:val="005B7BA1"/>
    <w:rsid w:val="005C0320"/>
    <w:rsid w:val="005C0B6F"/>
    <w:rsid w:val="005C2021"/>
    <w:rsid w:val="005C2173"/>
    <w:rsid w:val="005D1597"/>
    <w:rsid w:val="005D6041"/>
    <w:rsid w:val="005E0E07"/>
    <w:rsid w:val="005E2C8D"/>
    <w:rsid w:val="005E4008"/>
    <w:rsid w:val="005E7790"/>
    <w:rsid w:val="005F0463"/>
    <w:rsid w:val="005F3568"/>
    <w:rsid w:val="005F4386"/>
    <w:rsid w:val="006024E6"/>
    <w:rsid w:val="00602B7C"/>
    <w:rsid w:val="00607B7C"/>
    <w:rsid w:val="006109EE"/>
    <w:rsid w:val="006120CA"/>
    <w:rsid w:val="00612599"/>
    <w:rsid w:val="00613B7B"/>
    <w:rsid w:val="006147D6"/>
    <w:rsid w:val="0061582D"/>
    <w:rsid w:val="006169EF"/>
    <w:rsid w:val="00620D17"/>
    <w:rsid w:val="00623EFC"/>
    <w:rsid w:val="00625516"/>
    <w:rsid w:val="00634287"/>
    <w:rsid w:val="00636F98"/>
    <w:rsid w:val="00642985"/>
    <w:rsid w:val="00653477"/>
    <w:rsid w:val="006543D8"/>
    <w:rsid w:val="006566D7"/>
    <w:rsid w:val="00660399"/>
    <w:rsid w:val="006620F1"/>
    <w:rsid w:val="00666A8D"/>
    <w:rsid w:val="006677AD"/>
    <w:rsid w:val="0067033C"/>
    <w:rsid w:val="006774CE"/>
    <w:rsid w:val="00681329"/>
    <w:rsid w:val="0068181D"/>
    <w:rsid w:val="00682486"/>
    <w:rsid w:val="00682ECD"/>
    <w:rsid w:val="006833C2"/>
    <w:rsid w:val="00683B75"/>
    <w:rsid w:val="006852D9"/>
    <w:rsid w:val="00686B92"/>
    <w:rsid w:val="00692AEA"/>
    <w:rsid w:val="00694A4E"/>
    <w:rsid w:val="006A1402"/>
    <w:rsid w:val="006A1669"/>
    <w:rsid w:val="006B04CE"/>
    <w:rsid w:val="006B20B3"/>
    <w:rsid w:val="006B43EF"/>
    <w:rsid w:val="006B588E"/>
    <w:rsid w:val="006B6A7A"/>
    <w:rsid w:val="006B7873"/>
    <w:rsid w:val="006B7D3A"/>
    <w:rsid w:val="006C433D"/>
    <w:rsid w:val="006C5749"/>
    <w:rsid w:val="006C7891"/>
    <w:rsid w:val="006D0E64"/>
    <w:rsid w:val="006D1687"/>
    <w:rsid w:val="006D300D"/>
    <w:rsid w:val="006D4CF6"/>
    <w:rsid w:val="006D635D"/>
    <w:rsid w:val="006E4E0D"/>
    <w:rsid w:val="006F5E22"/>
    <w:rsid w:val="00703763"/>
    <w:rsid w:val="007037F7"/>
    <w:rsid w:val="00707782"/>
    <w:rsid w:val="00712579"/>
    <w:rsid w:val="00717D04"/>
    <w:rsid w:val="00717F63"/>
    <w:rsid w:val="00727B14"/>
    <w:rsid w:val="007321D6"/>
    <w:rsid w:val="00734303"/>
    <w:rsid w:val="0073685A"/>
    <w:rsid w:val="00741088"/>
    <w:rsid w:val="00742F20"/>
    <w:rsid w:val="0074367D"/>
    <w:rsid w:val="00746445"/>
    <w:rsid w:val="00750E1F"/>
    <w:rsid w:val="00765BCD"/>
    <w:rsid w:val="00766A88"/>
    <w:rsid w:val="0077448F"/>
    <w:rsid w:val="0077550A"/>
    <w:rsid w:val="0078352D"/>
    <w:rsid w:val="00784E40"/>
    <w:rsid w:val="0079132C"/>
    <w:rsid w:val="00793292"/>
    <w:rsid w:val="007935B3"/>
    <w:rsid w:val="00794791"/>
    <w:rsid w:val="007950C8"/>
    <w:rsid w:val="007A269B"/>
    <w:rsid w:val="007A3710"/>
    <w:rsid w:val="007A3A9C"/>
    <w:rsid w:val="007A5C38"/>
    <w:rsid w:val="007A7B27"/>
    <w:rsid w:val="007B6289"/>
    <w:rsid w:val="007B714A"/>
    <w:rsid w:val="007C1E60"/>
    <w:rsid w:val="007C4B2C"/>
    <w:rsid w:val="007D004F"/>
    <w:rsid w:val="007D1C50"/>
    <w:rsid w:val="007D227E"/>
    <w:rsid w:val="007D7947"/>
    <w:rsid w:val="007E0023"/>
    <w:rsid w:val="007E22D4"/>
    <w:rsid w:val="007E3C49"/>
    <w:rsid w:val="007E4E3D"/>
    <w:rsid w:val="007E59AC"/>
    <w:rsid w:val="007F0D83"/>
    <w:rsid w:val="007F2080"/>
    <w:rsid w:val="007F6F9F"/>
    <w:rsid w:val="00804008"/>
    <w:rsid w:val="008064F4"/>
    <w:rsid w:val="008179B9"/>
    <w:rsid w:val="00822E35"/>
    <w:rsid w:val="00824061"/>
    <w:rsid w:val="00826409"/>
    <w:rsid w:val="008274B3"/>
    <w:rsid w:val="008337A1"/>
    <w:rsid w:val="00834769"/>
    <w:rsid w:val="00835934"/>
    <w:rsid w:val="00843F46"/>
    <w:rsid w:val="00845B91"/>
    <w:rsid w:val="00847FA3"/>
    <w:rsid w:val="008515BA"/>
    <w:rsid w:val="008534CE"/>
    <w:rsid w:val="00853C86"/>
    <w:rsid w:val="00855BB6"/>
    <w:rsid w:val="0086193B"/>
    <w:rsid w:val="00862199"/>
    <w:rsid w:val="00862EAB"/>
    <w:rsid w:val="00867253"/>
    <w:rsid w:val="00873B9B"/>
    <w:rsid w:val="00873C52"/>
    <w:rsid w:val="00875C43"/>
    <w:rsid w:val="00877574"/>
    <w:rsid w:val="00877992"/>
    <w:rsid w:val="00885342"/>
    <w:rsid w:val="008854B6"/>
    <w:rsid w:val="00893C15"/>
    <w:rsid w:val="00896701"/>
    <w:rsid w:val="00896BD5"/>
    <w:rsid w:val="00896D07"/>
    <w:rsid w:val="008A078B"/>
    <w:rsid w:val="008A0F8B"/>
    <w:rsid w:val="008A198F"/>
    <w:rsid w:val="008A3221"/>
    <w:rsid w:val="008A5BC6"/>
    <w:rsid w:val="008A6F8F"/>
    <w:rsid w:val="008A7710"/>
    <w:rsid w:val="008B151A"/>
    <w:rsid w:val="008B1B86"/>
    <w:rsid w:val="008B7183"/>
    <w:rsid w:val="008C0572"/>
    <w:rsid w:val="008C09BC"/>
    <w:rsid w:val="008D1842"/>
    <w:rsid w:val="008D35B9"/>
    <w:rsid w:val="008E5A58"/>
    <w:rsid w:val="008E5BCC"/>
    <w:rsid w:val="008F26CE"/>
    <w:rsid w:val="00902C1C"/>
    <w:rsid w:val="0090300A"/>
    <w:rsid w:val="00903065"/>
    <w:rsid w:val="009040AC"/>
    <w:rsid w:val="00904321"/>
    <w:rsid w:val="00904DCF"/>
    <w:rsid w:val="00905E4C"/>
    <w:rsid w:val="009067F5"/>
    <w:rsid w:val="00912233"/>
    <w:rsid w:val="009149D1"/>
    <w:rsid w:val="00917E1E"/>
    <w:rsid w:val="00925212"/>
    <w:rsid w:val="00930F95"/>
    <w:rsid w:val="00935816"/>
    <w:rsid w:val="00943F76"/>
    <w:rsid w:val="00946115"/>
    <w:rsid w:val="009475E9"/>
    <w:rsid w:val="009511FE"/>
    <w:rsid w:val="0095492D"/>
    <w:rsid w:val="00955A1F"/>
    <w:rsid w:val="00956494"/>
    <w:rsid w:val="00956FD8"/>
    <w:rsid w:val="00960837"/>
    <w:rsid w:val="0096211F"/>
    <w:rsid w:val="00963436"/>
    <w:rsid w:val="00965F5B"/>
    <w:rsid w:val="00967987"/>
    <w:rsid w:val="00967F3D"/>
    <w:rsid w:val="00970215"/>
    <w:rsid w:val="00981A78"/>
    <w:rsid w:val="00982F74"/>
    <w:rsid w:val="0098684D"/>
    <w:rsid w:val="0099091D"/>
    <w:rsid w:val="009920F3"/>
    <w:rsid w:val="0099272C"/>
    <w:rsid w:val="00996F46"/>
    <w:rsid w:val="009A309F"/>
    <w:rsid w:val="009A4976"/>
    <w:rsid w:val="009B6C04"/>
    <w:rsid w:val="009C307A"/>
    <w:rsid w:val="009C6E61"/>
    <w:rsid w:val="009C70AC"/>
    <w:rsid w:val="009C7A25"/>
    <w:rsid w:val="009D0695"/>
    <w:rsid w:val="009D24E3"/>
    <w:rsid w:val="009D28FD"/>
    <w:rsid w:val="009D4EED"/>
    <w:rsid w:val="009D5793"/>
    <w:rsid w:val="009D5848"/>
    <w:rsid w:val="009D5B27"/>
    <w:rsid w:val="009D69EF"/>
    <w:rsid w:val="009D78D6"/>
    <w:rsid w:val="009E206C"/>
    <w:rsid w:val="009E255C"/>
    <w:rsid w:val="009E2DF1"/>
    <w:rsid w:val="009F03BB"/>
    <w:rsid w:val="009F1667"/>
    <w:rsid w:val="009F18C4"/>
    <w:rsid w:val="009F30CC"/>
    <w:rsid w:val="009F46F8"/>
    <w:rsid w:val="00A0079A"/>
    <w:rsid w:val="00A03B22"/>
    <w:rsid w:val="00A03C6B"/>
    <w:rsid w:val="00A05DFE"/>
    <w:rsid w:val="00A05FBD"/>
    <w:rsid w:val="00A06180"/>
    <w:rsid w:val="00A12679"/>
    <w:rsid w:val="00A13E61"/>
    <w:rsid w:val="00A16C2D"/>
    <w:rsid w:val="00A20803"/>
    <w:rsid w:val="00A256EB"/>
    <w:rsid w:val="00A317EC"/>
    <w:rsid w:val="00A32BC6"/>
    <w:rsid w:val="00A35B9E"/>
    <w:rsid w:val="00A360E0"/>
    <w:rsid w:val="00A361BC"/>
    <w:rsid w:val="00A367F9"/>
    <w:rsid w:val="00A407EF"/>
    <w:rsid w:val="00A422B7"/>
    <w:rsid w:val="00A52EE9"/>
    <w:rsid w:val="00A5540E"/>
    <w:rsid w:val="00A81309"/>
    <w:rsid w:val="00A84CFC"/>
    <w:rsid w:val="00A92451"/>
    <w:rsid w:val="00A94A80"/>
    <w:rsid w:val="00AA753D"/>
    <w:rsid w:val="00AB13D2"/>
    <w:rsid w:val="00AB34E3"/>
    <w:rsid w:val="00AB4920"/>
    <w:rsid w:val="00AB4D5E"/>
    <w:rsid w:val="00AB6678"/>
    <w:rsid w:val="00AB6D14"/>
    <w:rsid w:val="00AB6FCB"/>
    <w:rsid w:val="00AB7EC4"/>
    <w:rsid w:val="00AC2064"/>
    <w:rsid w:val="00AC5C15"/>
    <w:rsid w:val="00AC5F09"/>
    <w:rsid w:val="00AD31E0"/>
    <w:rsid w:val="00AD701C"/>
    <w:rsid w:val="00AE1AE4"/>
    <w:rsid w:val="00AE53A3"/>
    <w:rsid w:val="00AE709D"/>
    <w:rsid w:val="00AE7A72"/>
    <w:rsid w:val="00AF02FB"/>
    <w:rsid w:val="00AF06AB"/>
    <w:rsid w:val="00AF1BC3"/>
    <w:rsid w:val="00AF4759"/>
    <w:rsid w:val="00AF4EF6"/>
    <w:rsid w:val="00B01B8C"/>
    <w:rsid w:val="00B075DD"/>
    <w:rsid w:val="00B11E2B"/>
    <w:rsid w:val="00B12859"/>
    <w:rsid w:val="00B225C8"/>
    <w:rsid w:val="00B26A12"/>
    <w:rsid w:val="00B32C65"/>
    <w:rsid w:val="00B33EE9"/>
    <w:rsid w:val="00B42B21"/>
    <w:rsid w:val="00B467E0"/>
    <w:rsid w:val="00B478D9"/>
    <w:rsid w:val="00B5208F"/>
    <w:rsid w:val="00B5209E"/>
    <w:rsid w:val="00B54F81"/>
    <w:rsid w:val="00B5661E"/>
    <w:rsid w:val="00B56CC6"/>
    <w:rsid w:val="00B56D2E"/>
    <w:rsid w:val="00B60177"/>
    <w:rsid w:val="00B60C67"/>
    <w:rsid w:val="00B831BE"/>
    <w:rsid w:val="00B83D37"/>
    <w:rsid w:val="00B85FAC"/>
    <w:rsid w:val="00B909EA"/>
    <w:rsid w:val="00B910B6"/>
    <w:rsid w:val="00B940A0"/>
    <w:rsid w:val="00BA2059"/>
    <w:rsid w:val="00BB1797"/>
    <w:rsid w:val="00BB5F79"/>
    <w:rsid w:val="00BC1B96"/>
    <w:rsid w:val="00BC25E2"/>
    <w:rsid w:val="00BC4296"/>
    <w:rsid w:val="00BC61DD"/>
    <w:rsid w:val="00BC63EB"/>
    <w:rsid w:val="00BC7341"/>
    <w:rsid w:val="00BD1059"/>
    <w:rsid w:val="00BD558C"/>
    <w:rsid w:val="00BE03DB"/>
    <w:rsid w:val="00BE2329"/>
    <w:rsid w:val="00BE27A4"/>
    <w:rsid w:val="00BE3B1F"/>
    <w:rsid w:val="00BE63DD"/>
    <w:rsid w:val="00BF0149"/>
    <w:rsid w:val="00BF04CE"/>
    <w:rsid w:val="00BF35D3"/>
    <w:rsid w:val="00BF5090"/>
    <w:rsid w:val="00BF744F"/>
    <w:rsid w:val="00C00F6E"/>
    <w:rsid w:val="00C026E5"/>
    <w:rsid w:val="00C02B1C"/>
    <w:rsid w:val="00C07875"/>
    <w:rsid w:val="00C10356"/>
    <w:rsid w:val="00C136F0"/>
    <w:rsid w:val="00C274C7"/>
    <w:rsid w:val="00C3055B"/>
    <w:rsid w:val="00C36DC5"/>
    <w:rsid w:val="00C37628"/>
    <w:rsid w:val="00C45B48"/>
    <w:rsid w:val="00C50EFF"/>
    <w:rsid w:val="00C554C6"/>
    <w:rsid w:val="00C56917"/>
    <w:rsid w:val="00C57830"/>
    <w:rsid w:val="00C61061"/>
    <w:rsid w:val="00C610D9"/>
    <w:rsid w:val="00C654FB"/>
    <w:rsid w:val="00C67220"/>
    <w:rsid w:val="00C674D6"/>
    <w:rsid w:val="00C71335"/>
    <w:rsid w:val="00C71E67"/>
    <w:rsid w:val="00C725C3"/>
    <w:rsid w:val="00C728D3"/>
    <w:rsid w:val="00C74EB4"/>
    <w:rsid w:val="00C77D2B"/>
    <w:rsid w:val="00C801E3"/>
    <w:rsid w:val="00C81ACD"/>
    <w:rsid w:val="00C81C0A"/>
    <w:rsid w:val="00C9242A"/>
    <w:rsid w:val="00C94F6D"/>
    <w:rsid w:val="00CA5279"/>
    <w:rsid w:val="00CA561F"/>
    <w:rsid w:val="00CA5D80"/>
    <w:rsid w:val="00CA7293"/>
    <w:rsid w:val="00CB3C56"/>
    <w:rsid w:val="00CB4494"/>
    <w:rsid w:val="00CB50C1"/>
    <w:rsid w:val="00CB743C"/>
    <w:rsid w:val="00CC0B8A"/>
    <w:rsid w:val="00CC1741"/>
    <w:rsid w:val="00CC46B2"/>
    <w:rsid w:val="00CC6A86"/>
    <w:rsid w:val="00CC70D1"/>
    <w:rsid w:val="00CD2CCD"/>
    <w:rsid w:val="00CD2F1B"/>
    <w:rsid w:val="00CD4D65"/>
    <w:rsid w:val="00CD71C1"/>
    <w:rsid w:val="00CE025C"/>
    <w:rsid w:val="00CE0945"/>
    <w:rsid w:val="00D104C2"/>
    <w:rsid w:val="00D1065B"/>
    <w:rsid w:val="00D131D9"/>
    <w:rsid w:val="00D17511"/>
    <w:rsid w:val="00D273DF"/>
    <w:rsid w:val="00D278DC"/>
    <w:rsid w:val="00D278FC"/>
    <w:rsid w:val="00D32741"/>
    <w:rsid w:val="00D33319"/>
    <w:rsid w:val="00D34F8B"/>
    <w:rsid w:val="00D45630"/>
    <w:rsid w:val="00D508B2"/>
    <w:rsid w:val="00D51C3F"/>
    <w:rsid w:val="00D5249E"/>
    <w:rsid w:val="00D53680"/>
    <w:rsid w:val="00D55970"/>
    <w:rsid w:val="00D55B17"/>
    <w:rsid w:val="00D6475C"/>
    <w:rsid w:val="00D67044"/>
    <w:rsid w:val="00D67F60"/>
    <w:rsid w:val="00D73C54"/>
    <w:rsid w:val="00D75F15"/>
    <w:rsid w:val="00D75FA9"/>
    <w:rsid w:val="00D80250"/>
    <w:rsid w:val="00D8095B"/>
    <w:rsid w:val="00D83837"/>
    <w:rsid w:val="00D83B87"/>
    <w:rsid w:val="00D83E35"/>
    <w:rsid w:val="00D85929"/>
    <w:rsid w:val="00D90A17"/>
    <w:rsid w:val="00D96158"/>
    <w:rsid w:val="00DA0000"/>
    <w:rsid w:val="00DA1269"/>
    <w:rsid w:val="00DA5129"/>
    <w:rsid w:val="00DA5D8F"/>
    <w:rsid w:val="00DB2047"/>
    <w:rsid w:val="00DB2DF7"/>
    <w:rsid w:val="00DB6B76"/>
    <w:rsid w:val="00DB7CD6"/>
    <w:rsid w:val="00DC1347"/>
    <w:rsid w:val="00DC294E"/>
    <w:rsid w:val="00DC3796"/>
    <w:rsid w:val="00DC7D1D"/>
    <w:rsid w:val="00DE11A1"/>
    <w:rsid w:val="00DE3991"/>
    <w:rsid w:val="00DE4393"/>
    <w:rsid w:val="00DE66CB"/>
    <w:rsid w:val="00DF246F"/>
    <w:rsid w:val="00DF2783"/>
    <w:rsid w:val="00E003D6"/>
    <w:rsid w:val="00E11BCD"/>
    <w:rsid w:val="00E15458"/>
    <w:rsid w:val="00E15610"/>
    <w:rsid w:val="00E20BAA"/>
    <w:rsid w:val="00E25B97"/>
    <w:rsid w:val="00E326BE"/>
    <w:rsid w:val="00E45803"/>
    <w:rsid w:val="00E52F76"/>
    <w:rsid w:val="00E53D3E"/>
    <w:rsid w:val="00E56E4D"/>
    <w:rsid w:val="00E61733"/>
    <w:rsid w:val="00E62E64"/>
    <w:rsid w:val="00E63185"/>
    <w:rsid w:val="00E70EA9"/>
    <w:rsid w:val="00E7460A"/>
    <w:rsid w:val="00E773F0"/>
    <w:rsid w:val="00E80F11"/>
    <w:rsid w:val="00E83253"/>
    <w:rsid w:val="00EA15DF"/>
    <w:rsid w:val="00EA225E"/>
    <w:rsid w:val="00EA2DC5"/>
    <w:rsid w:val="00EB0268"/>
    <w:rsid w:val="00EB0B54"/>
    <w:rsid w:val="00EB336E"/>
    <w:rsid w:val="00EB3D0C"/>
    <w:rsid w:val="00EC0AE8"/>
    <w:rsid w:val="00EC11C4"/>
    <w:rsid w:val="00EC3228"/>
    <w:rsid w:val="00EC69BE"/>
    <w:rsid w:val="00ED0457"/>
    <w:rsid w:val="00ED0C6A"/>
    <w:rsid w:val="00EE0346"/>
    <w:rsid w:val="00EE16D4"/>
    <w:rsid w:val="00EE1BC6"/>
    <w:rsid w:val="00EE6CEE"/>
    <w:rsid w:val="00EE6E13"/>
    <w:rsid w:val="00EF0A52"/>
    <w:rsid w:val="00EF7530"/>
    <w:rsid w:val="00F033BB"/>
    <w:rsid w:val="00F04E10"/>
    <w:rsid w:val="00F07832"/>
    <w:rsid w:val="00F12014"/>
    <w:rsid w:val="00F13DD6"/>
    <w:rsid w:val="00F1436C"/>
    <w:rsid w:val="00F14391"/>
    <w:rsid w:val="00F157D6"/>
    <w:rsid w:val="00F16060"/>
    <w:rsid w:val="00F27A5F"/>
    <w:rsid w:val="00F34F8C"/>
    <w:rsid w:val="00F35870"/>
    <w:rsid w:val="00F35EF1"/>
    <w:rsid w:val="00F425AF"/>
    <w:rsid w:val="00F524E6"/>
    <w:rsid w:val="00F52FA7"/>
    <w:rsid w:val="00F53EBF"/>
    <w:rsid w:val="00F55D07"/>
    <w:rsid w:val="00F567D5"/>
    <w:rsid w:val="00F57856"/>
    <w:rsid w:val="00F60918"/>
    <w:rsid w:val="00F673B1"/>
    <w:rsid w:val="00F70875"/>
    <w:rsid w:val="00F72177"/>
    <w:rsid w:val="00F745A5"/>
    <w:rsid w:val="00F75471"/>
    <w:rsid w:val="00F75A8E"/>
    <w:rsid w:val="00F77680"/>
    <w:rsid w:val="00F77A38"/>
    <w:rsid w:val="00F805D1"/>
    <w:rsid w:val="00F91103"/>
    <w:rsid w:val="00F97E17"/>
    <w:rsid w:val="00FA1187"/>
    <w:rsid w:val="00FA3CA8"/>
    <w:rsid w:val="00FA5F9B"/>
    <w:rsid w:val="00FA77EA"/>
    <w:rsid w:val="00FB1978"/>
    <w:rsid w:val="00FB4976"/>
    <w:rsid w:val="00FC2DBB"/>
    <w:rsid w:val="00FC7C41"/>
    <w:rsid w:val="00FD0C21"/>
    <w:rsid w:val="00FD3293"/>
    <w:rsid w:val="00FD33C2"/>
    <w:rsid w:val="00FE14ED"/>
    <w:rsid w:val="00FE19F7"/>
    <w:rsid w:val="00FE252A"/>
    <w:rsid w:val="00FF0212"/>
    <w:rsid w:val="00FF2F95"/>
    <w:rsid w:val="0117200F"/>
    <w:rsid w:val="011751BC"/>
    <w:rsid w:val="012B12ED"/>
    <w:rsid w:val="017342E8"/>
    <w:rsid w:val="01801E6D"/>
    <w:rsid w:val="01EF5823"/>
    <w:rsid w:val="01EF7CA0"/>
    <w:rsid w:val="020F4DF4"/>
    <w:rsid w:val="027F78A5"/>
    <w:rsid w:val="02821F8B"/>
    <w:rsid w:val="02AB6923"/>
    <w:rsid w:val="02D10E4F"/>
    <w:rsid w:val="03701044"/>
    <w:rsid w:val="039A5ABB"/>
    <w:rsid w:val="03A828B8"/>
    <w:rsid w:val="03B9F116"/>
    <w:rsid w:val="03C25D44"/>
    <w:rsid w:val="04027A0A"/>
    <w:rsid w:val="04175A71"/>
    <w:rsid w:val="04B536EF"/>
    <w:rsid w:val="05254420"/>
    <w:rsid w:val="0532195A"/>
    <w:rsid w:val="053F01A6"/>
    <w:rsid w:val="05B33017"/>
    <w:rsid w:val="05C428E8"/>
    <w:rsid w:val="060B1407"/>
    <w:rsid w:val="065166AE"/>
    <w:rsid w:val="065F1F5F"/>
    <w:rsid w:val="06E34D28"/>
    <w:rsid w:val="073747F4"/>
    <w:rsid w:val="07575512"/>
    <w:rsid w:val="07B15EC3"/>
    <w:rsid w:val="07DC0CE0"/>
    <w:rsid w:val="088B0E7D"/>
    <w:rsid w:val="08E13217"/>
    <w:rsid w:val="08F629AC"/>
    <w:rsid w:val="092378C3"/>
    <w:rsid w:val="09505A1F"/>
    <w:rsid w:val="09594956"/>
    <w:rsid w:val="09D42A36"/>
    <w:rsid w:val="09F34D67"/>
    <w:rsid w:val="0A422C4C"/>
    <w:rsid w:val="0AC567E5"/>
    <w:rsid w:val="0B09378E"/>
    <w:rsid w:val="0B1D589F"/>
    <w:rsid w:val="0B6A63F6"/>
    <w:rsid w:val="0B797AD6"/>
    <w:rsid w:val="0BFA5F10"/>
    <w:rsid w:val="0C041C25"/>
    <w:rsid w:val="0C193C05"/>
    <w:rsid w:val="0C870A18"/>
    <w:rsid w:val="0C9D4546"/>
    <w:rsid w:val="0CB10331"/>
    <w:rsid w:val="0D25360E"/>
    <w:rsid w:val="0D4943AA"/>
    <w:rsid w:val="0D686475"/>
    <w:rsid w:val="0DB75629"/>
    <w:rsid w:val="0DD32303"/>
    <w:rsid w:val="0E04510F"/>
    <w:rsid w:val="0E190A44"/>
    <w:rsid w:val="0E20704E"/>
    <w:rsid w:val="0E407103"/>
    <w:rsid w:val="0E9B098D"/>
    <w:rsid w:val="0EC964FA"/>
    <w:rsid w:val="0EE33EB5"/>
    <w:rsid w:val="0F5B64AD"/>
    <w:rsid w:val="0F8E2741"/>
    <w:rsid w:val="0FA47DD6"/>
    <w:rsid w:val="0FBD24CF"/>
    <w:rsid w:val="0FD117A1"/>
    <w:rsid w:val="0FE40C6F"/>
    <w:rsid w:val="0FF81E09"/>
    <w:rsid w:val="10585CEC"/>
    <w:rsid w:val="10644A0E"/>
    <w:rsid w:val="106A04C2"/>
    <w:rsid w:val="10D574E2"/>
    <w:rsid w:val="10DB7772"/>
    <w:rsid w:val="10EF6237"/>
    <w:rsid w:val="113D0F1F"/>
    <w:rsid w:val="116824DF"/>
    <w:rsid w:val="118F4BEA"/>
    <w:rsid w:val="11BF326F"/>
    <w:rsid w:val="11E27F4A"/>
    <w:rsid w:val="12033CD0"/>
    <w:rsid w:val="120C6E00"/>
    <w:rsid w:val="1219589E"/>
    <w:rsid w:val="12212379"/>
    <w:rsid w:val="126937C4"/>
    <w:rsid w:val="126D6D6E"/>
    <w:rsid w:val="12C206F0"/>
    <w:rsid w:val="12E00AD6"/>
    <w:rsid w:val="12F04C70"/>
    <w:rsid w:val="1346330B"/>
    <w:rsid w:val="137E03EF"/>
    <w:rsid w:val="13B33CDE"/>
    <w:rsid w:val="140C435F"/>
    <w:rsid w:val="144904F1"/>
    <w:rsid w:val="145B64B1"/>
    <w:rsid w:val="147315DD"/>
    <w:rsid w:val="14B56159"/>
    <w:rsid w:val="151E559F"/>
    <w:rsid w:val="152F4331"/>
    <w:rsid w:val="15893DDC"/>
    <w:rsid w:val="15B43D05"/>
    <w:rsid w:val="15F86A42"/>
    <w:rsid w:val="165C272F"/>
    <w:rsid w:val="165E54B6"/>
    <w:rsid w:val="16813F45"/>
    <w:rsid w:val="168A6A4C"/>
    <w:rsid w:val="16A83412"/>
    <w:rsid w:val="16D460E1"/>
    <w:rsid w:val="16DF7F94"/>
    <w:rsid w:val="171E0BB0"/>
    <w:rsid w:val="17AA7986"/>
    <w:rsid w:val="17DA512F"/>
    <w:rsid w:val="17F424B8"/>
    <w:rsid w:val="17FB9DE6"/>
    <w:rsid w:val="182A30BC"/>
    <w:rsid w:val="18E95C5C"/>
    <w:rsid w:val="18ED5B65"/>
    <w:rsid w:val="194359A2"/>
    <w:rsid w:val="194E221D"/>
    <w:rsid w:val="19DD7F71"/>
    <w:rsid w:val="19E03A99"/>
    <w:rsid w:val="1A373980"/>
    <w:rsid w:val="1A3E4966"/>
    <w:rsid w:val="1A631013"/>
    <w:rsid w:val="1AC51D8D"/>
    <w:rsid w:val="1B584EC1"/>
    <w:rsid w:val="1B955729"/>
    <w:rsid w:val="1BAC6117"/>
    <w:rsid w:val="1C166536"/>
    <w:rsid w:val="1C632899"/>
    <w:rsid w:val="1C6F1D53"/>
    <w:rsid w:val="1D7143EE"/>
    <w:rsid w:val="1D7F4949"/>
    <w:rsid w:val="1DA90CC4"/>
    <w:rsid w:val="1E2F6C5F"/>
    <w:rsid w:val="1E706D62"/>
    <w:rsid w:val="1E971B0B"/>
    <w:rsid w:val="1E9C69B3"/>
    <w:rsid w:val="1F156E58"/>
    <w:rsid w:val="1F6610B5"/>
    <w:rsid w:val="1F974091"/>
    <w:rsid w:val="1F97773E"/>
    <w:rsid w:val="1FCD2DE6"/>
    <w:rsid w:val="20241B1B"/>
    <w:rsid w:val="20467862"/>
    <w:rsid w:val="21686C84"/>
    <w:rsid w:val="2195187C"/>
    <w:rsid w:val="219D7A23"/>
    <w:rsid w:val="21AC0BAA"/>
    <w:rsid w:val="2211511A"/>
    <w:rsid w:val="2216150B"/>
    <w:rsid w:val="222411DB"/>
    <w:rsid w:val="22492C1D"/>
    <w:rsid w:val="22903A70"/>
    <w:rsid w:val="22BB2595"/>
    <w:rsid w:val="22EF5B86"/>
    <w:rsid w:val="230E6E75"/>
    <w:rsid w:val="2352163E"/>
    <w:rsid w:val="23713697"/>
    <w:rsid w:val="23F968EB"/>
    <w:rsid w:val="240105F3"/>
    <w:rsid w:val="24393675"/>
    <w:rsid w:val="245628EE"/>
    <w:rsid w:val="245D08FB"/>
    <w:rsid w:val="24903A01"/>
    <w:rsid w:val="24DD2A94"/>
    <w:rsid w:val="24FF212F"/>
    <w:rsid w:val="25756820"/>
    <w:rsid w:val="25881E3F"/>
    <w:rsid w:val="25D1410B"/>
    <w:rsid w:val="25DE2CAA"/>
    <w:rsid w:val="25FA1181"/>
    <w:rsid w:val="26072172"/>
    <w:rsid w:val="265C50C1"/>
    <w:rsid w:val="26F22DFD"/>
    <w:rsid w:val="27652A38"/>
    <w:rsid w:val="276A09BA"/>
    <w:rsid w:val="277E331D"/>
    <w:rsid w:val="27A95B8D"/>
    <w:rsid w:val="281341AD"/>
    <w:rsid w:val="28210ADD"/>
    <w:rsid w:val="28557A67"/>
    <w:rsid w:val="287F031C"/>
    <w:rsid w:val="29042F27"/>
    <w:rsid w:val="291A4886"/>
    <w:rsid w:val="292902FD"/>
    <w:rsid w:val="29635C68"/>
    <w:rsid w:val="298A73D6"/>
    <w:rsid w:val="299F5AC0"/>
    <w:rsid w:val="29B126FF"/>
    <w:rsid w:val="29E97C7D"/>
    <w:rsid w:val="2A07473A"/>
    <w:rsid w:val="2ADB298F"/>
    <w:rsid w:val="2B6BF881"/>
    <w:rsid w:val="2B6DB277"/>
    <w:rsid w:val="2B8E03B4"/>
    <w:rsid w:val="2BAC47A6"/>
    <w:rsid w:val="2BD55328"/>
    <w:rsid w:val="2BE60A2E"/>
    <w:rsid w:val="2C253726"/>
    <w:rsid w:val="2C5149CA"/>
    <w:rsid w:val="2D205019"/>
    <w:rsid w:val="2D626F34"/>
    <w:rsid w:val="2D772D22"/>
    <w:rsid w:val="2D7E373C"/>
    <w:rsid w:val="2D8442E5"/>
    <w:rsid w:val="2D897CE6"/>
    <w:rsid w:val="2DCB4C62"/>
    <w:rsid w:val="2DEF0F20"/>
    <w:rsid w:val="2E032E1E"/>
    <w:rsid w:val="2E095F59"/>
    <w:rsid w:val="2E4D7245"/>
    <w:rsid w:val="2E5674E6"/>
    <w:rsid w:val="2E642111"/>
    <w:rsid w:val="2E8812C2"/>
    <w:rsid w:val="2EFF5E67"/>
    <w:rsid w:val="2F0F155F"/>
    <w:rsid w:val="2F205699"/>
    <w:rsid w:val="2F2370E1"/>
    <w:rsid w:val="2F693E2E"/>
    <w:rsid w:val="2F9C0B69"/>
    <w:rsid w:val="2FBB61FB"/>
    <w:rsid w:val="2FE67D5C"/>
    <w:rsid w:val="301534A0"/>
    <w:rsid w:val="301F5855"/>
    <w:rsid w:val="30485ED8"/>
    <w:rsid w:val="30563C15"/>
    <w:rsid w:val="30913745"/>
    <w:rsid w:val="30B77D3E"/>
    <w:rsid w:val="30BA1C4D"/>
    <w:rsid w:val="31273174"/>
    <w:rsid w:val="314A3711"/>
    <w:rsid w:val="31554C27"/>
    <w:rsid w:val="31651D70"/>
    <w:rsid w:val="319C0684"/>
    <w:rsid w:val="31D611A0"/>
    <w:rsid w:val="32362CDC"/>
    <w:rsid w:val="323C2859"/>
    <w:rsid w:val="32635C2F"/>
    <w:rsid w:val="327860C3"/>
    <w:rsid w:val="32B33AB5"/>
    <w:rsid w:val="32FA3297"/>
    <w:rsid w:val="335749BE"/>
    <w:rsid w:val="33585D68"/>
    <w:rsid w:val="335C5648"/>
    <w:rsid w:val="33B88329"/>
    <w:rsid w:val="34036945"/>
    <w:rsid w:val="34191C11"/>
    <w:rsid w:val="342C3E3D"/>
    <w:rsid w:val="34693CAB"/>
    <w:rsid w:val="34864F9A"/>
    <w:rsid w:val="34D1473F"/>
    <w:rsid w:val="34F862F3"/>
    <w:rsid w:val="355B70F7"/>
    <w:rsid w:val="364526EB"/>
    <w:rsid w:val="3669665E"/>
    <w:rsid w:val="366F6159"/>
    <w:rsid w:val="369C3B11"/>
    <w:rsid w:val="371A53B1"/>
    <w:rsid w:val="37384BF9"/>
    <w:rsid w:val="37397E6A"/>
    <w:rsid w:val="37954D1E"/>
    <w:rsid w:val="381551E7"/>
    <w:rsid w:val="3833662D"/>
    <w:rsid w:val="38400EC5"/>
    <w:rsid w:val="38642910"/>
    <w:rsid w:val="3870249A"/>
    <w:rsid w:val="389340F9"/>
    <w:rsid w:val="38A57FCE"/>
    <w:rsid w:val="38AF4092"/>
    <w:rsid w:val="38BE3C42"/>
    <w:rsid w:val="39157CE2"/>
    <w:rsid w:val="396B0EF2"/>
    <w:rsid w:val="3985467E"/>
    <w:rsid w:val="39855E84"/>
    <w:rsid w:val="39875551"/>
    <w:rsid w:val="39990E87"/>
    <w:rsid w:val="39A209FC"/>
    <w:rsid w:val="39D16669"/>
    <w:rsid w:val="3A0B26A6"/>
    <w:rsid w:val="3A23094F"/>
    <w:rsid w:val="3A465E04"/>
    <w:rsid w:val="3A4D52D1"/>
    <w:rsid w:val="3A637E01"/>
    <w:rsid w:val="3AB80818"/>
    <w:rsid w:val="3AC32F8B"/>
    <w:rsid w:val="3B175142"/>
    <w:rsid w:val="3B3F6FCD"/>
    <w:rsid w:val="3B70419B"/>
    <w:rsid w:val="3B7D7B64"/>
    <w:rsid w:val="3B7F94AC"/>
    <w:rsid w:val="3BB579BA"/>
    <w:rsid w:val="3BB63920"/>
    <w:rsid w:val="3BCD0AA4"/>
    <w:rsid w:val="3C065F3A"/>
    <w:rsid w:val="3C204945"/>
    <w:rsid w:val="3C616A46"/>
    <w:rsid w:val="3CA224D0"/>
    <w:rsid w:val="3CD31D79"/>
    <w:rsid w:val="3CDE64C1"/>
    <w:rsid w:val="3D1C0851"/>
    <w:rsid w:val="3D20483B"/>
    <w:rsid w:val="3D752389"/>
    <w:rsid w:val="3D7D0539"/>
    <w:rsid w:val="3DA5041E"/>
    <w:rsid w:val="3DAB635C"/>
    <w:rsid w:val="3DB26DD6"/>
    <w:rsid w:val="3DB47D88"/>
    <w:rsid w:val="3E044825"/>
    <w:rsid w:val="3E11515B"/>
    <w:rsid w:val="3E1931BA"/>
    <w:rsid w:val="3E5C2E17"/>
    <w:rsid w:val="3EFF70D4"/>
    <w:rsid w:val="3F2C6C3B"/>
    <w:rsid w:val="3F6D39EB"/>
    <w:rsid w:val="3F7502CF"/>
    <w:rsid w:val="3F915929"/>
    <w:rsid w:val="3FBA4607"/>
    <w:rsid w:val="3FC1499E"/>
    <w:rsid w:val="3FD674C8"/>
    <w:rsid w:val="3FE312E4"/>
    <w:rsid w:val="3FEC64EA"/>
    <w:rsid w:val="406639DA"/>
    <w:rsid w:val="4067292E"/>
    <w:rsid w:val="40740434"/>
    <w:rsid w:val="40C74306"/>
    <w:rsid w:val="41101845"/>
    <w:rsid w:val="412F31EA"/>
    <w:rsid w:val="41422731"/>
    <w:rsid w:val="41554985"/>
    <w:rsid w:val="41A13D69"/>
    <w:rsid w:val="41C65B40"/>
    <w:rsid w:val="426C58F2"/>
    <w:rsid w:val="42824774"/>
    <w:rsid w:val="428F5BE7"/>
    <w:rsid w:val="42960DD3"/>
    <w:rsid w:val="42CD644F"/>
    <w:rsid w:val="42D718D0"/>
    <w:rsid w:val="435C3A27"/>
    <w:rsid w:val="44172360"/>
    <w:rsid w:val="442171DA"/>
    <w:rsid w:val="44421337"/>
    <w:rsid w:val="446A7141"/>
    <w:rsid w:val="4488431C"/>
    <w:rsid w:val="449F5755"/>
    <w:rsid w:val="44C51F9F"/>
    <w:rsid w:val="44D176B9"/>
    <w:rsid w:val="44DC1515"/>
    <w:rsid w:val="453D1316"/>
    <w:rsid w:val="45493C18"/>
    <w:rsid w:val="45564C25"/>
    <w:rsid w:val="4597118E"/>
    <w:rsid w:val="45AC665C"/>
    <w:rsid w:val="45E302C7"/>
    <w:rsid w:val="46343051"/>
    <w:rsid w:val="463D50A2"/>
    <w:rsid w:val="463F342A"/>
    <w:rsid w:val="46A21DDD"/>
    <w:rsid w:val="46CD68B5"/>
    <w:rsid w:val="470F6EB3"/>
    <w:rsid w:val="486401D4"/>
    <w:rsid w:val="488866C2"/>
    <w:rsid w:val="48B11C7F"/>
    <w:rsid w:val="49321093"/>
    <w:rsid w:val="49724EF7"/>
    <w:rsid w:val="49A75C69"/>
    <w:rsid w:val="49B969CE"/>
    <w:rsid w:val="49E15421"/>
    <w:rsid w:val="4A0A7924"/>
    <w:rsid w:val="4A920770"/>
    <w:rsid w:val="4A976B61"/>
    <w:rsid w:val="4AD80435"/>
    <w:rsid w:val="4AEA124A"/>
    <w:rsid w:val="4B156EC4"/>
    <w:rsid w:val="4B6C7A28"/>
    <w:rsid w:val="4BB84EF6"/>
    <w:rsid w:val="4C120790"/>
    <w:rsid w:val="4C191022"/>
    <w:rsid w:val="4C4E693F"/>
    <w:rsid w:val="4C6379A4"/>
    <w:rsid w:val="4C6B53CC"/>
    <w:rsid w:val="4C6F2454"/>
    <w:rsid w:val="4C8526B3"/>
    <w:rsid w:val="4C914C1F"/>
    <w:rsid w:val="4CC85C93"/>
    <w:rsid w:val="4CDD0906"/>
    <w:rsid w:val="4CFB5D71"/>
    <w:rsid w:val="4D567D58"/>
    <w:rsid w:val="4D69784B"/>
    <w:rsid w:val="4D7230D7"/>
    <w:rsid w:val="4DC75806"/>
    <w:rsid w:val="4DDE5104"/>
    <w:rsid w:val="4E083C20"/>
    <w:rsid w:val="4EA327D6"/>
    <w:rsid w:val="4EA86D67"/>
    <w:rsid w:val="4F125FFF"/>
    <w:rsid w:val="4F3D749A"/>
    <w:rsid w:val="4F67239E"/>
    <w:rsid w:val="4FA94C68"/>
    <w:rsid w:val="4FDE0159"/>
    <w:rsid w:val="4FEF0101"/>
    <w:rsid w:val="50B14CE7"/>
    <w:rsid w:val="50BF4A9C"/>
    <w:rsid w:val="50D25872"/>
    <w:rsid w:val="511812A3"/>
    <w:rsid w:val="51545F54"/>
    <w:rsid w:val="518D08B7"/>
    <w:rsid w:val="51D4317E"/>
    <w:rsid w:val="51D747A7"/>
    <w:rsid w:val="5234433A"/>
    <w:rsid w:val="52F638CF"/>
    <w:rsid w:val="54224E43"/>
    <w:rsid w:val="543A2D74"/>
    <w:rsid w:val="54615AB2"/>
    <w:rsid w:val="546C3C8A"/>
    <w:rsid w:val="548943B5"/>
    <w:rsid w:val="54B45ED4"/>
    <w:rsid w:val="54BA4E33"/>
    <w:rsid w:val="55917689"/>
    <w:rsid w:val="55987192"/>
    <w:rsid w:val="55B31E70"/>
    <w:rsid w:val="55F34199"/>
    <w:rsid w:val="55F36979"/>
    <w:rsid w:val="5669D58D"/>
    <w:rsid w:val="56783B57"/>
    <w:rsid w:val="57040D69"/>
    <w:rsid w:val="57065D08"/>
    <w:rsid w:val="572A6A6D"/>
    <w:rsid w:val="575C7049"/>
    <w:rsid w:val="57930B83"/>
    <w:rsid w:val="581C4040"/>
    <w:rsid w:val="58572753"/>
    <w:rsid w:val="58DB5A6B"/>
    <w:rsid w:val="58E4717D"/>
    <w:rsid w:val="590D161C"/>
    <w:rsid w:val="595E6E67"/>
    <w:rsid w:val="59A94E90"/>
    <w:rsid w:val="59DA63E7"/>
    <w:rsid w:val="59DD7FC8"/>
    <w:rsid w:val="59F91E11"/>
    <w:rsid w:val="5A1B3E0A"/>
    <w:rsid w:val="5A390884"/>
    <w:rsid w:val="5A4E1826"/>
    <w:rsid w:val="5A560223"/>
    <w:rsid w:val="5A865516"/>
    <w:rsid w:val="5A993757"/>
    <w:rsid w:val="5B1E47EC"/>
    <w:rsid w:val="5B1E4D72"/>
    <w:rsid w:val="5B6E563D"/>
    <w:rsid w:val="5B7322CC"/>
    <w:rsid w:val="5B75279E"/>
    <w:rsid w:val="5C1974E4"/>
    <w:rsid w:val="5C460FDC"/>
    <w:rsid w:val="5C7C5F18"/>
    <w:rsid w:val="5C846B21"/>
    <w:rsid w:val="5CA63257"/>
    <w:rsid w:val="5CBE4010"/>
    <w:rsid w:val="5D053502"/>
    <w:rsid w:val="5D0A056A"/>
    <w:rsid w:val="5D41461D"/>
    <w:rsid w:val="5D6508BD"/>
    <w:rsid w:val="5D8E2014"/>
    <w:rsid w:val="5D9A5E56"/>
    <w:rsid w:val="5DAE3020"/>
    <w:rsid w:val="5DE27434"/>
    <w:rsid w:val="5DE47DA4"/>
    <w:rsid w:val="5DEF286B"/>
    <w:rsid w:val="5DF413ED"/>
    <w:rsid w:val="5DF69CF8"/>
    <w:rsid w:val="5DF95F9C"/>
    <w:rsid w:val="5E147B8D"/>
    <w:rsid w:val="5EDD2AB0"/>
    <w:rsid w:val="5F266E26"/>
    <w:rsid w:val="5F375C2A"/>
    <w:rsid w:val="5F5E5B1D"/>
    <w:rsid w:val="5F7FAA48"/>
    <w:rsid w:val="5F8341DB"/>
    <w:rsid w:val="5F9578A4"/>
    <w:rsid w:val="5FAD15E6"/>
    <w:rsid w:val="5FDF232E"/>
    <w:rsid w:val="5FEF19B4"/>
    <w:rsid w:val="603E15C9"/>
    <w:rsid w:val="60C36E25"/>
    <w:rsid w:val="61272FBF"/>
    <w:rsid w:val="614A1432"/>
    <w:rsid w:val="61C661CE"/>
    <w:rsid w:val="61CC3DB2"/>
    <w:rsid w:val="62435622"/>
    <w:rsid w:val="627A3564"/>
    <w:rsid w:val="62941B24"/>
    <w:rsid w:val="6299584E"/>
    <w:rsid w:val="629F3815"/>
    <w:rsid w:val="62C01DC5"/>
    <w:rsid w:val="62C24366"/>
    <w:rsid w:val="62DA50E5"/>
    <w:rsid w:val="62DD50B0"/>
    <w:rsid w:val="63267352"/>
    <w:rsid w:val="632C1D46"/>
    <w:rsid w:val="63AB4061"/>
    <w:rsid w:val="63CC5006"/>
    <w:rsid w:val="640E0110"/>
    <w:rsid w:val="64316AF5"/>
    <w:rsid w:val="64654174"/>
    <w:rsid w:val="64943938"/>
    <w:rsid w:val="64A8064F"/>
    <w:rsid w:val="64AF18BF"/>
    <w:rsid w:val="64E87E57"/>
    <w:rsid w:val="65685E54"/>
    <w:rsid w:val="657970F2"/>
    <w:rsid w:val="65C21A2B"/>
    <w:rsid w:val="65C51E38"/>
    <w:rsid w:val="65D00821"/>
    <w:rsid w:val="65DD7C35"/>
    <w:rsid w:val="6694448D"/>
    <w:rsid w:val="669932F4"/>
    <w:rsid w:val="66A876C6"/>
    <w:rsid w:val="66C90F6F"/>
    <w:rsid w:val="66D50661"/>
    <w:rsid w:val="673455BE"/>
    <w:rsid w:val="6740583F"/>
    <w:rsid w:val="67663E4D"/>
    <w:rsid w:val="67933F17"/>
    <w:rsid w:val="67AB4571"/>
    <w:rsid w:val="686F7379"/>
    <w:rsid w:val="687365CF"/>
    <w:rsid w:val="68886BE5"/>
    <w:rsid w:val="68A05261"/>
    <w:rsid w:val="68A23707"/>
    <w:rsid w:val="68E935DB"/>
    <w:rsid w:val="68F254C5"/>
    <w:rsid w:val="68FB7E16"/>
    <w:rsid w:val="69195372"/>
    <w:rsid w:val="691A453F"/>
    <w:rsid w:val="69274004"/>
    <w:rsid w:val="692E473C"/>
    <w:rsid w:val="693101DE"/>
    <w:rsid w:val="693B523C"/>
    <w:rsid w:val="693E1797"/>
    <w:rsid w:val="6A4017ED"/>
    <w:rsid w:val="6AE017B0"/>
    <w:rsid w:val="6AE04B3A"/>
    <w:rsid w:val="6AED6BA9"/>
    <w:rsid w:val="6B3B15DD"/>
    <w:rsid w:val="6B516F0A"/>
    <w:rsid w:val="6B543433"/>
    <w:rsid w:val="6B8F153F"/>
    <w:rsid w:val="6BB26F50"/>
    <w:rsid w:val="6BD901D8"/>
    <w:rsid w:val="6BF954F4"/>
    <w:rsid w:val="6C19145C"/>
    <w:rsid w:val="6C76100D"/>
    <w:rsid w:val="6C7E5C7F"/>
    <w:rsid w:val="6C9043F1"/>
    <w:rsid w:val="6CA3576B"/>
    <w:rsid w:val="6CDD087B"/>
    <w:rsid w:val="6D056AC7"/>
    <w:rsid w:val="6D227EB8"/>
    <w:rsid w:val="6D9D7C2F"/>
    <w:rsid w:val="6DE43FB0"/>
    <w:rsid w:val="6DEF61B8"/>
    <w:rsid w:val="6DF63108"/>
    <w:rsid w:val="6E024128"/>
    <w:rsid w:val="6E2C56AE"/>
    <w:rsid w:val="6E2F2F73"/>
    <w:rsid w:val="6EAD4456"/>
    <w:rsid w:val="6EC025EE"/>
    <w:rsid w:val="6EDD8823"/>
    <w:rsid w:val="6EFE3769"/>
    <w:rsid w:val="6F186967"/>
    <w:rsid w:val="6F1D1180"/>
    <w:rsid w:val="6F3434CB"/>
    <w:rsid w:val="6F386015"/>
    <w:rsid w:val="6F495E12"/>
    <w:rsid w:val="6F550296"/>
    <w:rsid w:val="6F754020"/>
    <w:rsid w:val="6F8A0F36"/>
    <w:rsid w:val="6FAE5E46"/>
    <w:rsid w:val="6FC46702"/>
    <w:rsid w:val="6FC714F3"/>
    <w:rsid w:val="6FCB5181"/>
    <w:rsid w:val="6FD18F45"/>
    <w:rsid w:val="6FF4E385"/>
    <w:rsid w:val="6FF96BEE"/>
    <w:rsid w:val="6FFFD4A2"/>
    <w:rsid w:val="70012184"/>
    <w:rsid w:val="701E1A4D"/>
    <w:rsid w:val="702448F5"/>
    <w:rsid w:val="7081655F"/>
    <w:rsid w:val="712D2B3F"/>
    <w:rsid w:val="71B47D4C"/>
    <w:rsid w:val="71D47D71"/>
    <w:rsid w:val="723243C6"/>
    <w:rsid w:val="72730C80"/>
    <w:rsid w:val="72874056"/>
    <w:rsid w:val="72C55C7B"/>
    <w:rsid w:val="72ED4CAF"/>
    <w:rsid w:val="72F72286"/>
    <w:rsid w:val="72FF5293"/>
    <w:rsid w:val="7327F7A6"/>
    <w:rsid w:val="732D54DD"/>
    <w:rsid w:val="7342774E"/>
    <w:rsid w:val="738D644C"/>
    <w:rsid w:val="73D00BD3"/>
    <w:rsid w:val="74333504"/>
    <w:rsid w:val="746F4A2E"/>
    <w:rsid w:val="747A37AA"/>
    <w:rsid w:val="749D7B9D"/>
    <w:rsid w:val="74A94C1D"/>
    <w:rsid w:val="74BE5644"/>
    <w:rsid w:val="74C2206F"/>
    <w:rsid w:val="74C66E02"/>
    <w:rsid w:val="75497240"/>
    <w:rsid w:val="754C708C"/>
    <w:rsid w:val="755F5401"/>
    <w:rsid w:val="75730131"/>
    <w:rsid w:val="7581767E"/>
    <w:rsid w:val="75D45610"/>
    <w:rsid w:val="76AE3D87"/>
    <w:rsid w:val="76C259CF"/>
    <w:rsid w:val="76FC11DC"/>
    <w:rsid w:val="76FF9F9D"/>
    <w:rsid w:val="7713706D"/>
    <w:rsid w:val="7767B54E"/>
    <w:rsid w:val="777B6246"/>
    <w:rsid w:val="779F1CBD"/>
    <w:rsid w:val="77AF4385"/>
    <w:rsid w:val="77AF43B2"/>
    <w:rsid w:val="77B77F7A"/>
    <w:rsid w:val="77C57A2E"/>
    <w:rsid w:val="77D84963"/>
    <w:rsid w:val="783C02E5"/>
    <w:rsid w:val="78B86BE1"/>
    <w:rsid w:val="78EF2784"/>
    <w:rsid w:val="790C0783"/>
    <w:rsid w:val="7961044A"/>
    <w:rsid w:val="79851814"/>
    <w:rsid w:val="79A42C60"/>
    <w:rsid w:val="79A95B27"/>
    <w:rsid w:val="79B40235"/>
    <w:rsid w:val="79C945AC"/>
    <w:rsid w:val="79F0408C"/>
    <w:rsid w:val="79F1316C"/>
    <w:rsid w:val="79F6D27F"/>
    <w:rsid w:val="7A572696"/>
    <w:rsid w:val="7B2B37FD"/>
    <w:rsid w:val="7B3249C1"/>
    <w:rsid w:val="7B3573F7"/>
    <w:rsid w:val="7B93605D"/>
    <w:rsid w:val="7B963FE6"/>
    <w:rsid w:val="7BB36B1A"/>
    <w:rsid w:val="7BEB4F24"/>
    <w:rsid w:val="7C3D3677"/>
    <w:rsid w:val="7C532AD0"/>
    <w:rsid w:val="7C676ECE"/>
    <w:rsid w:val="7CA95AA7"/>
    <w:rsid w:val="7CB83FA9"/>
    <w:rsid w:val="7D2046AD"/>
    <w:rsid w:val="7D5C6603"/>
    <w:rsid w:val="7D6C6BA0"/>
    <w:rsid w:val="7D897B04"/>
    <w:rsid w:val="7DAA395C"/>
    <w:rsid w:val="7DB125A7"/>
    <w:rsid w:val="7DBE3591"/>
    <w:rsid w:val="7DFD46D6"/>
    <w:rsid w:val="7DFFEAC7"/>
    <w:rsid w:val="7E7EE860"/>
    <w:rsid w:val="7EA90D9E"/>
    <w:rsid w:val="7ED10999"/>
    <w:rsid w:val="7ED90DC6"/>
    <w:rsid w:val="7EFF7407"/>
    <w:rsid w:val="7F6252CE"/>
    <w:rsid w:val="7F657765"/>
    <w:rsid w:val="7F6FF6F2"/>
    <w:rsid w:val="7F8D7DAC"/>
    <w:rsid w:val="7FD5CF72"/>
    <w:rsid w:val="7FDB3128"/>
    <w:rsid w:val="7FF7BCCC"/>
    <w:rsid w:val="7FF832DC"/>
    <w:rsid w:val="827F7AD0"/>
    <w:rsid w:val="A7EF4D4C"/>
    <w:rsid w:val="ADBF66DC"/>
    <w:rsid w:val="AEFDE46F"/>
    <w:rsid w:val="B236FCF0"/>
    <w:rsid w:val="B5DB85FF"/>
    <w:rsid w:val="B75E5516"/>
    <w:rsid w:val="B7FF0AAB"/>
    <w:rsid w:val="BCCFE901"/>
    <w:rsid w:val="BCDB9A5D"/>
    <w:rsid w:val="BD7C85C2"/>
    <w:rsid w:val="BE7E2F5B"/>
    <w:rsid w:val="BF7BC70F"/>
    <w:rsid w:val="BFEBF04B"/>
    <w:rsid w:val="CB7F13FD"/>
    <w:rsid w:val="CDF34DDC"/>
    <w:rsid w:val="D6FECE65"/>
    <w:rsid w:val="D7DEF9FB"/>
    <w:rsid w:val="D7DF1E7A"/>
    <w:rsid w:val="D9DD14EA"/>
    <w:rsid w:val="DE2FABCC"/>
    <w:rsid w:val="DEFFFB1D"/>
    <w:rsid w:val="DFB5309C"/>
    <w:rsid w:val="E32F5C6E"/>
    <w:rsid w:val="E3DB27C3"/>
    <w:rsid w:val="E6971F3C"/>
    <w:rsid w:val="E7BFE175"/>
    <w:rsid w:val="E7F76B58"/>
    <w:rsid w:val="E96FDA67"/>
    <w:rsid w:val="E9BF9488"/>
    <w:rsid w:val="EB742704"/>
    <w:rsid w:val="EFFF1259"/>
    <w:rsid w:val="F27E3702"/>
    <w:rsid w:val="F6B703F4"/>
    <w:rsid w:val="F7BD60F2"/>
    <w:rsid w:val="F7E2C46B"/>
    <w:rsid w:val="F7EEB466"/>
    <w:rsid w:val="F9712917"/>
    <w:rsid w:val="FA69E2F1"/>
    <w:rsid w:val="FBFE1FF3"/>
    <w:rsid w:val="FC6E8EFB"/>
    <w:rsid w:val="FCB705A2"/>
    <w:rsid w:val="FCFE50C4"/>
    <w:rsid w:val="FD584CD2"/>
    <w:rsid w:val="FDE67630"/>
    <w:rsid w:val="FF272300"/>
    <w:rsid w:val="FF7E07E7"/>
    <w:rsid w:val="FF8DD075"/>
    <w:rsid w:val="FFB69D17"/>
    <w:rsid w:val="FFD72689"/>
    <w:rsid w:val="FFDF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0" w:name="endnote reference"/>
    <w:lsdException w:qFormat="1" w:uiPriority="0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semiHidden/>
    <w:unhideWhenUsed/>
    <w:qFormat/>
    <w:uiPriority w:val="99"/>
    <w:pPr>
      <w:jc w:val="left"/>
    </w:pPr>
  </w:style>
  <w:style w:type="paragraph" w:styleId="5">
    <w:name w:val="endnote text"/>
    <w:basedOn w:val="1"/>
    <w:link w:val="20"/>
    <w:unhideWhenUsed/>
    <w:qFormat/>
    <w:uiPriority w:val="0"/>
    <w:pPr>
      <w:snapToGrid w:val="0"/>
      <w:jc w:val="left"/>
    </w:pPr>
  </w:style>
  <w:style w:type="paragraph" w:styleId="6">
    <w:name w:val="Balloon Text"/>
    <w:basedOn w:val="1"/>
    <w:link w:val="21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footnote text"/>
    <w:basedOn w:val="1"/>
    <w:link w:val="17"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endnote reference"/>
    <w:semiHidden/>
    <w:unhideWhenUsed/>
    <w:qFormat/>
    <w:uiPriority w:val="0"/>
    <w:rPr>
      <w:vertAlign w:val="superscript"/>
    </w:rPr>
  </w:style>
  <w:style w:type="character" w:styleId="15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styleId="16">
    <w:name w:val="footnote reference"/>
    <w:unhideWhenUsed/>
    <w:qFormat/>
    <w:uiPriority w:val="99"/>
    <w:rPr>
      <w:vertAlign w:val="superscript"/>
    </w:rPr>
  </w:style>
  <w:style w:type="character" w:customStyle="1" w:styleId="17">
    <w:name w:val="脚注文本 Char"/>
    <w:link w:val="9"/>
    <w:semiHidden/>
    <w:qFormat/>
    <w:uiPriority w:val="99"/>
    <w:rPr>
      <w:rFonts w:ascii="Times New Roman" w:hAnsi="Times New Roman" w:eastAsia="宋体"/>
      <w:kern w:val="2"/>
      <w:sz w:val="18"/>
      <w:szCs w:val="18"/>
    </w:rPr>
  </w:style>
  <w:style w:type="character" w:customStyle="1" w:styleId="18">
    <w:name w:val="页眉 Char"/>
    <w:link w:val="8"/>
    <w:qFormat/>
    <w:uiPriority w:val="99"/>
    <w:rPr>
      <w:rFonts w:ascii="Times New Roman" w:hAnsi="Times New Roman" w:eastAsia="宋体"/>
      <w:kern w:val="2"/>
      <w:sz w:val="18"/>
      <w:szCs w:val="18"/>
    </w:rPr>
  </w:style>
  <w:style w:type="character" w:customStyle="1" w:styleId="19">
    <w:name w:val="页脚 Char"/>
    <w:link w:val="7"/>
    <w:qFormat/>
    <w:uiPriority w:val="99"/>
    <w:rPr>
      <w:rFonts w:ascii="Times New Roman" w:hAnsi="Times New Roman" w:eastAsia="宋体"/>
      <w:kern w:val="2"/>
      <w:sz w:val="18"/>
      <w:szCs w:val="18"/>
    </w:rPr>
  </w:style>
  <w:style w:type="character" w:customStyle="1" w:styleId="20">
    <w:name w:val="尾注文本 Char"/>
    <w:link w:val="5"/>
    <w:qFormat/>
    <w:uiPriority w:val="0"/>
    <w:rPr>
      <w:rFonts w:ascii="Times New Roman" w:hAnsi="Times New Roman" w:eastAsia="宋体"/>
      <w:kern w:val="2"/>
      <w:sz w:val="21"/>
      <w:szCs w:val="24"/>
    </w:rPr>
  </w:style>
  <w:style w:type="character" w:customStyle="1" w:styleId="21">
    <w:name w:val="批注框文本 Char"/>
    <w:basedOn w:val="12"/>
    <w:link w:val="6"/>
    <w:semiHidden/>
    <w:qFormat/>
    <w:uiPriority w:val="99"/>
    <w:rPr>
      <w:rFonts w:ascii="Times New Roman" w:hAnsi="Times New Roman" w:eastAsia="宋体"/>
      <w:kern w:val="2"/>
      <w:sz w:val="18"/>
      <w:szCs w:val="18"/>
    </w:rPr>
  </w:style>
  <w:style w:type="character" w:customStyle="1" w:styleId="22">
    <w:name w:val="标题 2 Char"/>
    <w:basedOn w:val="12"/>
    <w:link w:val="3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2.xml"/><Relationship Id="rId8" Type="http://schemas.openxmlformats.org/officeDocument/2006/relationships/chart" Target="charts/chart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chart" Target="charts/chart11.xml"/><Relationship Id="rId17" Type="http://schemas.openxmlformats.org/officeDocument/2006/relationships/chart" Target="charts/chart10.xml"/><Relationship Id="rId16" Type="http://schemas.openxmlformats.org/officeDocument/2006/relationships/chart" Target="charts/chart9.xml"/><Relationship Id="rId15" Type="http://schemas.openxmlformats.org/officeDocument/2006/relationships/chart" Target="charts/chart8.xml"/><Relationship Id="rId14" Type="http://schemas.openxmlformats.org/officeDocument/2006/relationships/chart" Target="charts/chart7.xml"/><Relationship Id="rId13" Type="http://schemas.openxmlformats.org/officeDocument/2006/relationships/chart" Target="charts/chart6.xml"/><Relationship Id="rId12" Type="http://schemas.openxmlformats.org/officeDocument/2006/relationships/chart" Target="charts/chart5.xml"/><Relationship Id="rId11" Type="http://schemas.openxmlformats.org/officeDocument/2006/relationships/chart" Target="charts/chart4.xml"/><Relationship Id="rId10" Type="http://schemas.openxmlformats.org/officeDocument/2006/relationships/chart" Target="charts/chart3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G:\&#25105;&#25509;&#25163;&#30340;&#24037;&#20316;\&#32479;&#35745;&#20844;&#25253;\2025&#20844;&#25253;\&#20844;&#25253;&#34920;&#26684;.xlsx" TargetMode="External"/></Relationships>
</file>

<file path=word/charts/_rels/chart2.xml.rels><?xml version="1.0" encoding="UTF-8" standalone="yes"?>
<Relationships xmlns="http://schemas.openxmlformats.org/package/2006/relationships"><Relationship Id="rId4" Type="http://schemas.microsoft.com/office/2011/relationships/chartColorStyle" Target="colors1.xml"/><Relationship Id="rId3" Type="http://schemas.microsoft.com/office/2011/relationships/chartStyle" Target="style1.xml"/><Relationship Id="rId2" Type="http://schemas.openxmlformats.org/officeDocument/2006/relationships/chartUserShapes" Target="../drawings/drawing1.xml"/><Relationship Id="rId1" Type="http://schemas.openxmlformats.org/officeDocument/2006/relationships/oleObject" Target="file:///G:\&#25105;&#25509;&#25163;&#30340;&#24037;&#20316;\&#32479;&#35745;&#20844;&#25253;\2025&#20844;&#25253;\&#20844;&#25253;&#34920;&#26684;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Dell\Desktop\&#20844;&#25253;2025\&#20844;&#25253;&#34920;&#26684;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file:///C:\Users\Dell\Desktop\&#20844;&#25253;2025\&#20844;&#25253;&#34920;&#26684;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G:\&#25105;&#25509;&#25163;&#30340;&#24037;&#20316;\&#32479;&#35745;&#20844;&#25253;\2025&#20844;&#25253;\&#20844;&#25253;&#34920;&#26684;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Dell\Desktop\&#20844;&#25253;2025\&#20844;&#25253;&#34920;&#26684;.xlsx" TargetMode="External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Dell\Desktop\&#20844;&#25253;2025\&#20844;&#25253;&#34920;&#26684;.xlsx" TargetMode="External"/></Relationships>
</file>

<file path=word/charts/_rels/chart8.xml.rels><?xml version="1.0" encoding="UTF-8" standalone="yes"?>
<Relationships xmlns="http://schemas.openxmlformats.org/package/2006/relationships"><Relationship Id="rId3" Type="http://schemas.microsoft.com/office/2011/relationships/chartColorStyle" Target="colors5.xml"/><Relationship Id="rId2" Type="http://schemas.microsoft.com/office/2011/relationships/chartStyle" Target="style5.xml"/><Relationship Id="rId1" Type="http://schemas.openxmlformats.org/officeDocument/2006/relationships/oleObject" Target="/home/kylin/&#26700;&#38754;/Office+Excel.xlsx" TargetMode="External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oleObject" Target="file:///G:\&#25105;&#25509;&#25163;&#30340;&#24037;&#20316;\&#32479;&#35745;&#20844;&#25253;\2025&#20844;&#25253;\&#20844;&#25253;&#34920;&#26684;.xlsx" TargetMode="External"/></Relationships>
</file>

<file path=word/charts/_rels/chart10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oleObject" Target="file:///G:\&#25105;&#25509;&#25163;&#30340;&#24037;&#20316;\&#32479;&#35745;&#20844;&#25253;\2025&#20844;&#25253;\&#20844;&#25253;&#34920;&#26684;.xlsx" TargetMode="External"/></Relationships>
</file>

<file path=word/charts/_rels/chart11.xml.rels><?xml version="1.0" encoding="UTF-8" standalone="yes"?>
<Relationships xmlns="http://schemas.openxmlformats.org/package/2006/relationships"><Relationship Id="rId1" Type="http://schemas.openxmlformats.org/officeDocument/2006/relationships/oleObject" Target="file:///G:\&#25105;&#25509;&#25163;&#30340;&#24037;&#20316;\&#32479;&#35745;&#20844;&#25253;\2025&#20844;&#25253;\&#20844;&#25253;&#34920;&#2668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8116469517743"/>
          <c:y val="0.147052329432546"/>
          <c:w val="0.765677888989991"/>
          <c:h val="0.64658865091631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[公报表格.xlsx]Sheet1!$B$1</c:f>
              <c:strCache>
                <c:ptCount val="1"/>
                <c:pt idx="0">
                  <c:v>全市生产总值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1">
                  <a:lumMod val="75000"/>
                </a:schemeClr>
              </a:solidFill>
              <a:ln>
                <a:noFill/>
              </a:ln>
              <a:effectLst>
                <a:outerShdw blurRad="50800" dist="50800" dir="5400000" algn="ctr" rotWithShape="0">
                  <a:schemeClr val="bg1"/>
                </a:outerShdw>
              </a:effectLst>
            </c:spPr>
          </c:dPt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1" vertOverflow="ellipsis" horzOverflow="overflow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[公报表格.xlsx]Sheet1!$A$2:$A$6</c:f>
              <c:strCache>
                <c:ptCount val="5"/>
                <c:pt idx="0">
                  <c:v>2021年</c:v>
                </c:pt>
                <c:pt idx="1">
                  <c:v>2022年</c:v>
                </c:pt>
                <c:pt idx="2">
                  <c:v>2023年</c:v>
                </c:pt>
                <c:pt idx="3">
                  <c:v>2024年</c:v>
                </c:pt>
                <c:pt idx="4">
                  <c:v>2025年</c:v>
                </c:pt>
              </c:strCache>
            </c:strRef>
          </c:cat>
          <c:val>
            <c:numRef>
              <c:f>[公报表格.xlsx]Sheet1!$B$2:$B$6</c:f>
              <c:numCache>
                <c:formatCode>General</c:formatCode>
                <c:ptCount val="5"/>
                <c:pt idx="0">
                  <c:v>14470.56</c:v>
                </c:pt>
                <c:pt idx="1">
                  <c:v>15249.43</c:v>
                </c:pt>
                <c:pt idx="2">
                  <c:v>15973.16</c:v>
                </c:pt>
                <c:pt idx="3">
                  <c:v>16719.39</c:v>
                </c:pt>
                <c:pt idx="4" c:formatCode="0.00_ ">
                  <c:v>17560.67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692070856"/>
        <c:axId val="84567195"/>
      </c:barChart>
      <c:lineChart>
        <c:grouping val="standard"/>
        <c:varyColors val="0"/>
        <c:ser>
          <c:idx val="1"/>
          <c:order val="1"/>
          <c:tx>
            <c:strRef>
              <c:f>[公报表格.xlsx]Sheet1!$C$1</c:f>
              <c:strCache>
                <c:ptCount val="1"/>
                <c:pt idx="0">
                  <c:v>增速</c:v>
                </c:pt>
              </c:strCache>
            </c:strRef>
          </c:tx>
          <c:spPr>
            <a:ln w="28575" cap="sq">
              <a:solidFill>
                <a:srgbClr val="FF0000"/>
              </a:solidFill>
              <a:bevel/>
            </a:ln>
            <a:effectLst/>
          </c:spPr>
          <c:marker>
            <c:symbol val="triangle"/>
            <c:size val="7"/>
            <c:spPr>
              <a:solidFill>
                <a:srgbClr val="FF0000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0.013648771610555"/>
                  <c:y val="0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"/>
              <c:layout>
                <c:manualLayout>
                  <c:x val="-0.00136487716105551"/>
                  <c:y val="0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0445859872611466"/>
                      <c:h val="0.0627069993376021"/>
                    </c:manualLayout>
                  </c15:layout>
                </c:ext>
              </c:extLst>
            </c:dLbl>
            <c:dLbl>
              <c:idx val="2"/>
              <c:layout>
                <c:manualLayout>
                  <c:x val="0.013648771610555"/>
                  <c:y val="0.0198719364098035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0.0163785259326661"/>
                  <c:y val="-0.039743872819607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4"/>
              <c:layout>
                <c:manualLayout>
                  <c:x val="0.013648771610555"/>
                  <c:y val="-0.00331198940163391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1" vertOverflow="ellipsis" horzOverflow="overflow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defRPr>
                </a:pPr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[公报表格.xlsx]Sheet1!$A$2:$A$6</c:f>
              <c:strCache>
                <c:ptCount val="5"/>
                <c:pt idx="0">
                  <c:v>2021年</c:v>
                </c:pt>
                <c:pt idx="1">
                  <c:v>2022年</c:v>
                </c:pt>
                <c:pt idx="2">
                  <c:v>2023年</c:v>
                </c:pt>
                <c:pt idx="3">
                  <c:v>2024年</c:v>
                </c:pt>
                <c:pt idx="4">
                  <c:v>2025年</c:v>
                </c:pt>
              </c:strCache>
            </c:strRef>
          </c:cat>
          <c:val>
            <c:numRef>
              <c:f>[公报表格.xlsx]Sheet1!$C$2:$C$6</c:f>
              <c:numCache>
                <c:formatCode>General</c:formatCode>
                <c:ptCount val="5"/>
                <c:pt idx="0">
                  <c:v>8.4</c:v>
                </c:pt>
                <c:pt idx="1">
                  <c:v>3.9</c:v>
                </c:pt>
                <c:pt idx="2">
                  <c:v>5.9</c:v>
                </c:pt>
                <c:pt idx="3">
                  <c:v>5.7</c:v>
                </c:pt>
                <c:pt idx="4">
                  <c:v>5.4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36866560"/>
        <c:axId val="172906987"/>
      </c:lineChart>
      <c:catAx>
        <c:axId val="692070856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84567195"/>
        <c:crossesAt val="0"/>
        <c:auto val="1"/>
        <c:lblAlgn val="ctr"/>
        <c:lblOffset val="100"/>
        <c:noMultiLvlLbl val="0"/>
      </c:catAx>
      <c:valAx>
        <c:axId val="84567195"/>
        <c:scaling>
          <c:orientation val="minMax"/>
        </c:scaling>
        <c:delete val="0"/>
        <c:axPos val="l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defRPr>
                </a:pPr>
                <a:r>
                  <a:rPr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rPr>
                  <a:t>亿元</a:t>
                </a:r>
                <a:endParaRPr>
                  <a:latin typeface="宋体" panose="02010600030101010101" charset="-122"/>
                  <a:ea typeface="宋体" panose="02010600030101010101" charset="-122"/>
                  <a:cs typeface="宋体" panose="02010600030101010101" charset="-122"/>
                  <a:sym typeface="宋体" panose="02010600030101010101" charset="-122"/>
                </a:endParaRPr>
              </a:p>
            </c:rich>
          </c:tx>
          <c:layout>
            <c:manualLayout>
              <c:xMode val="edge"/>
              <c:yMode val="edge"/>
              <c:x val="0.106150630748976"/>
              <c:y val="0.0389012379600303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_);[Red]\(0\)" sourceLinked="0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692070856"/>
        <c:crosses val="autoZero"/>
        <c:crossBetween val="between"/>
        <c:majorUnit val="4000"/>
      </c:valAx>
      <c:catAx>
        <c:axId val="136866560"/>
        <c:scaling>
          <c:orientation val="minMax"/>
        </c:scaling>
        <c:delete val="1"/>
        <c:axPos val="t"/>
        <c:numFmt formatCode="General" sourceLinked="1"/>
        <c:majorTickMark val="out"/>
        <c:minorTickMark val="none"/>
        <c:tickLblPos val="nextTo"/>
        <c:txPr>
          <a:bodyPr rot="-60000000" spcFirstLastPara="0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172906987"/>
        <c:crosses val="max"/>
        <c:auto val="1"/>
        <c:lblAlgn val="ctr"/>
        <c:lblOffset val="100"/>
        <c:noMultiLvlLbl val="0"/>
      </c:catAx>
      <c:valAx>
        <c:axId val="172906987"/>
        <c:scaling>
          <c:orientation val="minMax"/>
          <c:max val="15"/>
        </c:scaling>
        <c:delete val="0"/>
        <c:axPos val="r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defRPr>
                </a:pPr>
                <a:r>
                  <a:rPr lang="en-US" altLang="zh-CN"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rPr>
                  <a:t>%</a:t>
                </a:r>
                <a:endParaRPr lang="en-US" altLang="zh-CN">
                  <a:latin typeface="宋体" panose="02010600030101010101" charset="-122"/>
                  <a:ea typeface="宋体" panose="02010600030101010101" charset="-122"/>
                  <a:cs typeface="宋体" panose="02010600030101010101" charset="-122"/>
                  <a:sym typeface="宋体" panose="02010600030101010101" charset="-122"/>
                </a:endParaRPr>
              </a:p>
            </c:rich>
          </c:tx>
          <c:layout>
            <c:manualLayout>
              <c:xMode val="edge"/>
              <c:yMode val="edge"/>
              <c:x val="0.942638346854527"/>
              <c:y val="0.027434514572078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136866560"/>
        <c:crosses val="max"/>
        <c:crossBetween val="between"/>
        <c:majorUnit val="5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</c:legendEntry>
      <c:layout>
        <c:manualLayout>
          <c:xMode val="edge"/>
          <c:yMode val="edge"/>
          <c:x val="0.354986431478969"/>
          <c:y val="0.89089322083212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horzOverflow="overflow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宋体" panose="02010600030101010101" charset="-122"/>
              <a:ea typeface="宋体" panose="02010600030101010101" charset="-122"/>
              <a:cs typeface="宋体" panose="02010600030101010101" charset="-122"/>
              <a:sym typeface="宋体" panose="02010600030101010101" charset="-122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>
          <a:lumMod val="85000"/>
        </a:schemeClr>
      </a:solidFill>
      <a:round/>
    </a:ln>
    <a:effectLst/>
  </c:spPr>
  <c:txPr>
    <a:bodyPr rot="0" spcFirstLastPara="0" vertOverflow="ellipsis" horzOverflow="overflow" vert="horz" wrap="square" anchor="ctr" anchorCtr="1"/>
    <a:lstStyle/>
    <a:p>
      <a:pPr>
        <a:defRPr lang="zh-CN" sz="900">
          <a:solidFill>
            <a:sysClr val="windowText" lastClr="000000"/>
          </a:solidFill>
          <a:latin typeface="宋体" panose="02010600030101010101" charset="-122"/>
          <a:ea typeface="宋体" panose="02010600030101010101" charset="-122"/>
          <a:cs typeface="宋体" panose="02010600030101010101" charset="-122"/>
          <a:sym typeface="宋体" panose="02010600030101010101" charset="-122"/>
        </a:defRPr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0894048025492204"/>
          <c:y val="0.154045155221072"/>
          <c:w val="0.899100944577216"/>
          <c:h val="0.7406867356538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[公报表格.xlsx]Sheet1!$B$25</c:f>
              <c:strCache>
                <c:ptCount val="1"/>
                <c:pt idx="0">
                  <c:v>粮食产量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1" vertOverflow="ellipsis" horzOverflow="overflow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[公报表格.xlsx]Sheet1!$A$26:$A$30</c:f>
              <c:strCache>
                <c:ptCount val="5"/>
                <c:pt idx="0">
                  <c:v>2021年</c:v>
                </c:pt>
                <c:pt idx="1">
                  <c:v>2022年</c:v>
                </c:pt>
                <c:pt idx="2">
                  <c:v>2023年</c:v>
                </c:pt>
                <c:pt idx="3">
                  <c:v>2024年</c:v>
                </c:pt>
                <c:pt idx="4">
                  <c:v>2025年</c:v>
                </c:pt>
              </c:strCache>
            </c:strRef>
          </c:cat>
          <c:val>
            <c:numRef>
              <c:f>[公报表格.xlsx]Sheet1!$B$26:$B$30</c:f>
              <c:numCache>
                <c:formatCode>General</c:formatCode>
                <c:ptCount val="5"/>
                <c:pt idx="0">
                  <c:v>312.8</c:v>
                </c:pt>
                <c:pt idx="1">
                  <c:v>311.3</c:v>
                </c:pt>
                <c:pt idx="2">
                  <c:v>318.6</c:v>
                </c:pt>
                <c:pt idx="3">
                  <c:v>321.4</c:v>
                </c:pt>
                <c:pt idx="4">
                  <c:v>321.4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3834970"/>
        <c:axId val="546417067"/>
      </c:barChart>
      <c:catAx>
        <c:axId val="213834970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546417067"/>
        <c:crosses val="autoZero"/>
        <c:auto val="1"/>
        <c:lblAlgn val="ctr"/>
        <c:lblOffset val="100"/>
        <c:noMultiLvlLbl val="0"/>
      </c:catAx>
      <c:valAx>
        <c:axId val="546417067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 algn="ctr">
                  <a:defRPr lang="zh-CN" sz="1000" b="0" i="0" u="none" strike="noStrike" kern="1200" baseline="0">
                    <a:solidFill>
                      <a:sysClr val="windowText" lastClr="000000"/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defRPr>
                </a:pPr>
                <a:r>
                  <a:rPr lang="zh-CN" altLang="en-US" sz="1000"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rPr>
                  <a:t>万吨</a:t>
                </a:r>
                <a:endParaRPr lang="zh-CN" altLang="en-US" sz="1000">
                  <a:latin typeface="宋体" panose="02010600030101010101" charset="-122"/>
                  <a:ea typeface="宋体" panose="02010600030101010101" charset="-122"/>
                  <a:cs typeface="宋体" panose="02010600030101010101" charset="-122"/>
                  <a:sym typeface="宋体" panose="02010600030101010101" charset="-122"/>
                </a:endParaRPr>
              </a:p>
            </c:rich>
          </c:tx>
          <c:layout>
            <c:manualLayout>
              <c:xMode val="edge"/>
              <c:yMode val="edge"/>
              <c:x val="0.0343852344876011"/>
              <c:y val="0.0343367826904986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21383497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 rot="0" spcFirstLastPara="0" vertOverflow="ellipsis" horzOverflow="overflow" vert="horz" wrap="square" anchor="ctr" anchorCtr="1"/>
    <a:lstStyle/>
    <a:p>
      <a:pPr>
        <a:defRPr lang="zh-CN" sz="900">
          <a:solidFill>
            <a:sysClr val="windowText" lastClr="000000"/>
          </a:solidFill>
          <a:latin typeface="仿宋_GB2312" panose="02010609030101010101" pitchFamily="3" charset="-122"/>
          <a:ea typeface="仿宋_GB2312" panose="02010609030101010101" pitchFamily="3" charset="-122"/>
        </a:defRPr>
      </a:pPr>
    </a:p>
  </c:txPr>
  <c:externalData r:id="rId1">
    <c:autoUpdate val="0"/>
  </c:externalData>
  <c:userShapes r:id="rId2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lang="zh-CN" sz="1080" b="0" i="0" u="none" strike="noStrike" kern="1200" spc="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  <a:r>
              <a:rPr lang="zh-CN"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rPr>
              <a:t>亿元</a:t>
            </a:r>
            <a:endParaRPr lang="zh-CN">
              <a:latin typeface="宋体" panose="02010600030101010101" charset="-122"/>
              <a:ea typeface="宋体" panose="02010600030101010101" charset="-122"/>
              <a:cs typeface="宋体" panose="02010600030101010101" charset="-122"/>
              <a:sym typeface="宋体" panose="02010600030101010101" charset="-122"/>
            </a:endParaRPr>
          </a:p>
        </c:rich>
      </c:tx>
      <c:layout>
        <c:manualLayout>
          <c:xMode val="edge"/>
          <c:yMode val="edge"/>
          <c:x val="0.0227476400315343"/>
          <c:y val="0.0103496732026144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0779871527777778"/>
          <c:y val="0.115528104575163"/>
          <c:w val="0.843057118055556"/>
          <c:h val="0.722609803921569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[公报表格.xlsx]Sheet2!$A$78</c:f>
              <c:strCache>
                <c:ptCount val="1"/>
                <c:pt idx="0">
                  <c:v>建筑业总产值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horzOverflow="overflow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[公报表格.xlsx]Sheet2!$B$77:$F$77</c:f>
              <c:strCache>
                <c:ptCount val="5"/>
                <c:pt idx="0">
                  <c:v>2021年</c:v>
                </c:pt>
                <c:pt idx="1">
                  <c:v>2022年</c:v>
                </c:pt>
                <c:pt idx="2">
                  <c:v>2023年</c:v>
                </c:pt>
                <c:pt idx="3">
                  <c:v>2024年</c:v>
                </c:pt>
                <c:pt idx="4">
                  <c:v>2025年</c:v>
                </c:pt>
              </c:strCache>
            </c:strRef>
          </c:cat>
          <c:val>
            <c:numRef>
              <c:f>[公报表格.xlsx]Sheet2!$B$78:$F$78</c:f>
              <c:numCache>
                <c:formatCode>General</c:formatCode>
                <c:ptCount val="5"/>
                <c:pt idx="0">
                  <c:v>3297.3</c:v>
                </c:pt>
                <c:pt idx="1">
                  <c:v>3580.2</c:v>
                </c:pt>
                <c:pt idx="2" c:formatCode="0.0_ ">
                  <c:v>3829.1</c:v>
                </c:pt>
                <c:pt idx="3">
                  <c:v>4085.3</c:v>
                </c:pt>
                <c:pt idx="4">
                  <c:v>4077.1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-355780432"/>
        <c:axId val="-355771184"/>
      </c:barChart>
      <c:lineChart>
        <c:grouping val="standard"/>
        <c:varyColors val="0"/>
        <c:ser>
          <c:idx val="1"/>
          <c:order val="1"/>
          <c:tx>
            <c:strRef>
              <c:f>[公报表格.xlsx]Sheet2!$A$79</c:f>
              <c:strCache>
                <c:ptCount val="1"/>
                <c:pt idx="0">
                  <c:v>增速</c:v>
                </c:pt>
              </c:strCache>
            </c:strRef>
          </c:tx>
          <c:spPr>
            <a:ln w="28575" cap="rnd" cmpd="sng" algn="ctr">
              <a:solidFill>
                <a:srgbClr val="FF0000"/>
              </a:solidFill>
              <a:prstDash val="solid"/>
              <a:round/>
            </a:ln>
            <a:effectLst/>
          </c:spPr>
          <c:marker>
            <c:symbol val="triangle"/>
            <c:size val="5"/>
            <c:spPr>
              <a:solidFill>
                <a:srgbClr val="FF0000"/>
              </a:solidFill>
              <a:ln w="9525" cap="flat" cmpd="sng" algn="ctr">
                <a:solidFill>
                  <a:schemeClr val="accent2"/>
                </a:solidFill>
                <a:prstDash val="solid"/>
                <a:round/>
              </a:ln>
              <a:effectLst/>
            </c:spPr>
          </c:marker>
          <c:dLbls>
            <c:dLbl>
              <c:idx val="0"/>
              <c:layout>
                <c:manualLayout>
                  <c:x val="0.0202411549046219"/>
                  <c:y val="-0.0220527903888251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0633340873105632"/>
                      <c:h val="0.059075750357313"/>
                    </c:manualLayout>
                  </c15:layout>
                </c:ext>
              </c:extLst>
            </c:dLbl>
            <c:dLbl>
              <c:idx val="1"/>
              <c:layout>
                <c:manualLayout>
                  <c:x val="0.0132291666666666"/>
                  <c:y val="-0.0124509803921569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0471619791666667"/>
                      <c:h val="0.066343137254902"/>
                    </c:manualLayout>
                  </c15:layout>
                </c:ext>
              </c:extLst>
            </c:dLbl>
            <c:dLbl>
              <c:idx val="2"/>
              <c:layout>
                <c:manualLayout>
                  <c:x val="0.0132291666666666"/>
                  <c:y val="-0.0166013071895426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0.0132291666666667"/>
                  <c:y val="-0.0415031045751634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0448090277777778"/>
                      <c:h val="0.0636411764705882"/>
                    </c:manualLayout>
                  </c15:layout>
                </c:ext>
              </c:extLst>
            </c:dLbl>
            <c:dLbl>
              <c:idx val="4"/>
              <c:layout/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0664192475044791"/>
                      <c:h val="0.0901739769664298"/>
                    </c:manualLayout>
                  </c15:layout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horzOverflow="overflow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defRPr>
                </a:pPr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[公报表格.xlsx]Sheet2!$B$77:$F$77</c:f>
              <c:strCache>
                <c:ptCount val="5"/>
                <c:pt idx="0">
                  <c:v>2021年</c:v>
                </c:pt>
                <c:pt idx="1">
                  <c:v>2022年</c:v>
                </c:pt>
                <c:pt idx="2">
                  <c:v>2023年</c:v>
                </c:pt>
                <c:pt idx="3">
                  <c:v>2024年</c:v>
                </c:pt>
                <c:pt idx="4">
                  <c:v>2025年</c:v>
                </c:pt>
              </c:strCache>
            </c:strRef>
          </c:cat>
          <c:val>
            <c:numRef>
              <c:f>[公报表格.xlsx]Sheet2!$B$79:$F$79</c:f>
              <c:numCache>
                <c:formatCode>General</c:formatCode>
                <c:ptCount val="5"/>
                <c:pt idx="0">
                  <c:v>9.9</c:v>
                </c:pt>
                <c:pt idx="1">
                  <c:v>8.6</c:v>
                </c:pt>
                <c:pt idx="2">
                  <c:v>6.9</c:v>
                </c:pt>
                <c:pt idx="3">
                  <c:v>6.7</c:v>
                </c:pt>
                <c:pt idx="4">
                  <c:v>-0.2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355786416"/>
        <c:axId val="-355785872"/>
      </c:lineChart>
      <c:catAx>
        <c:axId val="-3557804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-355771184"/>
        <c:crosses val="autoZero"/>
        <c:auto val="1"/>
        <c:lblAlgn val="ctr"/>
        <c:lblOffset val="100"/>
        <c:noMultiLvlLbl val="0"/>
      </c:catAx>
      <c:valAx>
        <c:axId val="-355771184"/>
        <c:scaling>
          <c:orientation val="minMax"/>
        </c:scaling>
        <c:delete val="0"/>
        <c:axPos val="l"/>
        <c:title>
          <c:layout>
            <c:manualLayout>
              <c:xMode val="edge"/>
              <c:yMode val="edge"/>
              <c:x val="0.921526628371142"/>
              <c:y val="0.011842977730275"/>
            </c:manualLayout>
          </c:layout>
          <c:overlay val="0"/>
          <c:tx>
            <c:rich>
              <a:bodyPr/>
              <a:lstStyle/>
              <a:p>
                <a:pPr>
                  <a:defRPr/>
                </a:pPr>
              </a:p>
            </c:rich>
          </c:tx>
        </c:title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noFill/>
            <a:prstDash val="solid"/>
            <a:round/>
          </a:ln>
          <a:effectLst/>
        </c:spPr>
        <c:txPr>
          <a:bodyPr rot="-60000000" spcFirstLastPara="1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-355780432"/>
        <c:crosses val="autoZero"/>
        <c:crossBetween val="between"/>
      </c:valAx>
      <c:catAx>
        <c:axId val="-35578641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-355785872"/>
        <c:crosses val="autoZero"/>
        <c:auto val="1"/>
        <c:lblAlgn val="ctr"/>
        <c:lblOffset val="100"/>
        <c:noMultiLvlLbl val="0"/>
      </c:catAx>
      <c:valAx>
        <c:axId val="-355785872"/>
        <c:scaling>
          <c:orientation val="minMax"/>
          <c:max val="16"/>
        </c:scaling>
        <c:delete val="0"/>
        <c:axPos val="r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900" b="1" i="0" u="none" strike="noStrike" kern="1200" baseline="0">
                    <a:solidFill>
                      <a:sysClr val="windowText" lastClr="000000"/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defRPr>
                </a:pPr>
                <a:r>
                  <a:rPr lang="en-US" altLang="zh-CN" sz="1000" b="0"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rPr>
                  <a:t>%</a:t>
                </a:r>
                <a:endParaRPr lang="en-US" altLang="zh-CN" sz="1000" b="0">
                  <a:latin typeface="宋体" panose="02010600030101010101" charset="-122"/>
                  <a:ea typeface="宋体" panose="02010600030101010101" charset="-122"/>
                  <a:cs typeface="宋体" panose="02010600030101010101" charset="-122"/>
                  <a:sym typeface="宋体" panose="02010600030101010101" charset="-122"/>
                </a:endParaRPr>
              </a:p>
            </c:rich>
          </c:tx>
          <c:layout>
            <c:manualLayout>
              <c:xMode val="edge"/>
              <c:yMode val="edge"/>
              <c:x val="0.931652224710349"/>
              <c:y val="0.0179364853748573"/>
            </c:manualLayout>
          </c:layout>
          <c:overlay val="0"/>
        </c:title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noFill/>
            <a:prstDash val="solid"/>
            <a:round/>
          </a:ln>
          <a:effectLst/>
        </c:spPr>
        <c:txPr>
          <a:bodyPr rot="-60000000" spcFirstLastPara="1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-355786416"/>
        <c:crosses val="max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</c:legendEntry>
      <c:layout>
        <c:manualLayout>
          <c:xMode val="edge"/>
          <c:yMode val="edge"/>
          <c:x val="0.358346527934856"/>
          <c:y val="0.91353025250119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horzOverflow="overflow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宋体" panose="02010600030101010101" charset="-122"/>
              <a:ea typeface="宋体" panose="02010600030101010101" charset="-122"/>
              <a:cs typeface="宋体" panose="02010600030101010101" charset="-122"/>
              <a:sym typeface="宋体" panose="02010600030101010101" charset="-122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>
          <a:lumMod val="85000"/>
        </a:schemeClr>
      </a:solidFill>
      <a:prstDash val="solid"/>
      <a:round/>
    </a:ln>
    <a:effectLst/>
  </c:spPr>
  <c:txPr>
    <a:bodyPr rot="0" spcFirstLastPara="0" vertOverflow="ellipsis" horzOverflow="overflow" vert="horz" wrap="square" anchor="ctr" anchorCtr="1"/>
    <a:lstStyle/>
    <a:p>
      <a:pPr>
        <a:defRPr lang="zh-CN" sz="900">
          <a:solidFill>
            <a:sysClr val="windowText" lastClr="000000"/>
          </a:solidFill>
          <a:latin typeface="宋体" panose="02010600030101010101" charset="-122"/>
          <a:ea typeface="宋体" panose="02010600030101010101" charset="-122"/>
          <a:cs typeface="宋体" panose="02010600030101010101" charset="-122"/>
          <a:sym typeface="宋体" panose="02010600030101010101" charset="-122"/>
        </a:defRPr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lang="zh-CN" sz="1080" b="0" i="0" u="none" strike="noStrike" kern="1200" spc="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  <a:r>
              <a:rPr lang="en-US"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rPr>
              <a:t>%</a:t>
            </a:r>
            <a:endParaRPr lang="zh-CN">
              <a:latin typeface="宋体" panose="02010600030101010101" charset="-122"/>
              <a:ea typeface="宋体" panose="02010600030101010101" charset="-122"/>
              <a:cs typeface="宋体" panose="02010600030101010101" charset="-122"/>
              <a:sym typeface="宋体" panose="02010600030101010101" charset="-122"/>
            </a:endParaRPr>
          </a:p>
        </c:rich>
      </c:tx>
      <c:layout>
        <c:manualLayout>
          <c:xMode val="edge"/>
          <c:yMode val="edge"/>
          <c:x val="0.107742992869946"/>
          <c:y val="0.0450469072608661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46853306020257"/>
          <c:y val="0.123128119800333"/>
          <c:w val="0.828109707522476"/>
          <c:h val="0.47547420965058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[公报表格.xlsx]Sheet2!$A$45</c:f>
              <c:strCache>
                <c:ptCount val="1"/>
                <c:pt idx="0">
                  <c:v>第一产业</c:v>
                </c:pt>
              </c:strCache>
            </c:strRef>
          </c:tx>
          <c:spPr>
            <a:solidFill>
              <a:schemeClr val="tx1">
                <a:lumMod val="50000"/>
                <a:lumOff val="50000"/>
              </a:schemeClr>
            </a:solidFill>
            <a:ln>
              <a:noFill/>
            </a:ln>
            <a:effectLst/>
            <a:sp3d/>
          </c:spPr>
          <c:invertIfNegative val="0"/>
          <c:dLbls>
            <c:delete val="1"/>
          </c:dLbls>
          <c:cat>
            <c:strRef>
              <c:f>[公报表格.xlsx]Sheet2!$B$44:$F$44</c:f>
              <c:strCache>
                <c:ptCount val="5"/>
                <c:pt idx="0">
                  <c:v>2021年</c:v>
                </c:pt>
                <c:pt idx="1">
                  <c:v>2022年</c:v>
                </c:pt>
                <c:pt idx="2">
                  <c:v>2023年</c:v>
                </c:pt>
                <c:pt idx="3">
                  <c:v>2024年</c:v>
                </c:pt>
                <c:pt idx="4">
                  <c:v>2025年</c:v>
                </c:pt>
              </c:strCache>
            </c:strRef>
          </c:cat>
          <c:val>
            <c:numRef>
              <c:f>[公报表格.xlsx]Sheet2!$B$45:$F$45</c:f>
              <c:numCache>
                <c:formatCode>General</c:formatCode>
                <c:ptCount val="5"/>
                <c:pt idx="0">
                  <c:v>1.5</c:v>
                </c:pt>
                <c:pt idx="1">
                  <c:v>1.5</c:v>
                </c:pt>
                <c:pt idx="2">
                  <c:v>1.5</c:v>
                </c:pt>
                <c:pt idx="3">
                  <c:v>1.7</c:v>
                </c:pt>
                <c:pt idx="4" c:formatCode="0.0_ ">
                  <c:v>1.70508371783865</c:v>
                </c:pt>
              </c:numCache>
            </c:numRef>
          </c:val>
        </c:ser>
        <c:ser>
          <c:idx val="1"/>
          <c:order val="1"/>
          <c:tx>
            <c:strRef>
              <c:f>[公报表格.xlsx]Sheet2!$A$46</c:f>
              <c:strCache>
                <c:ptCount val="1"/>
                <c:pt idx="0">
                  <c:v>第二产业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delete val="1"/>
          </c:dLbls>
          <c:cat>
            <c:strRef>
              <c:f>[公报表格.xlsx]Sheet2!$B$44:$F$44</c:f>
              <c:strCache>
                <c:ptCount val="5"/>
                <c:pt idx="0">
                  <c:v>2021年</c:v>
                </c:pt>
                <c:pt idx="1">
                  <c:v>2022年</c:v>
                </c:pt>
                <c:pt idx="2">
                  <c:v>2023年</c:v>
                </c:pt>
                <c:pt idx="3">
                  <c:v>2024年</c:v>
                </c:pt>
                <c:pt idx="4">
                  <c:v>2025年</c:v>
                </c:pt>
              </c:strCache>
            </c:strRef>
          </c:cat>
          <c:val>
            <c:numRef>
              <c:f>[公报表格.xlsx]Sheet2!$B$46:$F$46</c:f>
              <c:numCache>
                <c:formatCode>General</c:formatCode>
                <c:ptCount val="5"/>
                <c:pt idx="0">
                  <c:v>24.9</c:v>
                </c:pt>
                <c:pt idx="1">
                  <c:v>27.4</c:v>
                </c:pt>
                <c:pt idx="2">
                  <c:v>29.6</c:v>
                </c:pt>
                <c:pt idx="3">
                  <c:v>33.6</c:v>
                </c:pt>
                <c:pt idx="4" c:formatCode="0.0_ ">
                  <c:v>39.8622072655502</c:v>
                </c:pt>
              </c:numCache>
            </c:numRef>
          </c:val>
        </c:ser>
        <c:ser>
          <c:idx val="2"/>
          <c:order val="2"/>
          <c:tx>
            <c:strRef>
              <c:f>[公报表格.xlsx]Sheet2!$A$47</c:f>
              <c:strCache>
                <c:ptCount val="1"/>
                <c:pt idx="0">
                  <c:v>第三产业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  <a:sp3d/>
          </c:spPr>
          <c:invertIfNegative val="0"/>
          <c:dLbls>
            <c:delete val="1"/>
          </c:dLbls>
          <c:cat>
            <c:strRef>
              <c:f>[公报表格.xlsx]Sheet2!$B$44:$F$44</c:f>
              <c:strCache>
                <c:ptCount val="5"/>
                <c:pt idx="0">
                  <c:v>2021年</c:v>
                </c:pt>
                <c:pt idx="1">
                  <c:v>2022年</c:v>
                </c:pt>
                <c:pt idx="2">
                  <c:v>2023年</c:v>
                </c:pt>
                <c:pt idx="3">
                  <c:v>2024年</c:v>
                </c:pt>
                <c:pt idx="4">
                  <c:v>2025年</c:v>
                </c:pt>
              </c:strCache>
            </c:strRef>
          </c:cat>
          <c:val>
            <c:numRef>
              <c:f>[公报表格.xlsx]Sheet2!$B$47:$F$47</c:f>
              <c:numCache>
                <c:formatCode>General</c:formatCode>
                <c:ptCount val="5"/>
                <c:pt idx="0">
                  <c:v>73.6</c:v>
                </c:pt>
                <c:pt idx="1">
                  <c:v>71.1</c:v>
                </c:pt>
                <c:pt idx="2">
                  <c:v>68.9</c:v>
                </c:pt>
                <c:pt idx="3">
                  <c:v>64.8</c:v>
                </c:pt>
                <c:pt idx="4" c:formatCode="0.0_ ">
                  <c:v>58.4327090166111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367235776"/>
        <c:axId val="-367238496"/>
      </c:barChart>
      <c:catAx>
        <c:axId val="-3672357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-367238496"/>
        <c:crosses val="autoZero"/>
        <c:auto val="1"/>
        <c:lblAlgn val="ctr"/>
        <c:lblOffset val="100"/>
        <c:noMultiLvlLbl val="0"/>
      </c:catAx>
      <c:valAx>
        <c:axId val="-3672384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-367235776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 rot="0" spcFirstLastPara="0" vertOverflow="ellipsis" horzOverflow="overflow" vert="horz" wrap="square" anchor="ctr" anchorCtr="1"/>
    <a:lstStyle/>
    <a:p>
      <a:pPr>
        <a:defRPr lang="zh-CN" sz="900">
          <a:solidFill>
            <a:sysClr val="windowText" lastClr="000000"/>
          </a:solidFill>
          <a:latin typeface="宋体" panose="02010600030101010101" charset="-122"/>
          <a:ea typeface="宋体" panose="02010600030101010101" charset="-122"/>
          <a:cs typeface="宋体" panose="02010600030101010101" charset="-122"/>
          <a:sym typeface="宋体" panose="02010600030101010101" charset="-122"/>
        </a:defRPr>
      </a:pPr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lang="zh-CN" sz="1080" b="0" i="0" u="none" strike="noStrike" kern="1200" spc="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  <a:r>
              <a:rPr lang="zh-CN"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rPr>
              <a:t>亿元</a:t>
            </a:r>
            <a:endParaRPr lang="zh-CN">
              <a:latin typeface="宋体" panose="02010600030101010101" charset="-122"/>
              <a:ea typeface="宋体" panose="02010600030101010101" charset="-122"/>
              <a:cs typeface="宋体" panose="02010600030101010101" charset="-122"/>
              <a:sym typeface="宋体" panose="02010600030101010101" charset="-122"/>
            </a:endParaRPr>
          </a:p>
        </c:rich>
      </c:tx>
      <c:layout>
        <c:manualLayout>
          <c:xMode val="edge"/>
          <c:yMode val="edge"/>
          <c:x val="0.0505894523186391"/>
          <c:y val="0.014567837534383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10764360018091"/>
          <c:y val="0.150767018216683"/>
          <c:w val="0.830370872908186"/>
          <c:h val="0.64534995206136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[公报表格.xlsx]Sheet1!$B$35</c:f>
              <c:strCache>
                <c:ptCount val="1"/>
                <c:pt idx="0">
                  <c:v>社会消费品零售总额</c:v>
                </c:pt>
              </c:strCache>
            </c:strRef>
          </c:tx>
          <c:spPr>
            <a:solidFill>
              <a:srgbClr val="0070C0"/>
            </a:solidFill>
            <a:ln>
              <a:noFill/>
            </a:ln>
            <a:effectLst/>
          </c:spPr>
          <c:invertIfNegative val="0"/>
          <c:dLbls>
            <c:dLbl>
              <c:idx val="0"/>
              <c:layout/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02294826589134"/>
                      <c:h val="0.0647457023571177"/>
                    </c:manualLayout>
                  </c15:layout>
                </c:ext>
              </c:extLst>
            </c:dLbl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1" vertOverflow="ellipsis" horzOverflow="overflow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[公报表格.xlsx]Sheet1!$A$36:$A$40</c:f>
              <c:strCache>
                <c:ptCount val="5"/>
                <c:pt idx="0">
                  <c:v>2021年</c:v>
                </c:pt>
                <c:pt idx="1">
                  <c:v>2022年</c:v>
                </c:pt>
                <c:pt idx="2">
                  <c:v>2023年</c:v>
                </c:pt>
                <c:pt idx="3">
                  <c:v>2024年</c:v>
                </c:pt>
                <c:pt idx="4">
                  <c:v>2025年</c:v>
                </c:pt>
              </c:strCache>
            </c:strRef>
          </c:cat>
          <c:val>
            <c:numRef>
              <c:f>[公报表格.xlsx]Sheet1!$B$36:$B$40</c:f>
              <c:numCache>
                <c:formatCode>0.0</c:formatCode>
                <c:ptCount val="5"/>
                <c:pt idx="0">
                  <c:v>6075.3</c:v>
                </c:pt>
                <c:pt idx="1" c:formatCode="General">
                  <c:v>6016.5</c:v>
                </c:pt>
                <c:pt idx="2" c:formatCode="General">
                  <c:v>6479.3</c:v>
                </c:pt>
                <c:pt idx="3" c:formatCode="General">
                  <c:v>6746.8</c:v>
                </c:pt>
                <c:pt idx="4" c:formatCode="General">
                  <c:v>6960.7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65429776"/>
        <c:axId val="565435680"/>
      </c:barChart>
      <c:lineChart>
        <c:grouping val="standard"/>
        <c:varyColors val="0"/>
        <c:ser>
          <c:idx val="1"/>
          <c:order val="1"/>
          <c:tx>
            <c:strRef>
              <c:f>[公报表格.xlsx]Sheet1!$C$35</c:f>
              <c:strCache>
                <c:ptCount val="1"/>
                <c:pt idx="0">
                  <c:v>增速</c:v>
                </c:pt>
              </c:strCache>
            </c:strRef>
          </c:tx>
          <c:spPr>
            <a:ln w="28575" cap="rnd" cmpd="sng" algn="ctr">
              <a:solidFill>
                <a:srgbClr val="FF0000"/>
              </a:solidFill>
              <a:prstDash val="solid"/>
              <a:round/>
            </a:ln>
            <a:effectLst/>
          </c:spPr>
          <c:marker>
            <c:symbol val="triangle"/>
            <c:size val="5"/>
            <c:spPr>
              <a:solidFill>
                <a:srgbClr val="FF0000"/>
              </a:solidFill>
              <a:ln w="9525" cap="flat" cmpd="sng" algn="ctr">
                <a:solidFill>
                  <a:schemeClr val="accent2"/>
                </a:solidFill>
                <a:prstDash val="solid"/>
                <a:round/>
              </a:ln>
              <a:effectLst/>
            </c:spPr>
          </c:marker>
          <c:dLbls>
            <c:dLbl>
              <c:idx val="0"/>
              <c:layout>
                <c:manualLayout>
                  <c:x val="0.0139312723895449"/>
                  <c:y val="-0.00854700854700855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"/>
              <c:layout>
                <c:manualLayout>
                  <c:x val="0.0159214541594799"/>
                  <c:y val="-0.00854700854700855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0.0119410906196099"/>
                  <c:y val="0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0.0119410906196099"/>
                  <c:y val="-0.00427350427350427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4"/>
              <c:layout>
                <c:manualLayout>
                  <c:x val="0.0139312723895449"/>
                  <c:y val="-0.00427350427350427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1" vertOverflow="ellipsis" horzOverflow="overflow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defRPr>
                </a:pPr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[公报表格.xlsx]Sheet1!$A$36:$A$40</c:f>
              <c:strCache>
                <c:ptCount val="5"/>
                <c:pt idx="0">
                  <c:v>2021年</c:v>
                </c:pt>
                <c:pt idx="1">
                  <c:v>2022年</c:v>
                </c:pt>
                <c:pt idx="2">
                  <c:v>2023年</c:v>
                </c:pt>
                <c:pt idx="3">
                  <c:v>2024年</c:v>
                </c:pt>
                <c:pt idx="4">
                  <c:v>2025年</c:v>
                </c:pt>
              </c:strCache>
            </c:strRef>
          </c:cat>
          <c:val>
            <c:numRef>
              <c:f>[公报表格.xlsx]Sheet1!$C$36:$C$40</c:f>
              <c:numCache>
                <c:formatCode>0.0_ </c:formatCode>
                <c:ptCount val="5"/>
                <c:pt idx="0">
                  <c:v>15.4</c:v>
                </c:pt>
                <c:pt idx="1">
                  <c:v>-1</c:v>
                </c:pt>
                <c:pt idx="2">
                  <c:v>7.7</c:v>
                </c:pt>
                <c:pt idx="3">
                  <c:v>4.1</c:v>
                </c:pt>
                <c:pt idx="4">
                  <c:v>3.2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65453064"/>
        <c:axId val="565431744"/>
      </c:lineChart>
      <c:catAx>
        <c:axId val="5654297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565435680"/>
        <c:crossesAt val="0"/>
        <c:auto val="1"/>
        <c:lblAlgn val="ctr"/>
        <c:lblOffset val="100"/>
        <c:noMultiLvlLbl val="0"/>
      </c:catAx>
      <c:valAx>
        <c:axId val="565435680"/>
        <c:scaling>
          <c:orientation val="minMax"/>
          <c:max val="7000"/>
          <c:min val="5000"/>
        </c:scaling>
        <c:delete val="0"/>
        <c:axPos val="l"/>
        <c:numFmt formatCode="#,##0_);[Red]\(#,##0\)" sourceLinked="0"/>
        <c:majorTickMark val="none"/>
        <c:minorTickMark val="none"/>
        <c:tickLblPos val="nextTo"/>
        <c:spPr>
          <a:noFill/>
          <a:ln w="6350" cap="flat" cmpd="sng" algn="ctr">
            <a:noFill/>
            <a:prstDash val="solid"/>
            <a:round/>
          </a:ln>
          <a:effectLst/>
        </c:spPr>
        <c:txPr>
          <a:bodyPr rot="-60000000" spcFirstLastPara="1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565429776"/>
        <c:crosses val="autoZero"/>
        <c:crossBetween val="between"/>
        <c:majorUnit val="1000"/>
      </c:valAx>
      <c:catAx>
        <c:axId val="565453064"/>
        <c:scaling>
          <c:orientation val="minMax"/>
        </c:scaling>
        <c:delete val="1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900" b="1" i="0" u="none" strike="noStrike" kern="1200" baseline="0">
                    <a:solidFill>
                      <a:sysClr val="windowText" lastClr="000000"/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defRPr>
                </a:pPr>
                <a:r>
                  <a:rPr lang="en-US" altLang="zh-CN" sz="1100" b="0"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rPr>
                  <a:t>%</a:t>
                </a:r>
                <a:endParaRPr lang="en-US" altLang="zh-CN" sz="1100" b="0">
                  <a:latin typeface="宋体" panose="02010600030101010101" charset="-122"/>
                  <a:ea typeface="宋体" panose="02010600030101010101" charset="-122"/>
                  <a:cs typeface="宋体" panose="02010600030101010101" charset="-122"/>
                  <a:sym typeface="宋体" panose="02010600030101010101" charset="-122"/>
                </a:endParaRPr>
              </a:p>
            </c:rich>
          </c:tx>
          <c:layout>
            <c:manualLayout>
              <c:xMode val="edge"/>
              <c:yMode val="edge"/>
              <c:x val="0.951960834727902"/>
              <c:y val="0.0225967143318619"/>
            </c:manualLayout>
          </c:layout>
          <c:overlay val="0"/>
        </c:title>
        <c:numFmt formatCode="General" sourceLinked="1"/>
        <c:majorTickMark val="none"/>
        <c:minorTickMark val="none"/>
        <c:tickLblPos val="nextTo"/>
        <c:txPr>
          <a:bodyPr rot="-60000000" spcFirstLastPara="0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565431744"/>
        <c:crosses val="autoZero"/>
        <c:auto val="1"/>
        <c:lblAlgn val="ctr"/>
        <c:lblOffset val="100"/>
        <c:noMultiLvlLbl val="0"/>
      </c:catAx>
      <c:valAx>
        <c:axId val="565431744"/>
        <c:scaling>
          <c:orientation val="minMax"/>
          <c:max val="20"/>
        </c:scaling>
        <c:delete val="0"/>
        <c:axPos val="r"/>
        <c:numFmt formatCode="#,##0_ " sourceLinked="0"/>
        <c:majorTickMark val="none"/>
        <c:minorTickMark val="none"/>
        <c:tickLblPos val="nextTo"/>
        <c:spPr>
          <a:noFill/>
          <a:ln w="6350" cap="flat" cmpd="sng" algn="ctr">
            <a:noFill/>
            <a:prstDash val="solid"/>
            <a:round/>
          </a:ln>
          <a:effectLst/>
        </c:spPr>
        <c:txPr>
          <a:bodyPr rot="-60000000" spcFirstLastPara="1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565453064"/>
        <c:crosses val="max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</c:legendEntry>
      <c:layout/>
      <c:overlay val="0"/>
      <c:spPr>
        <a:noFill/>
        <a:ln>
          <a:noFill/>
        </a:ln>
        <a:effectLst/>
      </c:spPr>
      <c:txPr>
        <a:bodyPr rot="0" spcFirstLastPara="1" vertOverflow="ellipsis" horzOverflow="overflow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宋体" panose="02010600030101010101" charset="-122"/>
              <a:ea typeface="宋体" panose="02010600030101010101" charset="-122"/>
              <a:cs typeface="宋体" panose="02010600030101010101" charset="-122"/>
              <a:sym typeface="宋体" panose="02010600030101010101" charset="-122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>
          <a:lumMod val="85000"/>
        </a:schemeClr>
      </a:solidFill>
      <a:prstDash val="solid"/>
      <a:round/>
    </a:ln>
    <a:effectLst/>
  </c:spPr>
  <c:txPr>
    <a:bodyPr rot="0" spcFirstLastPara="0" vertOverflow="ellipsis" horzOverflow="overflow" vert="horz" wrap="square" anchor="ctr" anchorCtr="1"/>
    <a:lstStyle/>
    <a:p>
      <a:pPr>
        <a:defRPr lang="zh-CN" sz="900">
          <a:solidFill>
            <a:sysClr val="windowText" lastClr="000000"/>
          </a:solidFill>
          <a:latin typeface="宋体" panose="02010600030101010101" charset="-122"/>
          <a:ea typeface="宋体" panose="02010600030101010101" charset="-122"/>
          <a:cs typeface="宋体" panose="02010600030101010101" charset="-122"/>
          <a:sym typeface="宋体" panose="02010600030101010101" charset="-122"/>
        </a:defRPr>
      </a:pPr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5550508109563"/>
          <c:y val="0.104664039039039"/>
          <c:w val="0.82552902041091"/>
          <c:h val="0.73180968468468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[公报表格.xlsx]Sheet1!$A$54</c:f>
              <c:strCache>
                <c:ptCount val="1"/>
                <c:pt idx="0">
                  <c:v>货物进出口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horzOverflow="overflow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[公报表格.xlsx]Sheet1!$B$53:$F$53</c:f>
              <c:strCache>
                <c:ptCount val="5"/>
                <c:pt idx="0">
                  <c:v>2021年</c:v>
                </c:pt>
                <c:pt idx="1">
                  <c:v>2022年</c:v>
                </c:pt>
                <c:pt idx="2">
                  <c:v>2023年</c:v>
                </c:pt>
                <c:pt idx="3">
                  <c:v>2024年</c:v>
                </c:pt>
                <c:pt idx="4">
                  <c:v>2025年</c:v>
                </c:pt>
              </c:strCache>
            </c:strRef>
          </c:cat>
          <c:val>
            <c:numRef>
              <c:f>[公报表格.xlsx]Sheet1!$B$54:$F$54</c:f>
              <c:numCache>
                <c:formatCode>General</c:formatCode>
                <c:ptCount val="5"/>
                <c:pt idx="0">
                  <c:v>8498.4</c:v>
                </c:pt>
                <c:pt idx="1">
                  <c:v>9117.2</c:v>
                </c:pt>
                <c:pt idx="2">
                  <c:v>8759.7</c:v>
                </c:pt>
                <c:pt idx="3">
                  <c:v>9076.7</c:v>
                </c:pt>
                <c:pt idx="4">
                  <c:v>9128.9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-351314432"/>
        <c:axId val="-351311712"/>
      </c:barChart>
      <c:lineChart>
        <c:grouping val="standard"/>
        <c:varyColors val="0"/>
        <c:ser>
          <c:idx val="1"/>
          <c:order val="1"/>
          <c:tx>
            <c:strRef>
              <c:f>[公报表格.xlsx]Sheet1!$A$55</c:f>
              <c:strCache>
                <c:ptCount val="1"/>
                <c:pt idx="0">
                  <c:v>增速</c:v>
                </c:pt>
              </c:strCache>
            </c:strRef>
          </c:tx>
          <c:spPr>
            <a:ln w="28575" cap="rnd" cmpd="sng" algn="ctr">
              <a:solidFill>
                <a:srgbClr val="FF0000"/>
              </a:solidFill>
              <a:prstDash val="solid"/>
              <a:round/>
            </a:ln>
            <a:effectLst/>
          </c:spPr>
          <c:marker>
            <c:symbol val="triangle"/>
            <c:size val="5"/>
            <c:spPr>
              <a:solidFill>
                <a:srgbClr val="FF0000"/>
              </a:solidFill>
              <a:ln w="9525" cap="flat" cmpd="sng" algn="ctr">
                <a:solidFill>
                  <a:schemeClr val="accent2"/>
                </a:solidFill>
                <a:prstDash val="solid"/>
                <a:round/>
              </a:ln>
              <a:effectLst/>
            </c:spPr>
          </c:marker>
          <c:dLbls>
            <c:dLbl>
              <c:idx val="0"/>
              <c:layout>
                <c:manualLayout>
                  <c:x val="0.0166666666666667"/>
                  <c:y val="-0.0277777777777778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"/>
              <c:layout>
                <c:manualLayout>
                  <c:x val="0.01875"/>
                  <c:y val="0.0729166666666667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0.0362408484997067"/>
                  <c:y val="-0.0384009634634635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0665094747771913"/>
                      <c:h val="0.0500499249249249"/>
                    </c:manualLayout>
                  </c15:layout>
                </c:ext>
              </c:extLst>
            </c:dLbl>
            <c:dLbl>
              <c:idx val="3"/>
              <c:layout>
                <c:manualLayout>
                  <c:x val="0.0208333333333333"/>
                  <c:y val="-0.0277777777777778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4"/>
              <c:layout>
                <c:manualLayout>
                  <c:x val="0.0125"/>
                  <c:y val="-0.0243055555555556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horzOverflow="overflow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defRPr>
                </a:pPr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[公报表格.xlsx]Sheet1!$B$53:$F$53</c:f>
              <c:strCache>
                <c:ptCount val="5"/>
                <c:pt idx="0">
                  <c:v>2021年</c:v>
                </c:pt>
                <c:pt idx="1">
                  <c:v>2022年</c:v>
                </c:pt>
                <c:pt idx="2">
                  <c:v>2023年</c:v>
                </c:pt>
                <c:pt idx="3">
                  <c:v>2024年</c:v>
                </c:pt>
                <c:pt idx="4">
                  <c:v>2025年</c:v>
                </c:pt>
              </c:strCache>
            </c:strRef>
          </c:cat>
          <c:val>
            <c:numRef>
              <c:f>[公报表格.xlsx]Sheet1!$B$55:$F$55</c:f>
              <c:numCache>
                <c:formatCode>General</c:formatCode>
                <c:ptCount val="5"/>
                <c:pt idx="0">
                  <c:v>32.4</c:v>
                </c:pt>
                <c:pt idx="1">
                  <c:v>7.4</c:v>
                </c:pt>
                <c:pt idx="2">
                  <c:v>4.6</c:v>
                </c:pt>
                <c:pt idx="3">
                  <c:v>3.6</c:v>
                </c:pt>
                <c:pt idx="4">
                  <c:v>0.6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351317696"/>
        <c:axId val="-351325312"/>
      </c:lineChart>
      <c:catAx>
        <c:axId val="-3513144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-351311712"/>
        <c:crosses val="autoZero"/>
        <c:auto val="1"/>
        <c:lblAlgn val="ctr"/>
        <c:lblOffset val="100"/>
        <c:noMultiLvlLbl val="0"/>
      </c:catAx>
      <c:valAx>
        <c:axId val="-351311712"/>
        <c:scaling>
          <c:orientation val="minMax"/>
        </c:scaling>
        <c:delete val="0"/>
        <c:axPos val="l"/>
        <c:title>
          <c:tx>
            <c:rich>
              <a:bodyPr rot="0" spcFirstLastPara="1" vertOverflow="ellipsis" vert="horz" wrap="square" anchor="ctr" anchorCtr="1"/>
              <a:lstStyle/>
              <a:p>
                <a:pPr marL="0" marR="0" lvl="0" indent="0" algn="ctr" defTabSz="914400" rtl="0" eaLnBrk="1" latinLnBrk="0" hangingPunct="1"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defRPr>
                </a:pPr>
                <a:r>
                  <a:rPr lang="zh-CN" altLang="zh-CN" sz="900" b="0" i="0" u="none" strike="noStrike" kern="1200" spc="0" baseline="0">
                    <a:solidFill>
                      <a:sysClr val="windowText" lastClr="000000"/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rPr>
                  <a:t>亿元</a:t>
                </a:r>
                <a:endParaRPr lang="zh-CN" altLang="zh-CN" sz="900" b="0" i="0" u="none" strike="noStrike" kern="1200" spc="0" baseline="0">
                  <a:solidFill>
                    <a:sysClr val="windowText" lastClr="000000"/>
                  </a:solidFill>
                  <a:latin typeface="宋体" panose="02010600030101010101" charset="-122"/>
                  <a:ea typeface="宋体" panose="02010600030101010101" charset="-122"/>
                  <a:cs typeface="宋体" panose="02010600030101010101" charset="-122"/>
                  <a:sym typeface="宋体" panose="02010600030101010101" charset="-122"/>
                </a:endParaRPr>
              </a:p>
            </c:rich>
          </c:tx>
          <c:layout>
            <c:manualLayout>
              <c:xMode val="edge"/>
              <c:yMode val="edge"/>
              <c:x val="0.0414309730044811"/>
              <c:y val="0.015566901793525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noFill/>
            <a:prstDash val="solid"/>
            <a:round/>
          </a:ln>
          <a:effectLst/>
        </c:spPr>
        <c:txPr>
          <a:bodyPr rot="-60000000" spcFirstLastPara="1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-351314432"/>
        <c:crosses val="autoZero"/>
        <c:crossBetween val="between"/>
        <c:majorUnit val="500"/>
      </c:valAx>
      <c:catAx>
        <c:axId val="-351317696"/>
        <c:scaling>
          <c:orientation val="minMax"/>
        </c:scaling>
        <c:delete val="1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900" b="1" i="0" u="none" strike="noStrike" kern="1200" baseline="0">
                    <a:solidFill>
                      <a:sysClr val="windowText" lastClr="000000"/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defRPr>
                </a:pPr>
                <a:r>
                  <a:rPr lang="en-US" altLang="zh-CN" b="0"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rPr>
                  <a:t>%</a:t>
                </a:r>
                <a:endParaRPr lang="en-US" altLang="zh-CN" b="0">
                  <a:latin typeface="宋体" panose="02010600030101010101" charset="-122"/>
                  <a:ea typeface="宋体" panose="02010600030101010101" charset="-122"/>
                  <a:cs typeface="宋体" panose="02010600030101010101" charset="-122"/>
                  <a:sym typeface="宋体" panose="02010600030101010101" charset="-122"/>
                </a:endParaRPr>
              </a:p>
            </c:rich>
          </c:tx>
          <c:layout>
            <c:manualLayout>
              <c:xMode val="edge"/>
              <c:yMode val="edge"/>
              <c:x val="0.937961442605869"/>
              <c:y val="0.0165562913907285"/>
            </c:manualLayout>
          </c:layout>
          <c:overlay val="0"/>
        </c:title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-351325312"/>
        <c:crosses val="autoZero"/>
        <c:auto val="1"/>
        <c:lblAlgn val="ctr"/>
        <c:lblOffset val="100"/>
        <c:noMultiLvlLbl val="0"/>
      </c:catAx>
      <c:valAx>
        <c:axId val="-351325312"/>
        <c:scaling>
          <c:orientation val="minMax"/>
          <c:max val="40"/>
        </c:scaling>
        <c:delete val="0"/>
        <c:axPos val="r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noFill/>
            <a:prstDash val="solid"/>
            <a:round/>
          </a:ln>
          <a:effectLst/>
        </c:spPr>
        <c:txPr>
          <a:bodyPr rot="-60000000" spcFirstLastPara="1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-351317696"/>
        <c:crosses val="max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</c:legendEntry>
      <c:layout>
        <c:manualLayout>
          <c:xMode val="edge"/>
          <c:yMode val="edge"/>
          <c:x val="0.296703296703297"/>
          <c:y val="0.924152777777778"/>
          <c:w val="0.406593406593407"/>
          <c:h val="0.071079954954954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horzOverflow="overflow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宋体" panose="02010600030101010101" charset="-122"/>
              <a:ea typeface="宋体" panose="02010600030101010101" charset="-122"/>
              <a:cs typeface="宋体" panose="02010600030101010101" charset="-122"/>
              <a:sym typeface="宋体" panose="02010600030101010101" charset="-122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  <a:effectLst/>
  </c:spPr>
  <c:txPr>
    <a:bodyPr rot="0" spcFirstLastPara="0" vertOverflow="ellipsis" horzOverflow="overflow" vert="horz" wrap="square" anchor="ctr" anchorCtr="1"/>
    <a:lstStyle/>
    <a:p>
      <a:pPr>
        <a:defRPr lang="zh-CN" sz="900">
          <a:solidFill>
            <a:sysClr val="windowText" lastClr="000000"/>
          </a:solidFill>
          <a:latin typeface="宋体" panose="02010600030101010101" charset="-122"/>
          <a:ea typeface="宋体" panose="02010600030101010101" charset="-122"/>
          <a:cs typeface="宋体" panose="02010600030101010101" charset="-122"/>
          <a:sym typeface="宋体" panose="02010600030101010101" charset="-122"/>
        </a:defRPr>
      </a:pPr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lang="zh-CN" sz="1080" b="0" i="0" u="none" strike="noStrike" kern="1200" spc="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  <a:r>
              <a:rPr lang="zh-CN"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rPr>
              <a:t>元</a:t>
            </a:r>
            <a:endParaRPr lang="zh-CN">
              <a:latin typeface="宋体" panose="02010600030101010101" charset="-122"/>
              <a:ea typeface="宋体" panose="02010600030101010101" charset="-122"/>
              <a:cs typeface="宋体" panose="02010600030101010101" charset="-122"/>
              <a:sym typeface="宋体" panose="02010600030101010101" charset="-122"/>
            </a:endParaRPr>
          </a:p>
        </c:rich>
      </c:tx>
      <c:layout>
        <c:manualLayout>
          <c:xMode val="edge"/>
          <c:yMode val="edge"/>
          <c:x val="0.0330337335398916"/>
          <c:y val="0.0180086380211031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0734721748036873"/>
          <c:y val="0.123236124176858"/>
          <c:w val="0.875247524752475"/>
          <c:h val="0.69529633113828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[公报表格.xlsx]Sheet2!$B$97</c:f>
              <c:strCache>
                <c:ptCount val="1"/>
                <c:pt idx="0">
                  <c:v>人均可支配收入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horzOverflow="overflow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[公报表格.xlsx]Sheet2!$A$98:$A$102</c:f>
              <c:strCache>
                <c:ptCount val="5"/>
                <c:pt idx="0">
                  <c:v>2021年</c:v>
                </c:pt>
                <c:pt idx="1">
                  <c:v>2022年</c:v>
                </c:pt>
                <c:pt idx="2">
                  <c:v>2023年</c:v>
                </c:pt>
                <c:pt idx="3">
                  <c:v>2024年</c:v>
                </c:pt>
                <c:pt idx="4">
                  <c:v>2025年</c:v>
                </c:pt>
              </c:strCache>
            </c:strRef>
          </c:cat>
          <c:val>
            <c:numRef>
              <c:f>[公报表格.xlsx]Sheet2!$B$98:$B$102</c:f>
              <c:numCache>
                <c:formatCode>General</c:formatCode>
                <c:ptCount val="5"/>
                <c:pt idx="0">
                  <c:v>51223</c:v>
                </c:pt>
                <c:pt idx="1">
                  <c:v>53735</c:v>
                </c:pt>
                <c:pt idx="2">
                  <c:v>56961</c:v>
                </c:pt>
                <c:pt idx="3">
                  <c:v>59922</c:v>
                </c:pt>
                <c:pt idx="4">
                  <c:v>62738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-351310080"/>
        <c:axId val="-351311168"/>
      </c:barChart>
      <c:lineChart>
        <c:grouping val="standard"/>
        <c:varyColors val="0"/>
        <c:ser>
          <c:idx val="1"/>
          <c:order val="1"/>
          <c:tx>
            <c:strRef>
              <c:f>[公报表格.xlsx]Sheet2!$C$97</c:f>
              <c:strCache>
                <c:ptCount val="1"/>
                <c:pt idx="0">
                  <c:v>人均可支配收入增速</c:v>
                </c:pt>
              </c:strCache>
            </c:strRef>
          </c:tx>
          <c:spPr>
            <a:ln w="28575" cap="rnd" cmpd="sng" algn="ctr">
              <a:solidFill>
                <a:srgbClr val="FF0000"/>
              </a:solidFill>
              <a:prstDash val="solid"/>
              <a:round/>
            </a:ln>
            <a:effectLst/>
          </c:spPr>
          <c:marker>
            <c:symbol val="triangle"/>
            <c:size val="5"/>
            <c:spPr>
              <a:solidFill>
                <a:srgbClr val="FF0000"/>
              </a:solidFill>
              <a:ln w="9525" cap="flat" cmpd="sng" algn="ctr">
                <a:solidFill>
                  <a:schemeClr val="accent2"/>
                </a:solidFill>
                <a:prstDash val="solid"/>
                <a:round/>
              </a:ln>
              <a:effectLst/>
            </c:spPr>
          </c:marker>
          <c:dLbls>
            <c:dLbl>
              <c:idx val="0"/>
              <c:layout>
                <c:manualLayout>
                  <c:x val="-0.00625"/>
                  <c:y val="-0.00749250749250749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0898611111111111"/>
                      <c:h val="0.0746753246753247"/>
                    </c:manualLayout>
                  </c15:layout>
                </c:ext>
              </c:extLst>
            </c:dLbl>
            <c:dLbl>
              <c:idx val="1"/>
              <c:layout>
                <c:manualLayout>
                  <c:x val="0.01200992944122"/>
                  <c:y val="-0.0601068733712196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0.0166666666666667"/>
                  <c:y val="-0.0272812793979304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0.0167881944444444"/>
                  <c:y val="-0.0535503267973856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4"/>
              <c:layout>
                <c:manualLayout>
                  <c:x val="0.00881944444444444"/>
                  <c:y val="-0.0207516339869281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horzOverflow="overflow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defRPr>
                </a:pPr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[公报表格.xlsx]Sheet2!$A$98:$A$102</c:f>
              <c:strCache>
                <c:ptCount val="5"/>
                <c:pt idx="0">
                  <c:v>2021年</c:v>
                </c:pt>
                <c:pt idx="1">
                  <c:v>2022年</c:v>
                </c:pt>
                <c:pt idx="2">
                  <c:v>2023年</c:v>
                </c:pt>
                <c:pt idx="3">
                  <c:v>2024年</c:v>
                </c:pt>
                <c:pt idx="4">
                  <c:v>2025年</c:v>
                </c:pt>
              </c:strCache>
            </c:strRef>
          </c:cat>
          <c:val>
            <c:numRef>
              <c:f>[公报表格.xlsx]Sheet2!$C$98:$C$102</c:f>
              <c:numCache>
                <c:formatCode>General</c:formatCode>
                <c:ptCount val="5"/>
                <c:pt idx="0">
                  <c:v>8.6</c:v>
                </c:pt>
                <c:pt idx="1">
                  <c:v>4.9</c:v>
                </c:pt>
                <c:pt idx="2" c:formatCode="0.0_ ">
                  <c:v>6</c:v>
                </c:pt>
                <c:pt idx="3">
                  <c:v>5.2</c:v>
                </c:pt>
                <c:pt idx="4">
                  <c:v>4.7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351316608"/>
        <c:axId val="-351310624"/>
      </c:lineChart>
      <c:catAx>
        <c:axId val="-3513100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-351311168"/>
        <c:crossesAt val="0"/>
        <c:auto val="1"/>
        <c:lblAlgn val="ctr"/>
        <c:lblOffset val="100"/>
        <c:noMultiLvlLbl val="0"/>
      </c:catAx>
      <c:valAx>
        <c:axId val="-351311168"/>
        <c:scaling>
          <c:orientation val="minMax"/>
        </c:scaling>
        <c:delete val="0"/>
        <c:axPos val="l"/>
        <c:numFmt formatCode="0_ " sourceLinked="0"/>
        <c:majorTickMark val="none"/>
        <c:minorTickMark val="none"/>
        <c:tickLblPos val="nextTo"/>
        <c:spPr>
          <a:noFill/>
          <a:ln w="6350" cap="flat" cmpd="sng" algn="ctr">
            <a:noFill/>
            <a:prstDash val="solid"/>
            <a:round/>
          </a:ln>
          <a:effectLst/>
        </c:spPr>
        <c:txPr>
          <a:bodyPr rot="-60000000" spcFirstLastPara="1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-351310080"/>
        <c:crosses val="autoZero"/>
        <c:crossBetween val="between"/>
      </c:valAx>
      <c:catAx>
        <c:axId val="-351316608"/>
        <c:scaling>
          <c:orientation val="minMax"/>
        </c:scaling>
        <c:delete val="1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900" b="1" i="0" u="none" strike="noStrike" kern="1200" baseline="0">
                    <a:solidFill>
                      <a:sysClr val="windowText" lastClr="000000"/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defRPr>
                </a:pPr>
                <a:r>
                  <a:rPr lang="en-US" altLang="zh-CN" sz="1000" b="0"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rPr>
                  <a:t>%</a:t>
                </a:r>
                <a:endParaRPr lang="en-US" altLang="zh-CN" sz="1000" b="0">
                  <a:latin typeface="宋体" panose="02010600030101010101" charset="-122"/>
                  <a:ea typeface="宋体" panose="02010600030101010101" charset="-122"/>
                  <a:cs typeface="宋体" panose="02010600030101010101" charset="-122"/>
                  <a:sym typeface="宋体" panose="02010600030101010101" charset="-122"/>
                </a:endParaRPr>
              </a:p>
            </c:rich>
          </c:tx>
          <c:layout>
            <c:manualLayout>
              <c:xMode val="edge"/>
              <c:yMode val="edge"/>
              <c:x val="0.951480285303777"/>
              <c:y val="0.0147609605640009"/>
            </c:manualLayout>
          </c:layout>
          <c:overlay val="0"/>
        </c:title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-351310624"/>
        <c:crosses val="autoZero"/>
        <c:auto val="1"/>
        <c:lblAlgn val="ctr"/>
        <c:lblOffset val="100"/>
        <c:noMultiLvlLbl val="0"/>
      </c:catAx>
      <c:valAx>
        <c:axId val="-351310624"/>
        <c:scaling>
          <c:orientation val="minMax"/>
          <c:max val="12"/>
        </c:scaling>
        <c:delete val="0"/>
        <c:axPos val="r"/>
        <c:numFmt formatCode="0_ " sourceLinked="0"/>
        <c:majorTickMark val="none"/>
        <c:minorTickMark val="none"/>
        <c:tickLblPos val="nextTo"/>
        <c:spPr>
          <a:noFill/>
          <a:ln w="6350" cap="flat" cmpd="sng" algn="ctr">
            <a:noFill/>
            <a:prstDash val="solid"/>
            <a:round/>
          </a:ln>
          <a:effectLst/>
        </c:spPr>
        <c:txPr>
          <a:bodyPr rot="-60000000" spcFirstLastPara="1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-351316608"/>
        <c:crosses val="max"/>
        <c:crossBetween val="between"/>
        <c:majorUnit val="2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</c:legendEntry>
      <c:layout>
        <c:manualLayout>
          <c:xMode val="edge"/>
          <c:yMode val="edge"/>
          <c:x val="0.290472501936483"/>
          <c:y val="0.923405119869972"/>
          <c:w val="0.500903692228247"/>
          <c:h val="0.070093457943925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horzOverflow="overflow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宋体" panose="02010600030101010101" charset="-122"/>
              <a:ea typeface="宋体" panose="02010600030101010101" charset="-122"/>
              <a:cs typeface="宋体" panose="02010600030101010101" charset="-122"/>
              <a:sym typeface="宋体" panose="02010600030101010101" charset="-122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>
          <a:lumMod val="85000"/>
        </a:schemeClr>
      </a:solidFill>
      <a:prstDash val="solid"/>
      <a:round/>
    </a:ln>
    <a:effectLst/>
  </c:spPr>
  <c:txPr>
    <a:bodyPr rot="0" spcFirstLastPara="0" vertOverflow="ellipsis" horzOverflow="overflow" vert="horz" wrap="square" anchor="ctr" anchorCtr="1"/>
    <a:lstStyle/>
    <a:p>
      <a:pPr>
        <a:defRPr lang="zh-CN" sz="900">
          <a:solidFill>
            <a:sysClr val="windowText" lastClr="000000"/>
          </a:solidFill>
          <a:latin typeface="宋体" panose="02010600030101010101" charset="-122"/>
          <a:ea typeface="宋体" panose="02010600030101010101" charset="-122"/>
          <a:cs typeface="宋体" panose="02010600030101010101" charset="-122"/>
          <a:sym typeface="宋体" panose="02010600030101010101" charset="-122"/>
        </a:defRPr>
      </a:pPr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'[Office+Excel.xlsx]Sheet1'!$A$3</c:f>
              <c:strCache>
                <c:ptCount val="1"/>
                <c:pt idx="0">
                  <c:v>支出</c:v>
                </c:pt>
              </c:strCache>
            </c:strRef>
          </c:tx>
          <c:spPr/>
          <c:explosion val="0"/>
          <c:dPt>
            <c:idx val="0"/>
            <c:bubble3D val="0"/>
            <c:spPr>
              <a:solidFill>
                <a:srgbClr val="5B9BD5"/>
              </a:solidFill>
              <a:ln>
                <a:solidFill>
                  <a:srgbClr val="FFFFFF"/>
                </a:solidFill>
              </a:ln>
              <a:effectLst/>
            </c:spPr>
          </c:dPt>
          <c:dPt>
            <c:idx val="1"/>
            <c:bubble3D val="0"/>
            <c:spPr>
              <a:solidFill>
                <a:srgbClr val="ED7D31"/>
              </a:solidFill>
              <a:ln>
                <a:solidFill>
                  <a:srgbClr val="FFFFFF"/>
                </a:solidFill>
              </a:ln>
              <a:effectLst/>
            </c:spPr>
          </c:dPt>
          <c:dPt>
            <c:idx val="2"/>
            <c:bubble3D val="0"/>
            <c:spPr>
              <a:solidFill>
                <a:srgbClr val="A5A5A5"/>
              </a:solidFill>
              <a:ln>
                <a:solidFill>
                  <a:srgbClr val="FFFFFF"/>
                </a:solidFill>
              </a:ln>
              <a:effectLst/>
            </c:spPr>
          </c:dPt>
          <c:dPt>
            <c:idx val="3"/>
            <c:bubble3D val="0"/>
            <c:spPr>
              <a:solidFill>
                <a:srgbClr val="FFC000"/>
              </a:solidFill>
              <a:ln>
                <a:solidFill>
                  <a:srgbClr val="FFFFFF"/>
                </a:solidFill>
              </a:ln>
              <a:effectLst/>
            </c:spPr>
          </c:dPt>
          <c:dPt>
            <c:idx val="4"/>
            <c:bubble3D val="0"/>
            <c:spPr>
              <a:solidFill>
                <a:srgbClr val="4472C4"/>
              </a:solidFill>
              <a:ln>
                <a:solidFill>
                  <a:srgbClr val="FFFFFF"/>
                </a:solidFill>
              </a:ln>
              <a:effectLst/>
            </c:spPr>
          </c:dPt>
          <c:dPt>
            <c:idx val="5"/>
            <c:bubble3D val="0"/>
            <c:spPr>
              <a:solidFill>
                <a:srgbClr val="70AD47"/>
              </a:solidFill>
              <a:ln>
                <a:solidFill>
                  <a:srgbClr val="FFFFFF"/>
                </a:solidFill>
              </a:ln>
              <a:effectLst/>
            </c:spPr>
          </c:dPt>
          <c:dPt>
            <c:idx val="6"/>
            <c:bubble3D val="0"/>
            <c:spPr>
              <a:solidFill>
                <a:srgbClr val="255E91">
                  <a:lumMod val="60000"/>
                </a:srgbClr>
              </a:solidFill>
              <a:ln>
                <a:solidFill>
                  <a:srgbClr val="FFFFFF"/>
                </a:solidFill>
              </a:ln>
              <a:effectLst/>
            </c:spPr>
          </c:dPt>
          <c:dPt>
            <c:idx val="7"/>
            <c:bubble3D val="0"/>
            <c:spPr>
              <a:solidFill>
                <a:srgbClr val="9E480E">
                  <a:lumMod val="60000"/>
                </a:srgbClr>
              </a:solidFill>
              <a:ln>
                <a:solidFill>
                  <a:srgbClr val="FFFFFF"/>
                </a:solidFill>
              </a:ln>
              <a:effectLst/>
            </c:spPr>
          </c:dPt>
          <c:dLbls>
            <c:dLbl>
              <c:idx val="0"/>
              <c:layout>
                <c:manualLayout>
                  <c:x val="0.0907894736842105"/>
                  <c:y val="0.118055555555556"/>
                </c:manualLayout>
              </c:layout>
              <c:tx>
                <c:rich>
                  <a:bodyPr rot="0" spcFirstLastPara="0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900" b="0" i="0" u="none" strike="noStrike" kern="1200" spc="0" baseline="0">
                        <a:solidFill>
                          <a:sysClr val="windowText" lastClr="000000"/>
                        </a:solidFill>
                        <a:latin typeface="宋体" panose="02010600030101010101" charset="-122"/>
                        <a:ea typeface="宋体" panose="02010600030101010101" charset="-122"/>
                        <a:cs typeface="宋体" panose="02010600030101010101" charset="-122"/>
                        <a:sym typeface="宋体" panose="02010600030101010101" charset="-122"/>
                      </a:defRPr>
                    </a:pPr>
                    <a:r>
                      <a:rPr sz="900" b="0">
                        <a:latin typeface="宋体" panose="02010600030101010101" charset="-122"/>
                        <a:ea typeface="宋体" panose="02010600030101010101" charset="-122"/>
                        <a:cs typeface="宋体" panose="02010600030101010101" charset="-122"/>
                        <a:sym typeface="宋体" panose="02010600030101010101" charset="-122"/>
                      </a:rPr>
                      <a:t>食品烟酒, 10493元, 28%</a:t>
                    </a:r>
                    <a:endParaRPr sz="900" b="0"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endParaRPr>
                  </a:p>
                </c:rich>
              </c:tx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spc="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"/>
              <c:layout>
                <c:manualLayout>
                  <c:x val="0.0592105263157895"/>
                  <c:y val="0.00347222222222222"/>
                </c:manualLayout>
              </c:layout>
              <c:tx>
                <c:rich>
                  <a:bodyPr rot="0" spcFirstLastPara="0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900" b="0" i="0" u="none" strike="noStrike" kern="1200" spc="0" baseline="0">
                        <a:solidFill>
                          <a:sysClr val="windowText" lastClr="000000"/>
                        </a:solidFill>
                        <a:latin typeface="宋体" panose="02010600030101010101" charset="-122"/>
                        <a:ea typeface="宋体" panose="02010600030101010101" charset="-122"/>
                        <a:cs typeface="宋体" panose="02010600030101010101" charset="-122"/>
                        <a:sym typeface="宋体" panose="02010600030101010101" charset="-122"/>
                      </a:defRPr>
                    </a:pPr>
                    <a:r>
                      <a:rPr sz="900" b="0">
                        <a:latin typeface="宋体" panose="02010600030101010101" charset="-122"/>
                        <a:ea typeface="宋体" panose="02010600030101010101" charset="-122"/>
                        <a:cs typeface="宋体" panose="02010600030101010101" charset="-122"/>
                        <a:sym typeface="宋体" panose="02010600030101010101" charset="-122"/>
                      </a:rPr>
                      <a:t>衣着, 3149元, 9%</a:t>
                    </a:r>
                    <a:endParaRPr sz="900" b="0"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endParaRPr>
                  </a:p>
                </c:rich>
              </c:tx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spc="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0.185526315789474"/>
                  <c:y val="0"/>
                </c:manualLayout>
              </c:layout>
              <c:tx>
                <c:rich>
                  <a:bodyPr rot="0" spcFirstLastPara="0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900" b="0" i="0" u="none" strike="noStrike" kern="1200" spc="0" baseline="0">
                        <a:solidFill>
                          <a:sysClr val="windowText" lastClr="000000"/>
                        </a:solidFill>
                        <a:latin typeface="宋体" panose="02010600030101010101" charset="-122"/>
                        <a:ea typeface="宋体" panose="02010600030101010101" charset="-122"/>
                        <a:cs typeface="宋体" panose="02010600030101010101" charset="-122"/>
                        <a:sym typeface="宋体" panose="02010600030101010101" charset="-122"/>
                      </a:defRPr>
                    </a:pPr>
                    <a:r>
                      <a:rPr sz="900" b="0">
                        <a:latin typeface="宋体" panose="02010600030101010101" charset="-122"/>
                        <a:ea typeface="宋体" panose="02010600030101010101" charset="-122"/>
                        <a:cs typeface="宋体" panose="02010600030101010101" charset="-122"/>
                        <a:sym typeface="宋体" panose="02010600030101010101" charset="-122"/>
                      </a:rPr>
                      <a:t>居住, 8240元, 22%</a:t>
                    </a:r>
                    <a:endParaRPr sz="900" b="0"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endParaRPr>
                  </a:p>
                </c:rich>
              </c:tx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spc="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-0.15"/>
                  <c:y val="-0.0138888888888889"/>
                </c:manualLayout>
              </c:layout>
              <c:tx>
                <c:rich>
                  <a:bodyPr rot="0" spcFirstLastPara="0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900" b="0" i="0" u="none" strike="noStrike" kern="1200" spc="0" baseline="0">
                        <a:solidFill>
                          <a:sysClr val="windowText" lastClr="000000"/>
                        </a:solidFill>
                        <a:latin typeface="宋体" panose="02010600030101010101" charset="-122"/>
                        <a:ea typeface="宋体" panose="02010600030101010101" charset="-122"/>
                        <a:cs typeface="宋体" panose="02010600030101010101" charset="-122"/>
                        <a:sym typeface="宋体" panose="02010600030101010101" charset="-122"/>
                      </a:defRPr>
                    </a:pPr>
                    <a:r>
                      <a:rPr sz="900" b="0">
                        <a:latin typeface="宋体" panose="02010600030101010101" charset="-122"/>
                        <a:ea typeface="宋体" panose="02010600030101010101" charset="-122"/>
                        <a:cs typeface="宋体" panose="02010600030101010101" charset="-122"/>
                        <a:sym typeface="宋体" panose="02010600030101010101" charset="-122"/>
                      </a:rPr>
                      <a:t>生活用品及服务, 2320元, 6%</a:t>
                    </a:r>
                    <a:endParaRPr sz="900" b="0"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endParaRPr>
                  </a:p>
                </c:rich>
              </c:tx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spc="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4"/>
              <c:layout>
                <c:manualLayout>
                  <c:x val="-0.0375"/>
                  <c:y val="0.00694444444444444"/>
                </c:manualLayout>
              </c:layout>
              <c:tx>
                <c:rich>
                  <a:bodyPr rot="0" spcFirstLastPara="0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900" b="0" i="0" u="none" strike="noStrike" kern="1200" spc="0" baseline="0">
                        <a:solidFill>
                          <a:sysClr val="windowText" lastClr="000000"/>
                        </a:solidFill>
                        <a:latin typeface="宋体" panose="02010600030101010101" charset="-122"/>
                        <a:ea typeface="宋体" panose="02010600030101010101" charset="-122"/>
                        <a:cs typeface="宋体" panose="02010600030101010101" charset="-122"/>
                        <a:sym typeface="宋体" panose="02010600030101010101" charset="-122"/>
                      </a:defRPr>
                    </a:pPr>
                    <a:r>
                      <a:rPr sz="900" b="0">
                        <a:latin typeface="宋体" panose="02010600030101010101" charset="-122"/>
                        <a:ea typeface="宋体" panose="02010600030101010101" charset="-122"/>
                        <a:cs typeface="宋体" panose="02010600030101010101" charset="-122"/>
                        <a:sym typeface="宋体" panose="02010600030101010101" charset="-122"/>
                      </a:rPr>
                      <a:t>交通通信, 5998元, 16%</a:t>
                    </a:r>
                    <a:endParaRPr sz="900" b="0"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endParaRPr>
                  </a:p>
                </c:rich>
              </c:tx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spc="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5"/>
              <c:layout>
                <c:manualLayout>
                  <c:x val="-0.110526315789474"/>
                  <c:y val="0.0625"/>
                </c:manualLayout>
              </c:layout>
              <c:tx>
                <c:rich>
                  <a:bodyPr rot="0" spcFirstLastPara="0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900" b="0" i="0" u="none" strike="noStrike" kern="1200" spc="0" baseline="0">
                        <a:solidFill>
                          <a:sysClr val="windowText" lastClr="000000"/>
                        </a:solidFill>
                        <a:latin typeface="宋体" panose="02010600030101010101" charset="-122"/>
                        <a:ea typeface="宋体" panose="02010600030101010101" charset="-122"/>
                        <a:cs typeface="宋体" panose="02010600030101010101" charset="-122"/>
                        <a:sym typeface="宋体" panose="02010600030101010101" charset="-122"/>
                      </a:defRPr>
                    </a:pPr>
                    <a:r>
                      <a:rPr sz="900" b="0">
                        <a:latin typeface="宋体" panose="02010600030101010101" charset="-122"/>
                        <a:ea typeface="宋体" panose="02010600030101010101" charset="-122"/>
                        <a:cs typeface="宋体" panose="02010600030101010101" charset="-122"/>
                        <a:sym typeface="宋体" panose="02010600030101010101" charset="-122"/>
                      </a:rPr>
                      <a:t>教育文化娱乐, 4156元, 11%</a:t>
                    </a:r>
                    <a:endParaRPr sz="900" b="0"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endParaRPr>
                  </a:p>
                </c:rich>
              </c:tx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spc="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6"/>
              <c:layout>
                <c:manualLayout>
                  <c:x val="-0.236842105263158"/>
                  <c:y val="0.0208333333333333"/>
                </c:manualLayout>
              </c:layout>
              <c:tx>
                <c:rich>
                  <a:bodyPr rot="0" spcFirstLastPara="0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900" b="0" i="0" u="none" strike="noStrike" kern="1200" spc="0" baseline="0">
                        <a:solidFill>
                          <a:sysClr val="windowText" lastClr="000000"/>
                        </a:solidFill>
                        <a:latin typeface="宋体" panose="02010600030101010101" charset="-122"/>
                        <a:ea typeface="宋体" panose="02010600030101010101" charset="-122"/>
                        <a:cs typeface="宋体" panose="02010600030101010101" charset="-122"/>
                        <a:sym typeface="宋体" panose="02010600030101010101" charset="-122"/>
                      </a:defRPr>
                    </a:pPr>
                    <a:r>
                      <a:rPr sz="900" b="0">
                        <a:latin typeface="宋体" panose="02010600030101010101" charset="-122"/>
                        <a:ea typeface="宋体" panose="02010600030101010101" charset="-122"/>
                        <a:cs typeface="宋体" panose="02010600030101010101" charset="-122"/>
                        <a:sym typeface="宋体" panose="02010600030101010101" charset="-122"/>
                      </a:rPr>
                      <a:t>医疗保健, 2226元, 6%</a:t>
                    </a:r>
                    <a:endParaRPr sz="900" b="0"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endParaRPr>
                  </a:p>
                </c:rich>
              </c:tx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spc="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7"/>
              <c:layout>
                <c:manualLayout>
                  <c:x val="0.282236842105263"/>
                  <c:y val="0"/>
                </c:manualLayout>
              </c:layout>
              <c:tx>
                <c:rich>
                  <a:bodyPr rot="0" spcFirstLastPara="0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900" b="0" i="0" u="none" strike="noStrike" kern="1200" spc="0" baseline="0">
                        <a:solidFill>
                          <a:sysClr val="windowText" lastClr="000000"/>
                        </a:solidFill>
                        <a:latin typeface="宋体" panose="02010600030101010101" charset="-122"/>
                        <a:ea typeface="宋体" panose="02010600030101010101" charset="-122"/>
                        <a:cs typeface="宋体" panose="02010600030101010101" charset="-122"/>
                        <a:sym typeface="宋体" panose="02010600030101010101" charset="-122"/>
                      </a:defRPr>
                    </a:pPr>
                    <a:r>
                      <a:rPr sz="900" b="0">
                        <a:latin typeface="宋体" panose="02010600030101010101" charset="-122"/>
                        <a:ea typeface="宋体" panose="02010600030101010101" charset="-122"/>
                        <a:cs typeface="宋体" panose="02010600030101010101" charset="-122"/>
                        <a:sym typeface="宋体" panose="02010600030101010101" charset="-122"/>
                      </a:rPr>
                      <a:t>其他用品及服务, 847元, 2%</a:t>
                    </a:r>
                    <a:endParaRPr sz="900" b="0"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endParaRPr>
                  </a:p>
                </c:rich>
              </c:tx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spc="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spc="0" baseline="0">
                    <a:solidFill>
                      <a:sysClr val="windowText" lastClr="000000"/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defRPr>
                </a:pPr>
              </a:p>
            </c:txPr>
            <c:dLblPos val="outEnd"/>
            <c:showLegendKey val="0"/>
            <c:showVal val="0"/>
            <c:showCatName val="1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rgbClr val="A6A6A6">
                          <a:lumMod val="35000"/>
                          <a:lumOff val="65000"/>
                        </a:srgb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'[Office+Excel.xlsx]Sheet1'!$B$2:$I$2</c:f>
              <c:strCache>
                <c:ptCount val="8"/>
                <c:pt idx="0">
                  <c:v>食品烟酒</c:v>
                </c:pt>
                <c:pt idx="1">
                  <c:v>衣着</c:v>
                </c:pt>
                <c:pt idx="2">
                  <c:v>居住</c:v>
                </c:pt>
                <c:pt idx="3">
                  <c:v>生活用品及服务</c:v>
                </c:pt>
                <c:pt idx="4">
                  <c:v>交通通信</c:v>
                </c:pt>
                <c:pt idx="5">
                  <c:v>教育文化娱乐</c:v>
                </c:pt>
                <c:pt idx="6">
                  <c:v>医疗保健</c:v>
                </c:pt>
                <c:pt idx="7">
                  <c:v>其他用品及服务</c:v>
                </c:pt>
              </c:strCache>
            </c:strRef>
          </c:cat>
          <c:val>
            <c:numRef>
              <c:f>'[Office+Excel.xlsx]Sheet1'!$B$3:$I$3</c:f>
              <c:numCache>
                <c:formatCode>General</c:formatCode>
                <c:ptCount val="8"/>
                <c:pt idx="0">
                  <c:v>10493</c:v>
                </c:pt>
                <c:pt idx="1">
                  <c:v>3149</c:v>
                </c:pt>
                <c:pt idx="2">
                  <c:v>8240</c:v>
                </c:pt>
                <c:pt idx="3">
                  <c:v>2320</c:v>
                </c:pt>
                <c:pt idx="4">
                  <c:v>5998</c:v>
                </c:pt>
                <c:pt idx="5">
                  <c:v>4156</c:v>
                </c:pt>
                <c:pt idx="6">
                  <c:v>2226</c:v>
                </c:pt>
                <c:pt idx="7">
                  <c:v>847</c:v>
                </c:pt>
              </c:numCache>
            </c:numRef>
          </c:val>
        </c:ser>
        <c:dLbls>
          <c:showLegendKey val="0"/>
          <c:showVal val="0"/>
          <c:showCatName val="1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rgbClr val="FFFFFF"/>
    </a:solidFill>
    <a:ln w="9525" cap="flat" cmpd="sng" algn="ctr">
      <a:solidFill>
        <a:schemeClr val="bg1">
          <a:lumMod val="85000"/>
        </a:schemeClr>
      </a:solidFill>
      <a:round/>
    </a:ln>
    <a:effectLst/>
  </c:spPr>
  <c:txPr>
    <a:bodyPr/>
    <a:lstStyle/>
    <a:p>
      <a:pPr>
        <a:defRPr lang="zh-CN" b="0">
          <a:solidFill>
            <a:sysClr val="windowText" lastClr="000000"/>
          </a:solidFill>
        </a:defRPr>
      </a:pPr>
    </a:p>
  </c:txPr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lang="zh-CN" sz="1080" b="0" i="0" u="none" strike="noStrike" kern="1200" spc="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  <a:r>
              <a:rPr lang="zh-CN"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rPr>
              <a:t>万人</a:t>
            </a:r>
            <a:endParaRPr lang="zh-CN">
              <a:latin typeface="宋体" panose="02010600030101010101" charset="-122"/>
              <a:ea typeface="宋体" panose="02010600030101010101" charset="-122"/>
              <a:cs typeface="宋体" panose="02010600030101010101" charset="-122"/>
              <a:sym typeface="宋体" panose="02010600030101010101" charset="-122"/>
            </a:endParaRPr>
          </a:p>
        </c:rich>
      </c:tx>
      <c:layout>
        <c:manualLayout>
          <c:xMode val="edge"/>
          <c:yMode val="edge"/>
          <c:x val="0.010426629081426"/>
          <c:y val="0.0403497615262321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0609536815750541"/>
          <c:y val="0.161100658513641"/>
          <c:w val="0.91400933196768"/>
          <c:h val="0.672013170272813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[公报表格.xlsx]Sheet2!$A$23</c:f>
              <c:strCache>
                <c:ptCount val="1"/>
                <c:pt idx="0">
                  <c:v>城镇职工基本养老保险参保人数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0.00184003925417077"/>
                  <c:y val="-0.309027777777778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"/>
              <c:layout>
                <c:manualLayout>
                  <c:x val="-0.0101733725875042"/>
                  <c:y val="-0.3125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0.0027777777777778"/>
                  <c:y val="-0.329861111111111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0.000356896313788027"/>
                  <c:y val="-0.356481481481481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0914890625"/>
                      <c:h val="0.0798611111111111"/>
                    </c:manualLayout>
                  </c15:layout>
                </c:ext>
              </c:extLst>
            </c:dLbl>
            <c:dLbl>
              <c:idx val="4"/>
              <c:layout>
                <c:manualLayout>
                  <c:x val="0"/>
                  <c:y val="-0.369212962962963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1" vertOverflow="ellipsis" horzOverflow="overflow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[公报表格.xlsx]Sheet2!$B$22:$F$22</c:f>
              <c:strCache>
                <c:ptCount val="5"/>
                <c:pt idx="0">
                  <c:v>2021年</c:v>
                </c:pt>
                <c:pt idx="1">
                  <c:v>2022年</c:v>
                </c:pt>
                <c:pt idx="2">
                  <c:v>2023年</c:v>
                </c:pt>
                <c:pt idx="3">
                  <c:v>2024年</c:v>
                </c:pt>
                <c:pt idx="4">
                  <c:v>2025年</c:v>
                </c:pt>
              </c:strCache>
            </c:strRef>
          </c:cat>
          <c:val>
            <c:numRef>
              <c:f>[公报表格.xlsx]Sheet2!$B$23:$F$23</c:f>
              <c:numCache>
                <c:formatCode>General</c:formatCode>
                <c:ptCount val="5"/>
                <c:pt idx="0">
                  <c:v>503.58</c:v>
                </c:pt>
                <c:pt idx="1">
                  <c:v>536.98</c:v>
                </c:pt>
                <c:pt idx="2">
                  <c:v>579.54</c:v>
                </c:pt>
                <c:pt idx="3">
                  <c:v>598.18</c:v>
                </c:pt>
                <c:pt idx="4">
                  <c:v>609.81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06635624"/>
        <c:axId val="506649728"/>
      </c:barChart>
      <c:catAx>
        <c:axId val="5066356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506649728"/>
        <c:crosses val="autoZero"/>
        <c:auto val="1"/>
        <c:lblAlgn val="ctr"/>
        <c:lblOffset val="100"/>
        <c:noMultiLvlLbl val="0"/>
      </c:catAx>
      <c:valAx>
        <c:axId val="50664972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noFill/>
            <a:prstDash val="solid"/>
            <a:round/>
          </a:ln>
          <a:effectLst/>
        </c:spPr>
        <c:txPr>
          <a:bodyPr rot="-60000000" spcFirstLastPara="1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5066356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  <a:effectLst/>
  </c:spPr>
  <c:txPr>
    <a:bodyPr rot="0" spcFirstLastPara="0" vertOverflow="ellipsis" horzOverflow="overflow" vert="horz" wrap="square" anchor="ctr" anchorCtr="1"/>
    <a:lstStyle/>
    <a:p>
      <a:pPr>
        <a:defRPr lang="zh-CN" sz="900">
          <a:solidFill>
            <a:sysClr val="windowText" lastClr="000000"/>
          </a:solidFill>
          <a:latin typeface="宋体" panose="02010600030101010101" charset="-122"/>
          <a:ea typeface="宋体" panose="02010600030101010101" charset="-122"/>
          <a:cs typeface="宋体" panose="02010600030101010101" charset="-122"/>
          <a:sym typeface="宋体" panose="02010600030101010101" charset="-122"/>
        </a:defRPr>
      </a:pPr>
    </a:p>
  </c:txPr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lang="zh-CN" sz="1080" b="0" i="0" u="none" strike="noStrike" kern="1200" spc="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  <a:r>
              <a:rPr lang="zh-CN"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rPr>
              <a:t>万人</a:t>
            </a:r>
            <a:endParaRPr lang="zh-CN">
              <a:latin typeface="宋体" panose="02010600030101010101" charset="-122"/>
              <a:ea typeface="宋体" panose="02010600030101010101" charset="-122"/>
              <a:cs typeface="宋体" panose="02010600030101010101" charset="-122"/>
              <a:sym typeface="宋体" panose="02010600030101010101" charset="-122"/>
            </a:endParaRPr>
          </a:p>
        </c:rich>
      </c:tx>
      <c:layout>
        <c:manualLayout>
          <c:xMode val="edge"/>
          <c:yMode val="edge"/>
          <c:x val="0.135299109358673"/>
          <c:y val="0.0371901377988751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[公报表格.xlsx]Sheet2!$A$4</c:f>
              <c:strCache>
                <c:ptCount val="1"/>
                <c:pt idx="0">
                  <c:v>普通高校本专科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  <a:sp3d/>
          </c:spPr>
          <c:invertIfNegative val="0"/>
          <c:dLbls>
            <c:delete val="1"/>
          </c:dLbls>
          <c:cat>
            <c:strRef>
              <c:f>[公报表格.xlsx]Sheet2!$B$3:$F$3</c:f>
              <c:strCache>
                <c:ptCount val="5"/>
                <c:pt idx="0">
                  <c:v>2021年</c:v>
                </c:pt>
                <c:pt idx="1">
                  <c:v>2022年</c:v>
                </c:pt>
                <c:pt idx="2">
                  <c:v>2023年</c:v>
                </c:pt>
                <c:pt idx="3">
                  <c:v>2024年</c:v>
                </c:pt>
                <c:pt idx="4">
                  <c:v>2025年</c:v>
                </c:pt>
              </c:strCache>
            </c:strRef>
          </c:cat>
          <c:val>
            <c:numRef>
              <c:f>[公报表格.xlsx]Sheet2!$B$4:$F$4</c:f>
              <c:numCache>
                <c:formatCode>0.00_ </c:formatCode>
                <c:ptCount val="5"/>
                <c:pt idx="0">
                  <c:v>12.06</c:v>
                </c:pt>
                <c:pt idx="1" c:formatCode="General">
                  <c:v>12.49</c:v>
                </c:pt>
                <c:pt idx="2" c:formatCode="General">
                  <c:v>13.96</c:v>
                </c:pt>
                <c:pt idx="3" c:formatCode="General">
                  <c:v>13.47</c:v>
                </c:pt>
                <c:pt idx="4" c:formatCode="General">
                  <c:v>13.71</c:v>
                </c:pt>
              </c:numCache>
            </c:numRef>
          </c:val>
        </c:ser>
        <c:ser>
          <c:idx val="1"/>
          <c:order val="1"/>
          <c:tx>
            <c:strRef>
              <c:f>[公报表格.xlsx]Sheet2!$A$5</c:f>
              <c:strCache>
                <c:ptCount val="1"/>
                <c:pt idx="0">
                  <c:v>中等职业学校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delete val="1"/>
          </c:dLbls>
          <c:cat>
            <c:strRef>
              <c:f>[公报表格.xlsx]Sheet2!$B$3:$F$3</c:f>
              <c:strCache>
                <c:ptCount val="5"/>
                <c:pt idx="0">
                  <c:v>2021年</c:v>
                </c:pt>
                <c:pt idx="1">
                  <c:v>2022年</c:v>
                </c:pt>
                <c:pt idx="2">
                  <c:v>2023年</c:v>
                </c:pt>
                <c:pt idx="3">
                  <c:v>2024年</c:v>
                </c:pt>
                <c:pt idx="4">
                  <c:v>2025年</c:v>
                </c:pt>
              </c:strCache>
            </c:strRef>
          </c:cat>
          <c:val>
            <c:numRef>
              <c:f>[公报表格.xlsx]Sheet2!$B$5:$F$5</c:f>
              <c:numCache>
                <c:formatCode>0.00_ </c:formatCode>
                <c:ptCount val="5"/>
                <c:pt idx="0">
                  <c:v>2.72</c:v>
                </c:pt>
                <c:pt idx="1" c:formatCode="General">
                  <c:v>2.78</c:v>
                </c:pt>
                <c:pt idx="2" c:formatCode="General">
                  <c:v>2.67</c:v>
                </c:pt>
                <c:pt idx="3" c:formatCode="General">
                  <c:v>2.39</c:v>
                </c:pt>
                <c:pt idx="4" c:formatCode="General">
                  <c:v>2.14</c:v>
                </c:pt>
              </c:numCache>
            </c:numRef>
          </c:val>
        </c:ser>
        <c:ser>
          <c:idx val="2"/>
          <c:order val="2"/>
          <c:tx>
            <c:strRef>
              <c:f>[公报表格.xlsx]Sheet2!$A$6</c:f>
              <c:strCache>
                <c:ptCount val="1"/>
                <c:pt idx="0">
                  <c:v>普通高中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delete val="1"/>
          </c:dLbls>
          <c:cat>
            <c:strRef>
              <c:f>[公报表格.xlsx]Sheet2!$B$3:$F$3</c:f>
              <c:strCache>
                <c:ptCount val="5"/>
                <c:pt idx="0">
                  <c:v>2021年</c:v>
                </c:pt>
                <c:pt idx="1">
                  <c:v>2022年</c:v>
                </c:pt>
                <c:pt idx="2">
                  <c:v>2023年</c:v>
                </c:pt>
                <c:pt idx="3">
                  <c:v>2024年</c:v>
                </c:pt>
                <c:pt idx="4">
                  <c:v>2025年</c:v>
                </c:pt>
              </c:strCache>
            </c:strRef>
          </c:cat>
          <c:val>
            <c:numRef>
              <c:f>[公报表格.xlsx]Sheet2!$B$6:$F$6</c:f>
              <c:numCache>
                <c:formatCode>0.00_ </c:formatCode>
                <c:ptCount val="5"/>
                <c:pt idx="0">
                  <c:v>5.28</c:v>
                </c:pt>
                <c:pt idx="1" c:formatCode="General">
                  <c:v>5.79</c:v>
                </c:pt>
                <c:pt idx="2" c:formatCode="General">
                  <c:v>6.06</c:v>
                </c:pt>
                <c:pt idx="3" c:formatCode="General">
                  <c:v>5.84</c:v>
                </c:pt>
                <c:pt idx="4" c:formatCode="General">
                  <c:v>6.12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505817160"/>
        <c:axId val="505821424"/>
      </c:barChart>
      <c:catAx>
        <c:axId val="5058171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505821424"/>
        <c:crosses val="autoZero"/>
        <c:auto val="1"/>
        <c:lblAlgn val="ctr"/>
        <c:lblOffset val="100"/>
        <c:noMultiLvlLbl val="0"/>
      </c:catAx>
      <c:valAx>
        <c:axId val="5058214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_);[Red]\(0\)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505817160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</c:dTable>
      <c:spPr>
        <a:noFill/>
        <a:ln w="25400"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 rot="0" spcFirstLastPara="0" vertOverflow="ellipsis" horzOverflow="overflow" vert="horz" wrap="square" anchor="ctr" anchorCtr="1"/>
    <a:lstStyle/>
    <a:p>
      <a:pPr>
        <a:defRPr lang="zh-CN" sz="900">
          <a:solidFill>
            <a:sysClr val="windowText" lastClr="000000"/>
          </a:solidFill>
          <a:latin typeface="宋体" panose="02010600030101010101" charset="-122"/>
          <a:ea typeface="宋体" panose="02010600030101010101" charset="-122"/>
          <a:cs typeface="宋体" panose="02010600030101010101" charset="-122"/>
          <a:sym typeface="宋体" panose="02010600030101010101" charset="-122"/>
        </a:defRPr>
      </a:pPr>
    </a:p>
  </c:txPr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lang="zh-CN" sz="1080" b="0" i="0" u="none" strike="noStrike" kern="1200" spc="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  <a:r>
              <a:rPr lang="zh-CN"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rPr>
              <a:t>亿千瓦时</a:t>
            </a:r>
            <a:endParaRPr lang="zh-CN">
              <a:latin typeface="宋体" panose="02010600030101010101" charset="-122"/>
              <a:ea typeface="宋体" panose="02010600030101010101" charset="-122"/>
              <a:cs typeface="宋体" panose="02010600030101010101" charset="-122"/>
              <a:sym typeface="宋体" panose="02010600030101010101" charset="-122"/>
            </a:endParaRPr>
          </a:p>
        </c:rich>
      </c:tx>
      <c:layout>
        <c:manualLayout>
          <c:xMode val="edge"/>
          <c:yMode val="edge"/>
          <c:x val="0.00205"/>
          <c:y val="0.0088660130718954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0576533515420508"/>
          <c:y val="0.142050799623706"/>
          <c:w val="0.886855582109935"/>
          <c:h val="0.63626528692380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[公报表格.xlsx]Sheet2!$B$63</c:f>
              <c:strCache>
                <c:ptCount val="1"/>
                <c:pt idx="0">
                  <c:v>全社会用电量
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1" vertOverflow="ellipsis" horzOverflow="overflow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[公报表格.xlsx]Sheet2!$A$64:$A$68</c:f>
              <c:strCache>
                <c:ptCount val="5"/>
                <c:pt idx="0" c:formatCode="@">
                  <c:v>2021年</c:v>
                </c:pt>
                <c:pt idx="1" c:formatCode="@">
                  <c:v>2022年</c:v>
                </c:pt>
                <c:pt idx="2">
                  <c:v>2023年</c:v>
                </c:pt>
                <c:pt idx="3">
                  <c:v>2024年</c:v>
                </c:pt>
                <c:pt idx="4">
                  <c:v>2025年</c:v>
                </c:pt>
              </c:strCache>
            </c:strRef>
          </c:cat>
          <c:val>
            <c:numRef>
              <c:f>[公报表格.xlsx]Sheet2!$B$64:$B$68</c:f>
              <c:numCache>
                <c:formatCode>0.0_ </c:formatCode>
                <c:ptCount val="5"/>
                <c:pt idx="0">
                  <c:v>552.7</c:v>
                </c:pt>
                <c:pt idx="1" c:formatCode="General">
                  <c:v>576.5</c:v>
                </c:pt>
                <c:pt idx="2" c:formatCode="General">
                  <c:v>622.9</c:v>
                </c:pt>
                <c:pt idx="3" c:formatCode="General">
                  <c:v>683.6</c:v>
                </c:pt>
                <c:pt idx="4" c:formatCode="General">
                  <c:v>729.7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06641856"/>
        <c:axId val="506639560"/>
      </c:barChart>
      <c:lineChart>
        <c:grouping val="standard"/>
        <c:varyColors val="0"/>
        <c:ser>
          <c:idx val="1"/>
          <c:order val="1"/>
          <c:tx>
            <c:strRef>
              <c:f>[公报表格.xlsx]Sheet2!$C$63</c:f>
              <c:strCache>
                <c:ptCount val="1"/>
                <c:pt idx="0">
                  <c:v>增速</c:v>
                </c:pt>
              </c:strCache>
            </c:strRef>
          </c:tx>
          <c:spPr>
            <a:ln w="28575" cap="rnd" cmpd="sng" algn="ctr">
              <a:solidFill>
                <a:srgbClr val="FF0000"/>
              </a:solidFill>
              <a:prstDash val="solid"/>
              <a:round/>
            </a:ln>
            <a:effectLst/>
          </c:spPr>
          <c:marker>
            <c:symbol val="triangle"/>
            <c:size val="5"/>
            <c:spPr>
              <a:solidFill>
                <a:srgbClr val="FF0000"/>
              </a:solidFill>
              <a:ln w="9525" cap="flat" cmpd="sng" algn="ctr">
                <a:solidFill>
                  <a:schemeClr val="accent2"/>
                </a:solidFill>
                <a:prstDash val="solid"/>
                <a:round/>
              </a:ln>
              <a:effectLst/>
            </c:spPr>
          </c:marker>
          <c:dLbls>
            <c:dLbl>
              <c:idx val="0"/>
              <c:layout>
                <c:manualLayout>
                  <c:x val="-0.00625"/>
                  <c:y val="-0.00749250749250749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0898611111111111"/>
                      <c:h val="0.0746753246753247"/>
                    </c:manualLayout>
                  </c15:layout>
                </c:ext>
              </c:extLst>
            </c:dLbl>
            <c:dLbl>
              <c:idx val="1"/>
              <c:layout>
                <c:manualLayout>
                  <c:x val="0.0104166666666667"/>
                  <c:y val="-0.0224775224775225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0.0166666666666667"/>
                  <c:y val="0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0.0167881944444444"/>
                  <c:y val="-0.0535503267973856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4"/>
              <c:layout>
                <c:manualLayout>
                  <c:x val="0.00881944444444444"/>
                  <c:y val="-0.0207516339869281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宋体" panose="02010600030101010101" charset="-122"/>
                      <a:ea typeface="宋体" panose="02010600030101010101" charset="-122"/>
                      <a:cs typeface="宋体" panose="02010600030101010101" charset="-122"/>
                      <a:sym typeface="宋体" panose="02010600030101010101" charset="-122"/>
                    </a:defRPr>
                  </a:pPr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1" vertOverflow="ellipsis" horzOverflow="overflow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defRPr>
                </a:pPr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[公报表格.xlsx]Sheet2!$A$64:$A$68</c:f>
              <c:strCache>
                <c:ptCount val="5"/>
                <c:pt idx="0" c:formatCode="@">
                  <c:v>2021年</c:v>
                </c:pt>
                <c:pt idx="1" c:formatCode="@">
                  <c:v>2022年</c:v>
                </c:pt>
                <c:pt idx="2">
                  <c:v>2023年</c:v>
                </c:pt>
                <c:pt idx="3">
                  <c:v>2024年</c:v>
                </c:pt>
                <c:pt idx="4">
                  <c:v>2025年</c:v>
                </c:pt>
              </c:strCache>
            </c:strRef>
          </c:cat>
          <c:val>
            <c:numRef>
              <c:f>[公报表格.xlsx]Sheet2!$C$64:$C$68</c:f>
              <c:numCache>
                <c:formatCode>0.0_ </c:formatCode>
                <c:ptCount val="5"/>
                <c:pt idx="0">
                  <c:v>16</c:v>
                </c:pt>
                <c:pt idx="1" c:formatCode="General">
                  <c:v>4.3</c:v>
                </c:pt>
                <c:pt idx="2" c:formatCode="General">
                  <c:v>8.1</c:v>
                </c:pt>
                <c:pt idx="3" c:formatCode="General">
                  <c:v>9.8</c:v>
                </c:pt>
                <c:pt idx="4" c:formatCode="General">
                  <c:v>6.7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11825304"/>
        <c:axId val="711824976"/>
      </c:lineChart>
      <c:catAx>
        <c:axId val="5066418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506639560"/>
        <c:crossesAt val="0"/>
        <c:auto val="1"/>
        <c:lblAlgn val="ctr"/>
        <c:lblOffset val="100"/>
        <c:noMultiLvlLbl val="0"/>
      </c:catAx>
      <c:valAx>
        <c:axId val="506639560"/>
        <c:scaling>
          <c:orientation val="minMax"/>
        </c:scaling>
        <c:delete val="0"/>
        <c:axPos val="l"/>
        <c:numFmt formatCode="0_ " sourceLinked="0"/>
        <c:majorTickMark val="none"/>
        <c:minorTickMark val="none"/>
        <c:tickLblPos val="nextTo"/>
        <c:spPr>
          <a:noFill/>
          <a:ln w="6350" cap="flat" cmpd="sng" algn="ctr">
            <a:noFill/>
            <a:prstDash val="solid"/>
            <a:round/>
          </a:ln>
          <a:effectLst/>
        </c:spPr>
        <c:txPr>
          <a:bodyPr rot="-60000000" spcFirstLastPara="1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506641856"/>
        <c:crosses val="autoZero"/>
        <c:crossBetween val="between"/>
      </c:valAx>
      <c:catAx>
        <c:axId val="711825304"/>
        <c:scaling>
          <c:orientation val="minMax"/>
        </c:scaling>
        <c:delete val="1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900" b="1" i="0" u="none" strike="noStrike" kern="1200" baseline="0">
                    <a:solidFill>
                      <a:sysClr val="windowText" lastClr="000000"/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defRPr>
                </a:pPr>
                <a:r>
                  <a:rPr lang="en-US" altLang="zh-CN" sz="1000" b="0"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rPr>
                  <a:t>%</a:t>
                </a:r>
                <a:endParaRPr lang="en-US" altLang="zh-CN" sz="1000" b="0">
                  <a:latin typeface="宋体" panose="02010600030101010101" charset="-122"/>
                  <a:ea typeface="宋体" panose="02010600030101010101" charset="-122"/>
                  <a:cs typeface="宋体" panose="02010600030101010101" charset="-122"/>
                  <a:sym typeface="宋体" panose="02010600030101010101" charset="-122"/>
                </a:endParaRPr>
              </a:p>
            </c:rich>
          </c:tx>
          <c:layout>
            <c:manualLayout>
              <c:xMode val="edge"/>
              <c:yMode val="edge"/>
              <c:x val="0.951480285303777"/>
              <c:y val="0.0147609605640009"/>
            </c:manualLayout>
          </c:layout>
          <c:overlay val="0"/>
        </c:title>
        <c:numFmt formatCode="General" sourceLinked="1"/>
        <c:majorTickMark val="none"/>
        <c:minorTickMark val="none"/>
        <c:tickLblPos val="nextTo"/>
        <c:txPr>
          <a:bodyPr rot="-60000000" spcFirstLastPara="0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711824976"/>
        <c:crosses val="autoZero"/>
        <c:auto val="1"/>
        <c:lblAlgn val="ctr"/>
        <c:lblOffset val="100"/>
        <c:noMultiLvlLbl val="0"/>
      </c:catAx>
      <c:valAx>
        <c:axId val="711824976"/>
        <c:scaling>
          <c:orientation val="minMax"/>
          <c:max val="30"/>
        </c:scaling>
        <c:delete val="0"/>
        <c:axPos val="r"/>
        <c:numFmt formatCode="0_ " sourceLinked="0"/>
        <c:majorTickMark val="none"/>
        <c:minorTickMark val="none"/>
        <c:tickLblPos val="nextTo"/>
        <c:spPr>
          <a:noFill/>
          <a:ln w="6350" cap="flat" cmpd="sng" algn="ctr">
            <a:noFill/>
            <a:prstDash val="solid"/>
            <a:round/>
          </a:ln>
          <a:effectLst/>
        </c:spPr>
        <c:txPr>
          <a:bodyPr rot="-60000000" spcFirstLastPara="1" vertOverflow="ellipsis" horzOverflow="overflow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711825304"/>
        <c:crosses val="max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</c:legendEntry>
      <c:layout>
        <c:manualLayout>
          <c:xMode val="edge"/>
          <c:yMode val="edge"/>
          <c:x val="0.338049592040399"/>
          <c:y val="0.918570760340694"/>
          <c:w val="0.322884375"/>
          <c:h val="0.073669281045751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horzOverflow="overflow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宋体" panose="02010600030101010101" charset="-122"/>
              <a:ea typeface="宋体" panose="02010600030101010101" charset="-122"/>
              <a:cs typeface="宋体" panose="02010600030101010101" charset="-122"/>
              <a:sym typeface="宋体" panose="02010600030101010101" charset="-122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>
          <a:lumMod val="85000"/>
        </a:schemeClr>
      </a:solidFill>
      <a:prstDash val="solid"/>
      <a:round/>
    </a:ln>
    <a:effectLst/>
  </c:spPr>
  <c:txPr>
    <a:bodyPr rot="0" spcFirstLastPara="0" vertOverflow="ellipsis" horzOverflow="overflow" vert="horz" wrap="square" anchor="ctr" anchorCtr="1"/>
    <a:lstStyle/>
    <a:p>
      <a:pPr>
        <a:defRPr lang="zh-CN" sz="900">
          <a:solidFill>
            <a:sysClr val="windowText" lastClr="000000"/>
          </a:solidFill>
          <a:latin typeface="宋体" panose="02010600030101010101" charset="-122"/>
          <a:ea typeface="宋体" panose="02010600030101010101" charset="-122"/>
          <a:cs typeface="宋体" panose="02010600030101010101" charset="-122"/>
          <a:sym typeface="宋体" panose="02010600030101010101" charset="-122"/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rgbClr val="5B9BD5"/>
  <a:srgbClr val="ED7D31"/>
  <a:srgbClr val="A5A5A5"/>
  <a:srgbClr val="FFC000"/>
  <a:srgbClr val="4472C4"/>
  <a:srgbClr val="70AD47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10084">
  <cs:axisTitle>
    <cs:lnRef idx="0"/>
    <cs:fillRef idx="0"/>
    <cs:effectRef idx="0"/>
    <cs:fontRef idx="minor">
      <a:srgbClr val="595959">
        <a:lumMod val="65000"/>
        <a:lumOff val="35000"/>
      </a:srgbClr>
    </cs:fontRef>
    <cs:defRPr sz="1000" kern="1200"/>
  </cs:axisTitle>
  <cs:categoryAxis>
    <cs:lnRef idx="0"/>
    <cs:fillRef idx="0"/>
    <cs:effectRef idx="0"/>
    <cs:fontRef idx="minor">
      <a:srgbClr val="595959">
        <a:lumMod val="65000"/>
        <a:lumOff val="35000"/>
      </a:srgbClr>
    </cs:fontRef>
    <cs:spPr>
      <a:ln w="9525" cap="flat" cmpd="sng" algn="ctr">
        <a:solidFill>
          <a:srgbClr val="D9D9D9">
            <a:lumMod val="15000"/>
            <a:lumOff val="85000"/>
          </a:srgb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rgbClr val="000000"/>
    </cs:fontRef>
    <cs:spPr>
      <a:solidFill>
        <a:srgbClr val="FFFFFF"/>
      </a:solidFill>
      <a:ln w="9525" cap="flat" cmpd="sng" algn="ctr">
        <a:solidFill>
          <a:srgbClr val="D9D9D9">
            <a:lumMod val="15000"/>
            <a:lumOff val="85000"/>
          </a:srgbClr>
        </a:solidFill>
        <a:round/>
      </a:ln>
    </cs:spPr>
    <cs:defRPr sz="9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/>
    <cs:fillRef idx="0"/>
    <cs:effectRef idx="0"/>
    <cs:fontRef idx="minor">
      <a:srgbClr val="595959">
        <a:lumMod val="65000"/>
        <a:lumOff val="35000"/>
      </a:srgbClr>
    </cs:fontRef>
    <cs:spPr>
      <a:solidFill>
        <a:srgbClr val="FFFFFF"/>
      </a:solidFill>
      <a:ln>
        <a:solidFill>
          <a:srgbClr val="BFBFBF">
            <a:lumMod val="25000"/>
            <a:lumOff val="75000"/>
          </a:srgb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rgbClr val="000000"/>
    </cs:fontRef>
    <cs:spPr>
      <a:ln>
        <a:solidFill>
          <a:srgbClr val="FFFFFF"/>
        </a:solidFill>
      </a:ln>
      <a:effectLst/>
    </cs:spPr>
  </cs:dataPoint>
  <cs:dataPoint3D>
    <cs:lnRef idx="0"/>
    <cs:fillRef idx="1">
      <cs:styleClr val="auto"/>
    </cs:fillRef>
    <cs:effectRef idx="0"/>
    <cs:fontRef idx="minor">
      <a:srgbClr val="000000"/>
    </cs:fontRef>
    <cs:spPr>
      <a:ln w="25400">
        <a:solidFill>
          <a:srgbClr val="FFFFFF"/>
        </a:solidFill>
      </a:ln>
    </cs:spPr>
  </cs:dataPoint3D>
  <cs:dataPointLine>
    <cs:lnRef idx="0">
      <cs:styleClr val="auto"/>
    </cs:lnRef>
    <cs:fillRef idx="0"/>
    <cs:effectRef idx="0"/>
    <cs:fontRef idx="minor">
      <a:srgbClr val="000000"/>
    </cs:fontRef>
    <cs:spPr>
      <a:ln w="28575" cap="rnd">
        <a:solidFill>
          <a:srgbClr val="FFFFFF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rgbClr val="000000"/>
    </cs:fontRef>
    <cs:spPr>
      <a:ln w="9525">
        <a:solidFill>
          <a:srgbClr val="FFFFFF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rgbClr val="000000"/>
    </cs:fontRef>
    <cs:spPr>
      <a:ln w="9525" cap="rnd">
        <a:solidFill>
          <a:srgbClr val="FFFFFF"/>
        </a:solidFill>
        <a:round/>
      </a:ln>
    </cs:spPr>
  </cs:dataPointWireframe>
  <cs:dataTable>
    <cs:lnRef idx="0"/>
    <cs:fillRef idx="0"/>
    <cs:effectRef idx="0"/>
    <cs:fontRef idx="minor">
      <a:srgbClr val="595959">
        <a:lumMod val="65000"/>
        <a:lumOff val="35000"/>
      </a:srgbClr>
    </cs:fontRef>
    <cs:spPr>
      <a:noFill/>
      <a:ln w="9525" cap="flat" cmpd="sng" algn="ctr">
        <a:solidFill>
          <a:srgbClr val="D9D9D9">
            <a:lumMod val="15000"/>
            <a:lumOff val="85000"/>
          </a:srgbClr>
        </a:solidFill>
        <a:round/>
      </a:ln>
    </cs:spPr>
    <cs:defRPr sz="900" kern="1200"/>
  </cs:dataTable>
  <cs:downBar>
    <cs:lnRef idx="0"/>
    <cs:fillRef idx="0"/>
    <cs:effectRef idx="0"/>
    <cs:fontRef idx="minor">
      <a:srgbClr val="000000"/>
    </cs:fontRef>
    <cs:spPr>
      <a:solidFill>
        <a:srgbClr val="404040">
          <a:lumMod val="75000"/>
          <a:lumOff val="25000"/>
        </a:srgbClr>
      </a:solidFill>
      <a:ln w="9525" cap="flat" cmpd="sng" algn="ctr">
        <a:solidFill>
          <a:srgbClr val="595959">
            <a:lumMod val="65000"/>
            <a:lumOff val="35000"/>
          </a:srgbClr>
        </a:solidFill>
        <a:round/>
      </a:ln>
    </cs:spPr>
  </cs:downBar>
  <cs:dropLine>
    <cs:lnRef idx="0"/>
    <cs:fillRef idx="0"/>
    <cs:effectRef idx="0"/>
    <cs:fontRef idx="minor">
      <a:srgbClr val="000000"/>
    </cs:fontRef>
    <cs:spPr>
      <a:ln w="9525" cap="flat" cmpd="sng" algn="ctr">
        <a:solidFill>
          <a:srgbClr val="A6A6A6">
            <a:lumMod val="35000"/>
            <a:lumOff val="65000"/>
          </a:srgbClr>
        </a:solidFill>
        <a:round/>
      </a:ln>
    </cs:spPr>
  </cs:dropLine>
  <cs:errorBar>
    <cs:lnRef idx="0"/>
    <cs:fillRef idx="0"/>
    <cs:effectRef idx="0"/>
    <cs:fontRef idx="minor">
      <a:srgbClr val="000000"/>
    </cs:fontRef>
    <cs:spPr>
      <a:ln w="9525" cap="flat" cmpd="sng" algn="ctr">
        <a:solidFill>
          <a:srgbClr val="595959">
            <a:lumMod val="65000"/>
            <a:lumOff val="35000"/>
          </a:srgbClr>
        </a:solidFill>
        <a:round/>
      </a:ln>
    </cs:spPr>
  </cs:errorBar>
  <cs:floor>
    <cs:lnRef idx="0"/>
    <cs:fillRef idx="0"/>
    <cs:effectRef idx="0"/>
    <cs:fontRef idx="minor">
      <a:srgbClr val="000000"/>
    </cs:fontRef>
    <cs:spPr>
      <a:noFill/>
      <a:ln>
        <a:noFill/>
      </a:ln>
    </cs:spPr>
  </cs:floor>
  <cs:gridlineMajor>
    <cs:lnRef idx="0"/>
    <cs:fillRef idx="0"/>
    <cs:effectRef idx="0"/>
    <cs:fontRef idx="minor">
      <a:srgbClr val="000000"/>
    </cs:fontRef>
    <cs:spPr>
      <a:ln w="9525" cap="flat" cmpd="sng" algn="ctr">
        <a:solidFill>
          <a:srgbClr val="E6E6E6">
            <a:lumMod val="90200"/>
          </a:srgbClr>
        </a:solidFill>
        <a:round/>
      </a:ln>
    </cs:spPr>
  </cs:gridlineMajor>
  <cs:gridlineMinor>
    <cs:lnRef idx="0"/>
    <cs:fillRef idx="0"/>
    <cs:effectRef idx="0"/>
    <cs:fontRef idx="minor">
      <a:srgbClr val="000000"/>
    </cs:fontRef>
    <cs:spPr>
      <a:ln w="9525" cap="flat" cmpd="sng" algn="ctr">
        <a:solidFill>
          <a:srgbClr val="F2F2F2">
            <a:lumMod val="5000"/>
            <a:lumOff val="95000"/>
          </a:srgbClr>
        </a:solidFill>
        <a:round/>
      </a:ln>
    </cs:spPr>
  </cs:gridlineMinor>
  <cs:hiLoLine>
    <cs:lnRef idx="0"/>
    <cs:fillRef idx="0"/>
    <cs:effectRef idx="0"/>
    <cs:fontRef idx="minor">
      <a:srgbClr val="000000"/>
    </cs:fontRef>
    <cs:spPr>
      <a:ln w="9525" cap="flat" cmpd="sng" algn="ctr">
        <a:solidFill>
          <a:srgbClr val="808080">
            <a:lumMod val="50000"/>
            <a:lumOff val="50000"/>
          </a:srgbClr>
        </a:solidFill>
        <a:round/>
      </a:ln>
    </cs:spPr>
  </cs:hiLoLine>
  <cs:leaderLine>
    <cs:lnRef idx="0"/>
    <cs:fillRef idx="0"/>
    <cs:effectRef idx="0"/>
    <cs:fontRef idx="minor">
      <a:srgbClr val="000000"/>
    </cs:fontRef>
    <cs:spPr>
      <a:ln w="9525" cap="flat" cmpd="sng" algn="ctr">
        <a:solidFill>
          <a:srgbClr val="A6A6A6">
            <a:lumMod val="35000"/>
            <a:lumOff val="65000"/>
          </a:srgbClr>
        </a:solidFill>
        <a:round/>
      </a:ln>
    </cs:spPr>
  </cs:leaderLine>
  <cs:legend>
    <cs:lnRef idx="0"/>
    <cs:fillRef idx="0"/>
    <cs:effectRef idx="0"/>
    <cs:fontRef idx="minor">
      <a:srgbClr val="595959">
        <a:lumMod val="65000"/>
        <a:lumOff val="35000"/>
      </a:srgbClr>
    </cs:fontRef>
    <cs:defRPr sz="900" kern="1200"/>
  </cs:legend>
  <cs:plotArea mods="allowNoFillOverride allowNoLineOverride">
    <cs:lnRef idx="0"/>
    <cs:fillRef idx="0"/>
    <cs:effectRef idx="0"/>
    <cs:fontRef idx="minor">
      <a:srgbClr val="000000"/>
    </cs:fontRef>
  </cs:plotArea>
  <cs:plotArea3D mods="allowNoFillOverride allowNoLineOverride">
    <cs:lnRef idx="0"/>
    <cs:fillRef idx="0"/>
    <cs:effectRef idx="0"/>
    <cs:fontRef idx="minor">
      <a:srgbClr val="000000"/>
    </cs:fontRef>
  </cs:plotArea3D>
  <cs:seriesAxis>
    <cs:lnRef idx="0"/>
    <cs:fillRef idx="0"/>
    <cs:effectRef idx="0"/>
    <cs:fontRef idx="minor">
      <a:srgbClr val="595959">
        <a:lumMod val="65000"/>
        <a:lumOff val="35000"/>
      </a:srgbClr>
    </cs:fontRef>
    <cs:defRPr sz="900" kern="1200"/>
  </cs:seriesAxis>
  <cs:seriesLine>
    <cs:lnRef idx="0"/>
    <cs:fillRef idx="0"/>
    <cs:effectRef idx="0"/>
    <cs:fontRef idx="minor">
      <a:srgbClr val="000000"/>
    </cs:fontRef>
    <cs:spPr>
      <a:ln w="9525" cap="flat" cmpd="sng" algn="ctr">
        <a:solidFill>
          <a:srgbClr val="A6A6A6">
            <a:lumMod val="35000"/>
            <a:lumOff val="65000"/>
          </a:srgbClr>
        </a:solidFill>
        <a:round/>
      </a:ln>
    </cs:spPr>
  </cs:seriesLine>
  <cs:title>
    <cs:lnRef idx="0"/>
    <cs:fillRef idx="0"/>
    <cs:effectRef idx="0"/>
    <cs:fontRef idx="minor">
      <a:srgbClr val="404040">
        <a:lumMod val="75000"/>
        <a:lumOff val="25000"/>
      </a:srgbClr>
    </cs:fontRef>
    <cs:defRPr sz="1400" b="1" kern="1200" baseline="0"/>
  </cs:title>
  <cs:trendline>
    <cs:lnRef idx="0">
      <cs:styleClr val="auto"/>
    </cs:lnRef>
    <cs:fillRef idx="0"/>
    <cs:effectRef idx="0"/>
    <cs:fontRef idx="minor">
      <a:srgbClr val="000000"/>
    </cs:fontRef>
    <cs:spPr>
      <a:ln w="19050" cap="rnd">
        <a:solidFill>
          <a:srgbClr val="FFFFFF"/>
        </a:solidFill>
        <a:prstDash val="sysDot"/>
      </a:ln>
    </cs:spPr>
  </cs:trendline>
  <cs:trendlineLabel>
    <cs:lnRef idx="0"/>
    <cs:fillRef idx="0"/>
    <cs:effectRef idx="0"/>
    <cs:fontRef idx="minor">
      <a:srgbClr val="595959">
        <a:lumMod val="65000"/>
        <a:lumOff val="35000"/>
      </a:srgbClr>
    </cs:fontRef>
    <cs:defRPr sz="900" kern="1200"/>
  </cs:trendlineLabel>
  <cs:upBar>
    <cs:lnRef idx="0"/>
    <cs:fillRef idx="0"/>
    <cs:effectRef idx="0"/>
    <cs:fontRef idx="minor">
      <a:srgbClr val="000000"/>
    </cs:fontRef>
    <cs:spPr>
      <a:solidFill>
        <a:srgbClr val="FFFFFF"/>
      </a:solidFill>
      <a:ln w="9525" cap="flat" cmpd="sng" algn="ctr">
        <a:solidFill>
          <a:srgbClr val="595959">
            <a:lumMod val="65000"/>
            <a:lumOff val="35000"/>
          </a:srgbClr>
        </a:solidFill>
        <a:round/>
      </a:ln>
    </cs:spPr>
  </cs:upBar>
  <cs:valueAxis>
    <cs:lnRef idx="0"/>
    <cs:fillRef idx="0"/>
    <cs:effectRef idx="0"/>
    <cs:fontRef idx="minor">
      <a:srgbClr val="595959">
        <a:lumMod val="65000"/>
        <a:lumOff val="35000"/>
      </a:srgbClr>
    </cs:fontRef>
    <cs:defRPr sz="900" kern="1200"/>
  </cs:valueAxis>
  <cs:wall>
    <cs:lnRef idx="0"/>
    <cs:fillRef idx="0"/>
    <cs:effectRef idx="0"/>
    <cs:fontRef idx="minor">
      <a:srgbClr val="000000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0.77508</cdr:x>
      <cdr:y>0.08696</cdr:y>
    </cdr:from>
    <cdr:to>
      <cdr:x>0.97079</cdr:x>
      <cdr:y>0.19565</cdr:y>
    </cdr:to>
    <cdr:sp>
      <cdr:nvSpPr>
        <cdr:cNvPr id="2" name="矩形 1"/>
        <cdr:cNvSpPr/>
      </cdr:nvSpPr>
      <cdr:spPr xmlns:a="http://schemas.openxmlformats.org/drawingml/2006/main">
        <a:xfrm xmlns:a="http://schemas.openxmlformats.org/drawingml/2006/main">
          <a:off x="4111625" y="228600"/>
          <a:ext cx="1038225" cy="285750"/>
        </a:xfrm>
        <a:prstGeom xmlns:a="http://schemas.openxmlformats.org/drawingml/2006/main" prst="rect">
          <a:avLst/>
        </a:prstGeom>
      </cdr:spPr>
      <cdr:txBody xmlns:a="http://schemas.openxmlformats.org/drawingml/2006/main">
        <a:bodyPr vertOverflow="clip" horzOverflow="clip" vert="horz" wrap="square" lIns="45720" tIns="45720" rIns="45720" bIns="45720" rtlCol="0" anchor="t" anchorCtr="0">
          <a:normAutofit/>
        </a:bodyPr>
        <a:lstStyle/>
        <a:p>
          <a:endParaRPr lang="zh-CN" altLang="en-US"/>
        </a:p>
      </cdr:txBody>
    </cdr:sp>
  </cdr:relSizeAnchor>
  <cdr:relSizeAnchor xmlns:cdr="http://schemas.openxmlformats.org/drawingml/2006/chartDrawing">
    <cdr:from>
      <cdr:x>0.72121</cdr:x>
      <cdr:y>0.03986</cdr:y>
    </cdr:from>
    <cdr:to>
      <cdr:x>0.969</cdr:x>
      <cdr:y>0.2029</cdr:y>
    </cdr:to>
    <cdr:sp>
      <cdr:nvSpPr>
        <cdr:cNvPr id="3" name="矩形 2"/>
        <cdr:cNvSpPr/>
      </cdr:nvSpPr>
      <cdr:spPr xmlns:a="http://schemas.openxmlformats.org/drawingml/2006/main">
        <a:xfrm xmlns:a="http://schemas.openxmlformats.org/drawingml/2006/main">
          <a:off x="3825875" y="104775"/>
          <a:ext cx="1314450" cy="428625"/>
        </a:xfrm>
        <a:prstGeom xmlns:a="http://schemas.openxmlformats.org/drawingml/2006/main" prst="rect">
          <a:avLst/>
        </a:prstGeom>
      </cdr:spPr>
      <cdr:txBody xmlns:a="http://schemas.openxmlformats.org/drawingml/2006/main">
        <a:bodyPr vertOverflow="clip" horzOverflow="clip" vert="horz" wrap="square" lIns="45720" tIns="45720" rIns="45720" bIns="45720" rtlCol="0" anchor="t" anchorCtr="0">
          <a:normAutofit/>
        </a:bodyPr>
        <a:lstStyle/>
        <a:p>
          <a:endParaRPr lang="zh-CN" altLang="en-US"/>
        </a:p>
      </cdr:txBody>
    </cdr: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神州网信技术有限公司</Company>
  <Pages>22</Pages>
  <Words>1333</Words>
  <Characters>1707</Characters>
  <Lines>1</Lines>
  <Paragraphs>1</Paragraphs>
  <TotalTime>1</TotalTime>
  <ScaleCrop>false</ScaleCrop>
  <LinksUpToDate>false</LinksUpToDate>
  <CharactersWithSpaces>1774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2026-03-11T01:21:00Z</dcterms:created>
  <dc:creator>Dell</dc:creator>
  <cp:lastModifiedBy>陈菁:</cp:lastModifiedBy>
  <cp:lastPrinted>2026-04-01T02:43:00Z</cp:lastPrinted>
  <dcterms:modified xsi:type="dcterms:W3CDTF">2026-09-20T04:36:09Z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CF2B88F71FA54E12B23EF70442108347</vt:lpwstr>
  </property>
  <property fmtid="{D5CDD505-2E9C-101B-9397-08002B2CF9AE}" pid="4" name="KSOTemplateDocerSaveRecord">
    <vt:lpwstr>eyJoZGlkIjoiZmQ5NWI5NGI3N2M2MTg5OTY2MDdiZjUwZjcxYjhmNTUiLCJ1c2VySWQiOiI3MjU3ODI2OTAifQ==</vt:lpwstr>
  </property>
</Properties>
</file>