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Dispatcher Staffing Assessment</w:t>
      </w:r>
    </w:p>
    <w:p>
      <w:pPr>
        <w:jc w:val="center"/>
      </w:pPr>
      <w:r>
        <w:rPr>
          <w:i/>
        </w:rPr>
        <w:t>IWIP Haul Fleet — Control Room Manning vs Registered Fleet &amp; Actual Operations</w:t>
      </w:r>
    </w:p>
    <w:p>
      <w:pPr>
        <w:jc w:val="center"/>
      </w:pPr>
      <w:r>
        <w:t>Period: 1 January – 30 April 2026  |  Prepared: 18 August 2026  |  Internal — Operations Planning</w:t>
      </w:r>
    </w:p>
    <w:p/>
    <w:p>
      <w:pPr>
        <w:pStyle w:val="Heading1"/>
      </w:pPr>
      <w:r>
        <w:t>1. Executive Summary</w:t>
      </w:r>
    </w:p>
    <w:p>
      <w:r>
        <w:t>This assessment compares registered fleet against actual haul activity and daily mining plans for January–April 2026 to support control-room dispatcher staffing by contractor and site-wide.</w:t>
      </w:r>
    </w:p>
    <w:p>
      <w:r>
        <w:rPr>
          <w:b/>
        </w:rPr>
        <w:t xml:space="preserve">Lean / strong FMS benchmark: </w:t>
      </w:r>
      <w:r>
        <w:t>Operations with a mature Fleet Management System support approximately 60–80 active haul trucks per dispatcher per shift. At the measured site average of 1,153 trucks/day, this implies 15–20 dispatchers per shift. Busy days (P90 ≈ 1,443 trucks) require 19–25 dispatchers per shift.</w:t>
      </w:r>
    </w:p>
    <w:p>
      <w:pPr>
        <w:pStyle w:val="Heading1"/>
      </w:pPr>
      <w:r>
        <w:t>2. Key Findings</w:t>
      </w:r>
    </w:p>
    <w:p>
      <w:pPr>
        <w:pStyle w:val="ListBullet"/>
      </w:pPr>
      <w:r>
        <w:t>Registered dump trucks (~2,500+ main contractors) far exceed daily running fleet (~1,150 trucks/day average).</w:t>
      </w:r>
    </w:p>
    <w:p>
      <w:pPr>
        <w:pStyle w:val="ListBullet"/>
      </w:pPr>
      <w:r>
        <w:t>RIM dominates (~318 trucks/day average, peak 472) — largest dispatcher requirement.</w:t>
      </w:r>
    </w:p>
    <w:p>
      <w:pPr>
        <w:pStyle w:val="ListBullet"/>
      </w:pPr>
      <w:r>
        <w:t>Use running trucks from weighbridge, not register totals, for manning decisions.</w:t>
      </w:r>
    </w:p>
    <w:p>
      <w:pPr>
        <w:pStyle w:val="ListBullet"/>
      </w:pPr>
      <w:r>
        <w:t>No fixed ISO ratio exists; lean FMS sites use 60–80 trucks per dispatcher per shift.</w:t>
      </w:r>
    </w:p>
    <w:p>
      <w:pPr>
        <w:pStyle w:val="Heading1"/>
      </w:pPr>
      <w:r>
        <w:t>3. Registered Fleet (SAFETY_ENVIRO)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Contractor</w:t>
            </w:r>
          </w:p>
        </w:tc>
        <w:tc>
          <w:tcPr>
            <w:tcW w:type="dxa" w:w="1728"/>
          </w:tcPr>
          <w:p>
            <w:r>
              <w:t>Total units</w:t>
            </w:r>
          </w:p>
        </w:tc>
        <w:tc>
          <w:tcPr>
            <w:tcW w:type="dxa" w:w="1728"/>
          </w:tcPr>
          <w:p>
            <w:r>
              <w:t>Dump trucks</w:t>
            </w:r>
          </w:p>
        </w:tc>
        <w:tc>
          <w:tcPr>
            <w:tcW w:type="dxa" w:w="1728"/>
          </w:tcPr>
          <w:p>
            <w:r>
              <w:t>Excavators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RIM</w:t>
            </w:r>
          </w:p>
        </w:tc>
        <w:tc>
          <w:tcPr>
            <w:tcW w:type="dxa" w:w="1728"/>
          </w:tcPr>
          <w:p>
            <w:r>
              <w:t>2,683</w:t>
            </w:r>
          </w:p>
        </w:tc>
        <w:tc>
          <w:tcPr>
            <w:tcW w:type="dxa" w:w="1728"/>
          </w:tcPr>
          <w:p>
            <w:r>
              <w:t>1,407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828 DT + 435 EV + 144 ADT</w:t>
            </w:r>
          </w:p>
        </w:tc>
      </w:tr>
      <w:tr>
        <w:tc>
          <w:tcPr>
            <w:tcW w:type="dxa" w:w="1728"/>
          </w:tcPr>
          <w:p>
            <w:r>
              <w:t>SMA</w:t>
            </w:r>
          </w:p>
        </w:tc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297 DT + 78 ADT</w:t>
            </w:r>
          </w:p>
        </w:tc>
      </w:tr>
      <w:tr>
        <w:tc>
          <w:tcPr>
            <w:tcW w:type="dxa" w:w="1728"/>
          </w:tcPr>
          <w:p>
            <w:r>
              <w:t>PPP</w:t>
            </w:r>
          </w:p>
        </w:tc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229 DT + 36 ADT</w:t>
            </w:r>
          </w:p>
        </w:tc>
      </w:tr>
      <w:tr>
        <w:tc>
          <w:tcPr>
            <w:tcW w:type="dxa" w:w="1728"/>
          </w:tcPr>
          <w:p>
            <w:r>
              <w:t>SSS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STM</w:t>
            </w:r>
          </w:p>
        </w:tc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55 DT + 43 ADT</w:t>
            </w:r>
          </w:p>
        </w:tc>
      </w:tr>
      <w:tr>
        <w:tc>
          <w:tcPr>
            <w:tcW w:type="dxa" w:w="1728"/>
          </w:tcPr>
          <w:p>
            <w:r>
              <w:t>CKB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GMG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1"/>
      </w:pPr>
      <w:r>
        <w:t>4. Jan–Apr 2026 — Planned vs Actual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Contractor</w:t>
            </w:r>
          </w:p>
        </w:tc>
        <w:tc>
          <w:tcPr>
            <w:tcW w:type="dxa" w:w="1080"/>
          </w:tcPr>
          <w:p>
            <w:r>
              <w:t>Reg DT (Safety)</w:t>
            </w:r>
          </w:p>
        </w:tc>
        <w:tc>
          <w:tcPr>
            <w:tcW w:type="dxa" w:w="1080"/>
          </w:tcPr>
          <w:p>
            <w:r>
              <w:t>Reg DT (WBN)</w:t>
            </w:r>
          </w:p>
        </w:tc>
        <w:tc>
          <w:tcPr>
            <w:tcW w:type="dxa" w:w="1080"/>
          </w:tcPr>
          <w:p>
            <w:r>
              <w:t>Avg plan/day</w:t>
            </w:r>
          </w:p>
        </w:tc>
        <w:tc>
          <w:tcPr>
            <w:tcW w:type="dxa" w:w="1080"/>
          </w:tcPr>
          <w:p>
            <w:r>
              <w:t>Avg run/day</w:t>
            </w:r>
          </w:p>
        </w:tc>
        <w:tc>
          <w:tcPr>
            <w:tcW w:type="dxa" w:w="1080"/>
          </w:tcPr>
          <w:p>
            <w:r>
              <w:t>P90 run/day</w:t>
            </w:r>
          </w:p>
        </w:tc>
        <w:tc>
          <w:tcPr>
            <w:tcW w:type="dxa" w:w="1080"/>
          </w:tcPr>
          <w:p>
            <w:r>
              <w:t>Disp/shift (60–80:1)</w:t>
            </w:r>
          </w:p>
        </w:tc>
        <w:tc>
          <w:tcPr>
            <w:tcW w:type="dxa" w:w="1080"/>
          </w:tcPr>
          <w:p>
            <w:r>
              <w:t>Disp/shift P90</w:t>
            </w:r>
          </w:p>
        </w:tc>
      </w:tr>
      <w:tr>
        <w:tc>
          <w:tcPr>
            <w:tcW w:type="dxa" w:w="1080"/>
          </w:tcPr>
          <w:p>
            <w:r>
              <w:t>RIM</w:t>
            </w:r>
          </w:p>
        </w:tc>
        <w:tc>
          <w:tcPr>
            <w:tcW w:type="dxa" w:w="1080"/>
          </w:tcPr>
          <w:p>
            <w:r>
              <w:t>1,407</w:t>
            </w:r>
          </w:p>
        </w:tc>
        <w:tc>
          <w:tcPr>
            <w:tcW w:type="dxa" w:w="1080"/>
          </w:tcPr>
          <w:p>
            <w:r>
              <w:t>2,532</w:t>
            </w:r>
          </w:p>
        </w:tc>
        <w:tc>
          <w:tcPr>
            <w:tcW w:type="dxa" w:w="1080"/>
          </w:tcPr>
          <w:p>
            <w:r>
              <w:t>349.2</w:t>
            </w:r>
          </w:p>
        </w:tc>
        <w:tc>
          <w:tcPr>
            <w:tcW w:type="dxa" w:w="1080"/>
          </w:tcPr>
          <w:p>
            <w:r>
              <w:t>317.6</w:t>
            </w:r>
          </w:p>
        </w:tc>
        <w:tc>
          <w:tcPr>
            <w:tcW w:type="dxa" w:w="1080"/>
          </w:tcPr>
          <w:p>
            <w:r>
              <w:t>452.1</w:t>
            </w:r>
          </w:p>
        </w:tc>
        <w:tc>
          <w:tcPr>
            <w:tcW w:type="dxa" w:w="1080"/>
          </w:tcPr>
          <w:p>
            <w:r>
              <w:t>4–6</w:t>
            </w:r>
          </w:p>
        </w:tc>
        <w:tc>
          <w:tcPr>
            <w:tcW w:type="dxa" w:w="1080"/>
          </w:tcPr>
          <w:p>
            <w:r>
              <w:t>6–8</w:t>
            </w:r>
          </w:p>
        </w:tc>
      </w:tr>
      <w:tr>
        <w:tc>
          <w:tcPr>
            <w:tcW w:type="dxa" w:w="1080"/>
          </w:tcPr>
          <w:p>
            <w:r>
              <w:t>SSS</w:t>
            </w:r>
          </w:p>
        </w:tc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90.9</w:t>
            </w:r>
          </w:p>
        </w:tc>
        <w:tc>
          <w:tcPr>
            <w:tcW w:type="dxa" w:w="1080"/>
          </w:tcPr>
          <w:p>
            <w:r>
              <w:t>117.8</w:t>
            </w:r>
          </w:p>
        </w:tc>
        <w:tc>
          <w:tcPr>
            <w:tcW w:type="dxa" w:w="1080"/>
          </w:tcPr>
          <w:p>
            <w:r>
              <w:t>159.6</w:t>
            </w:r>
          </w:p>
        </w:tc>
        <w:tc>
          <w:tcPr>
            <w:tcW w:type="dxa" w:w="1080"/>
          </w:tcPr>
          <w:p>
            <w:r>
              <w:t>2–2</w:t>
            </w:r>
          </w:p>
        </w:tc>
        <w:tc>
          <w:tcPr>
            <w:tcW w:type="dxa" w:w="1080"/>
          </w:tcPr>
          <w:p>
            <w:r>
              <w:t>2–3</w:t>
            </w:r>
          </w:p>
        </w:tc>
      </w:tr>
      <w:tr>
        <w:tc>
          <w:tcPr>
            <w:tcW w:type="dxa" w:w="1080"/>
          </w:tcPr>
          <w:p>
            <w:r>
              <w:t>PPP</w:t>
            </w:r>
          </w:p>
        </w:tc>
        <w:tc>
          <w:tcPr>
            <w:tcW w:type="dxa" w:w="1080"/>
          </w:tcPr>
          <w:p>
            <w:r>
              <w:t>265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70.5</w:t>
            </w:r>
          </w:p>
        </w:tc>
        <w:tc>
          <w:tcPr>
            <w:tcW w:type="dxa" w:w="1080"/>
          </w:tcPr>
          <w:p>
            <w:r>
              <w:t>75.6</w:t>
            </w:r>
          </w:p>
        </w:tc>
        <w:tc>
          <w:tcPr>
            <w:tcW w:type="dxa" w:w="1080"/>
          </w:tcPr>
          <w:p>
            <w:r>
              <w:t>108.3</w:t>
            </w:r>
          </w:p>
        </w:tc>
        <w:tc>
          <w:tcPr>
            <w:tcW w:type="dxa" w:w="1080"/>
          </w:tcPr>
          <w:p>
            <w:r>
              <w:t>1–2</w:t>
            </w:r>
          </w:p>
        </w:tc>
        <w:tc>
          <w:tcPr>
            <w:tcW w:type="dxa" w:w="1080"/>
          </w:tcPr>
          <w:p>
            <w:r>
              <w:t>2–2</w:t>
            </w:r>
          </w:p>
        </w:tc>
      </w:tr>
      <w:tr>
        <w:tc>
          <w:tcPr>
            <w:tcW w:type="dxa" w:w="1080"/>
          </w:tcPr>
          <w:p>
            <w:r>
              <w:t>SMA</w:t>
            </w:r>
          </w:p>
        </w:tc>
        <w:tc>
          <w:tcPr>
            <w:tcW w:type="dxa" w:w="1080"/>
          </w:tcPr>
          <w:p>
            <w:r>
              <w:t>375</w:t>
            </w:r>
          </w:p>
        </w:tc>
        <w:tc>
          <w:tcPr>
            <w:tcW w:type="dxa" w:w="1080"/>
          </w:tcPr>
          <w:p>
            <w:r>
              <w:t>375</w:t>
            </w:r>
          </w:p>
        </w:tc>
        <w:tc>
          <w:tcPr>
            <w:tcW w:type="dxa" w:w="1080"/>
          </w:tcPr>
          <w:p>
            <w:r>
              <w:t>71.8</w:t>
            </w:r>
          </w:p>
        </w:tc>
        <w:tc>
          <w:tcPr>
            <w:tcW w:type="dxa" w:w="1080"/>
          </w:tcPr>
          <w:p>
            <w:r>
              <w:t>63.6</w:t>
            </w:r>
          </w:p>
        </w:tc>
        <w:tc>
          <w:tcPr>
            <w:tcW w:type="dxa" w:w="1080"/>
          </w:tcPr>
          <w:p>
            <w:r>
              <w:t>76.5</w:t>
            </w:r>
          </w:p>
        </w:tc>
        <w:tc>
          <w:tcPr>
            <w:tcW w:type="dxa" w:w="1080"/>
          </w:tcPr>
          <w:p>
            <w:r>
              <w:t>1–2</w:t>
            </w:r>
          </w:p>
        </w:tc>
        <w:tc>
          <w:tcPr>
            <w:tcW w:type="dxa" w:w="1080"/>
          </w:tcPr>
          <w:p>
            <w:r>
              <w:t>1–2</w:t>
            </w:r>
          </w:p>
        </w:tc>
      </w:tr>
      <w:tr>
        <w:tc>
          <w:tcPr>
            <w:tcW w:type="dxa" w:w="1080"/>
          </w:tcPr>
          <w:p>
            <w:r>
              <w:t>STM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197</w:t>
            </w:r>
          </w:p>
        </w:tc>
        <w:tc>
          <w:tcPr>
            <w:tcW w:type="dxa" w:w="1080"/>
          </w:tcPr>
          <w:p>
            <w:r>
              <w:t>62.3</w:t>
            </w:r>
          </w:p>
        </w:tc>
        <w:tc>
          <w:tcPr>
            <w:tcW w:type="dxa" w:w="1080"/>
          </w:tcPr>
          <w:p>
            <w:r>
              <w:t>55.1</w:t>
            </w:r>
          </w:p>
        </w:tc>
        <w:tc>
          <w:tcPr>
            <w:tcW w:type="dxa" w:w="1080"/>
          </w:tcPr>
          <w:p>
            <w:r>
              <w:t>68.0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  <w:tc>
          <w:tcPr>
            <w:tcW w:type="dxa" w:w="1080"/>
          </w:tcPr>
          <w:p>
            <w:r>
              <w:t>1–2</w:t>
            </w:r>
          </w:p>
        </w:tc>
      </w:tr>
      <w:tr>
        <w:tc>
          <w:tcPr>
            <w:tcW w:type="dxa" w:w="1080"/>
          </w:tcPr>
          <w:p>
            <w:r>
              <w:t>CKB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35.2</w:t>
            </w:r>
          </w:p>
        </w:tc>
        <w:tc>
          <w:tcPr>
            <w:tcW w:type="dxa" w:w="1080"/>
          </w:tcPr>
          <w:p>
            <w:r>
              <w:t>40.2</w:t>
            </w:r>
          </w:p>
        </w:tc>
        <w:tc>
          <w:tcPr>
            <w:tcW w:type="dxa" w:w="1080"/>
          </w:tcPr>
          <w:p>
            <w:r>
              <w:t>51.0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</w:tr>
      <w:tr>
        <w:tc>
          <w:tcPr>
            <w:tcW w:type="dxa" w:w="1080"/>
          </w:tcPr>
          <w:p>
            <w:r>
              <w:t>GMG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20.9</w:t>
            </w:r>
          </w:p>
        </w:tc>
        <w:tc>
          <w:tcPr>
            <w:tcW w:type="dxa" w:w="1080"/>
          </w:tcPr>
          <w:p>
            <w:r>
              <w:t>34.8</w:t>
            </w:r>
          </w:p>
        </w:tc>
        <w:tc>
          <w:tcPr>
            <w:tcW w:type="dxa" w:w="1080"/>
          </w:tcPr>
          <w:p>
            <w:r>
              <w:t>43.0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</w:tr>
      <w:tr>
        <w:tc>
          <w:tcPr>
            <w:tcW w:type="dxa" w:w="1080"/>
          </w:tcPr>
          <w:p>
            <w:r>
              <w:t>HTE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31.3</w:t>
            </w:r>
          </w:p>
        </w:tc>
        <w:tc>
          <w:tcPr>
            <w:tcW w:type="dxa" w:w="1080"/>
          </w:tcPr>
          <w:p>
            <w:r>
              <w:t>53.9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  <w:tc>
          <w:tcPr>
            <w:tcW w:type="dxa" w:w="1080"/>
          </w:tcPr>
          <w:p>
            <w:r>
              <w:t>1–1</w:t>
            </w:r>
          </w:p>
        </w:tc>
      </w:tr>
      <w:tr>
        <w:tc>
          <w:tcPr>
            <w:tcW w:type="dxa" w:w="1080"/>
          </w:tcPr>
          <w:p>
            <w:r>
              <w:t>HJS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—–—</w:t>
            </w:r>
          </w:p>
        </w:tc>
        <w:tc>
          <w:tcPr>
            <w:tcW w:type="dxa" w:w="1080"/>
          </w:tcPr>
          <w:p>
            <w:r>
              <w:t>—–—</w:t>
            </w:r>
          </w:p>
        </w:tc>
      </w:tr>
    </w:tbl>
    <w:p>
      <w:r>
        <w:t>Site total: average 1,153 trucks/day · P90 1,443 · peak 1,685.</w:t>
      </w:r>
    </w:p>
    <w:p>
      <w:pPr>
        <w:pStyle w:val="Heading1"/>
      </w:pPr>
      <w:r>
        <w:t>5. International Benchmarks — Lean / Strong FMS</w:t>
      </w:r>
    </w:p>
    <w:p>
      <w:r>
        <w:t>No universal ISO standard exists for dispatchers per truck. Industry practice for mature FMS 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Trucks per dispatcher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Lean / strong FMS</w:t>
            </w:r>
          </w:p>
        </w:tc>
        <w:tc>
          <w:tcPr>
            <w:tcW w:type="dxa" w:w="2880"/>
          </w:tcPr>
          <w:p>
            <w:r>
              <w:t>60–80</w:t>
            </w:r>
          </w:p>
        </w:tc>
        <w:tc>
          <w:tcPr>
            <w:tcW w:type="dxa" w:w="2880"/>
          </w:tcPr>
          <w:p>
            <w:r>
              <w:t>Mature FMS, automated assignment, stable routes</w:t>
            </w:r>
          </w:p>
        </w:tc>
      </w:tr>
      <w:tr>
        <w:tc>
          <w:tcPr>
            <w:tcW w:type="dxa" w:w="2880"/>
          </w:tcPr>
          <w:p>
            <w:r>
              <w:t>Typical multi-contractor</w:t>
            </w:r>
          </w:p>
        </w:tc>
        <w:tc>
          <w:tcPr>
            <w:tcW w:type="dxa" w:w="2880"/>
          </w:tcPr>
          <w:p>
            <w:r>
              <w:t>50–60</w:t>
            </w:r>
          </w:p>
        </w:tc>
        <w:tc>
          <w:tcPr>
            <w:tcW w:type="dxa" w:w="2880"/>
          </w:tcPr>
          <w:p>
            <w:r>
              <w:t>TF/BLB/KR mixed pits — IWIP profile</w:t>
            </w:r>
          </w:p>
        </w:tc>
      </w:tr>
      <w:tr>
        <w:tc>
          <w:tcPr>
            <w:tcW w:type="dxa" w:w="2880"/>
          </w:tcPr>
          <w:p>
            <w:r>
              <w:t>Heavy manual</w:t>
            </w:r>
          </w:p>
        </w:tc>
        <w:tc>
          <w:tcPr>
            <w:tcW w:type="dxa" w:w="2880"/>
          </w:tcPr>
          <w:p>
            <w:r>
              <w:t>40–50</w:t>
            </w:r>
          </w:p>
        </w:tc>
        <w:tc>
          <w:tcPr>
            <w:tcW w:type="dxa" w:w="2880"/>
          </w:tcPr>
          <w:p>
            <w:r>
              <w:t>Roadworks, weak FMS, high breakdowns</w:t>
            </w:r>
          </w:p>
        </w:tc>
      </w:tr>
    </w:tbl>
    <w:p>
      <w:pPr>
        <w:pStyle w:val="Heading1"/>
      </w:pPr>
      <w:r>
        <w:t>6. Recommended Manning (Lean FMS 60–80:1)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Active trucks</w:t>
            </w:r>
          </w:p>
        </w:tc>
        <w:tc>
          <w:tcPr>
            <w:tcW w:type="dxa" w:w="2880"/>
          </w:tcPr>
          <w:p>
            <w:r>
              <w:t>Dispatchers/shift</w:t>
            </w:r>
          </w:p>
        </w:tc>
      </w:tr>
      <w:tr>
        <w:tc>
          <w:tcPr>
            <w:tcW w:type="dxa" w:w="2880"/>
          </w:tcPr>
          <w:p>
            <w:r>
              <w:t>Average day</w:t>
            </w:r>
          </w:p>
        </w:tc>
        <w:tc>
          <w:tcPr>
            <w:tcW w:type="dxa" w:w="2880"/>
          </w:tcPr>
          <w:p>
            <w:r>
              <w:t>1,153</w:t>
            </w:r>
          </w:p>
        </w:tc>
        <w:tc>
          <w:tcPr>
            <w:tcW w:type="dxa" w:w="2880"/>
          </w:tcPr>
          <w:p>
            <w:r>
              <w:t>15–20</w:t>
            </w:r>
          </w:p>
        </w:tc>
      </w:tr>
      <w:tr>
        <w:tc>
          <w:tcPr>
            <w:tcW w:type="dxa" w:w="2880"/>
          </w:tcPr>
          <w:p>
            <w:r>
              <w:t>Busy day (P90)</w:t>
            </w:r>
          </w:p>
        </w:tc>
        <w:tc>
          <w:tcPr>
            <w:tcW w:type="dxa" w:w="2880"/>
          </w:tcPr>
          <w:p>
            <w:r>
              <w:t>1,443</w:t>
            </w:r>
          </w:p>
        </w:tc>
        <w:tc>
          <w:tcPr>
            <w:tcW w:type="dxa" w:w="2880"/>
          </w:tcPr>
          <w:p>
            <w:r>
              <w:t>19–25</w:t>
            </w:r>
          </w:p>
        </w:tc>
      </w:tr>
      <w:tr>
        <w:tc>
          <w:tcPr>
            <w:tcW w:type="dxa" w:w="2880"/>
          </w:tcPr>
          <w:p>
            <w:r>
              <w:t>Peak observed</w:t>
            </w:r>
          </w:p>
        </w:tc>
        <w:tc>
          <w:tcPr>
            <w:tcW w:type="dxa" w:w="2880"/>
          </w:tcPr>
          <w:p>
            <w:r>
              <w:t>1,685</w:t>
            </w:r>
          </w:p>
        </w:tc>
        <w:tc>
          <w:tcPr>
            <w:tcW w:type="dxa" w:w="2880"/>
          </w:tcPr>
          <w:p>
            <w:r>
              <w:t>22–29</w:t>
            </w:r>
          </w:p>
        </w:tc>
      </w:tr>
    </w:tbl>
    <w:p>
      <w:r>
        <w:t>Add 1 shift supervisor per shift. Two 12-hour shifts for 24 h coverage. Staff using P90 truck counts for roster sizing, not register totals.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Register includes off-site and non-haul units.</w:t>
      </w:r>
    </w:p>
    <w:p>
      <w:pPr>
        <w:pStyle w:val="ListBullet"/>
      </w:pPr>
      <w:r>
        <w:t>Weighbridge = material haul only.</w:t>
      </w:r>
    </w:p>
    <w:p>
      <w:pPr>
        <w:pStyle w:val="ListBullet"/>
      </w:pPr>
      <w:r>
        <w:t>HJS registered but inactive Jan–Apr on IWIP haul.</w:t>
      </w:r>
    </w:p>
    <w:p>
      <w:pPr>
        <w:pStyle w:val="ListBullet"/>
      </w:pPr>
      <w:r>
        <w:t>Validate ratios with 90 days of control-room KPIs.</w:t>
      </w:r>
    </w:p>
    <w:p>
      <w:pPr>
        <w:pStyle w:val="Heading1"/>
      </w:pPr>
      <w:r>
        <w:t>8. References</w:t>
      </w:r>
    </w:p>
    <w:p>
      <w:pPr>
        <w:pStyle w:val="ListBullet"/>
      </w:pPr>
      <w:r>
        <w:t>AusIMM — Mine monitoring or control (Part 3): Staffing the control room</w:t>
      </w:r>
    </w:p>
    <w:p>
      <w:pPr>
        <w:pStyle w:val="ListBullet"/>
      </w:pPr>
      <w:r>
        <w:t>GroundHog FMS — Dispatch Operator Handbook</w:t>
      </w:r>
    </w:p>
    <w:p>
      <w:pPr>
        <w:pStyle w:val="ListBullet"/>
      </w:pPr>
      <w:r>
        <w:t>Open-pit dispatch / match factor literature</w:t>
      </w:r>
    </w:p>
    <w:p>
      <w:pPr>
        <w:pStyle w:val="ListBullet"/>
      </w:pPr>
      <w:r>
        <w:t>WBN FMS Simulator internal analysis,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