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pPr>
        <w:ind w:firstLine="0"/>
      </w:pPr>
      <w:r>
        <w:fldChar w:fldCharType="begin"/>
        <w:instrText xml:space="preserve"> TOC \o "1-2" \h \z \u </w:instrText>
        <w:fldChar w:fldCharType="separate"/>
        <w:t>（在此处右键 → 更新域，生成目录）</w:t>
        <w:fldChar w:fldCharType="end"/>
      </w:r>
    </w:p>
    <w:p>
      <w:pPr>
        <w:keepNext/>
        <w:pageBreakBefore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1  引言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本文档是「设备管理系统软件」（以下简称本系统）的软件说明书，用于说明本系统的设计目标、功能构成、运行环境与操作方法，作为软件著作权登记文档鉴别材料的组成部分，同时供实施人员与使用单位作为操作参考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1.1  编写目的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本系统面向工业企业设备管理部门，解决设备台账分散、点检执行无记录、维保工单流转不畅、备件库存与设备状态脱节等问题。通过统一台账、计划点检、工单闭环与告警联动，把设备全生命周期数据沉淀在同一套系统内。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为设备管理人员提供设备状态、点检执行与告警的统一视图；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为点检与维修人员提供移动化的任务接收与执行反馈入口；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为管理层提供设备运行率、点检完成率与维保成本的统计依据。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1.2  适用范围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本说明书适用于本系统的部署实施、日常操作与运行维护。系统以 B/S 架构部署于企业内网，使用人员通过浏览器访问，无需在客户端安装额外程序。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1.3 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术语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设备台账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记录设备基础属性、安装位置、责任人与技术参数的档案数据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点检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按既定周期与项目对设备状态进行检查并留存记录的活动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维保工单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由故障、点检异常或计划保养触发，描述处理过程与结果的任务单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健康度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由设备运行时长、告警次数与维保记录综合计算的量化指标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安全库存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为避免缺件停工而设定的备件最低库存数量</w:t>
            </w:r>
          </w:p>
        </w:tc>
      </w:tr>
    </w:tbl>
    <w:p>
      <w:pPr>
        <w:spacing w:after="120"/>
      </w:pPr>
    </w:p>
    <w:p>
      <w:pPr>
        <w:keepNext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2  系统概述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本系统由设备台账、点检管理、维保工单、备件库存、告警中心、统计报表与系统设置等模块组成，各模块共享同一套设备主数据，避免同一设备在不同业务环节中被重复录入或产生口径差异。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2.1  系统定位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系统定位于厂区级设备运行管理，覆盖从设备入厂建档、日常点检、故障报修、维保执行到备件消耗的完整链路。系统不直接采集现场控制信号，设备运行数据通过接口方式由既有采集系统同步，从而在不改动现有自动化系统的前提下完成管理层的状态汇聚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2.2  用户角色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系统按最小权限原则划分角色，不同角色登录后仅能看到与职责相关的菜单与数据范围。角色与数据范围的对应关系可在系统设置中维护。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主要职责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数据范围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系统管理员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组织机构、角色权限、基础字典维护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全部数据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设备管理员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设备建档、点检计划编制、工单派发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所辖厂区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点检员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执行点检任务、上报异常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本人任务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维修人员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接收并处理维保工单、登记备件消耗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本人工单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运维主管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查看运行总览、审批与统计分析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所辖厂区</w:t>
            </w:r>
          </w:p>
        </w:tc>
      </w:tr>
    </w:tbl>
    <w:p>
      <w:pPr>
        <w:spacing w:after="120"/>
      </w:pP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2.3 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服务器操作系统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Linux（CentOS 7 及以上 / Ubuntu 20.04 及以上）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运行时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Python 3.11 及以上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数据库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MySQL 8.0 或 PostgreSQL 14 及以上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Web 服务器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Nginx 1.20 及以上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客户端浏览器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Chrome 100+ / Edge 100+ / 国产双核浏览器（极速模式）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客户端分辨率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建议 1366×768 及以上</w:t>
            </w:r>
          </w:p>
        </w:tc>
      </w:tr>
    </w:tbl>
    <w:p>
      <w:pPr>
        <w:spacing w:after="120"/>
      </w:pPr>
    </w:p>
    <w:p>
      <w:pPr>
        <w:keepNext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3  功能说明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本章按模块说明系统提供的主要功能。各模块的入口位于左侧导航栏，登录后默认进入运行总览页面。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3.1  运行总览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运行总览以看板形式汇总设备总量、运行状态、当日告警与待办工单，并列出设备实时状态与待处理告警，使运维主管在一屏内掌握厂区设备整体情况。看板数据按设定周期自动刷新，也可手动刷新。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总览-运行总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1  运行总览页面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3.2  设备台账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设备台账模块支持设备的新增、修改、停用与归档。设备档案包含设备编号、名称、类别、安装位置、责任人、技术参数与随机资料附件。设备编号在系统内唯一，作为点检、工单与备件消耗的关联主键。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支持按厂区、类别、状态组合筛选，并导出为表格文件；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支持设备二维码生成，扫码可直接进入该设备的详情与点检入口；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设备停用需填写原因，停用期间不参与点检计划与告警统计。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台账-设备台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2  设备台账页面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3.3  点检管理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点检管理以计划为核心，按设备类别与重要程度配置点检周期与点检项。系统在计划时点自动生成点检任务并推送至责任人，点检员执行后登记结果与现场照片，异常项自动转为隐患记录并可按规则生成维保工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点检计划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配置周期（日/周/月）、点检项与执行人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任务生成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按计划自动生成任务，支持提前提醒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执行登记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登记正常/异常、数值项录入、现场照片上传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逾期处理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过期未执行的任务标记逾期并通知责任人上级</w:t>
            </w:r>
          </w:p>
        </w:tc>
      </w:tr>
    </w:tbl>
    <w:p>
      <w:pPr>
        <w:spacing w:after="120"/>
      </w:pP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点检-点检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3  点检管理页面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3.4  维保工单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维保工单支持故障报修、点检异常转单与计划保养三类来源。工单在派发、接单、处理、验收四个状态间流转，每次状态变更记录操作人与时间，形成可追溯的维修过程档案。处理完成时登记更换备件与工时，用于后续成本统计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工单-维保工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4  维保工单页面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3.5  备件库存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备件库存模块维护备件编码、规格、库位与安全库存。出库需关联维保工单，入库登记来源与批次，库存低于安全库存时在看板与库存预警中提示，减少因备件缺失导致的停机等待。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3.6  告警中心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告警中心汇总来自设备运行数据、点检异常与库存预警的告警信息，按紧急程度分级。告警支持确认、转工单与人工闭环，并记录闭环原因，避免告警长期挂起失去提示作用。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3.7  统计报表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统计报表模块按时间范围与厂区汇总设备运行率、平均故障间隔、平均修复时间与维保成本，并以图表与明细表呈现。报表支持导出，供月度分析与上级汇报使用。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统计-统计报表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5  统计报表页面</w:t>
      </w:r>
    </w:p>
    <w:p>
      <w:pPr>
        <w:keepNext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4  操作说明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本章说明系统的常规操作流程，适用于已获得账号的使用人员。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4.1  登录与退出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在浏览器地址栏输入系统访问地址，进入登录页面。输入账号与密码后登录，首次登录需修改初始密码。长时间无操作时系统自动退出登录，需重新认证后方可继续使用。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4.2  典型业务操作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新增设备：设备台账 → 新增 → 填写编号与基础信息 → 保存 → 生成二维码；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编制点检计划：点检管理 → 计划 → 选择设备类别 → 设定周期与点检项 → 指定执行人 → 启用；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处理工单：维保工单 → 我的工单 → 接单 → 填写处理过程 → 登记备件 → 提交验收；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查看统计：统计报表 → 选择时间范围与厂区 → 导出报表。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4.3  异常处理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若页面数据长时间未更新，请先确认网络连通性，再使用页面刷新功能重新获取；若提示无权限，请联系系统管理员核对角色与数据范围；若出现无法登录的情况，请确认账号是否被锁定，连续多次输入错误密码会触发临时锁定。</w:t>
      </w:r>
    </w:p>
    <w:p>
      <w:pPr>
        <w:keepNext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5  技术特点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系统采用前后端分离架构，后端提供统一的接口服务，前端以单页应用方式组织页面，接口与页面可独立升级。设备主数据集中管理，各业务模块通过主键关联，避免数据重复与口径不一致。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统一设备主数据，点检、工单、备件与告警共用同一设备标识；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点检任务按计划自动生成，减少人工排期与漏检；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工单全流程留痕，状态变更可追溯；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看板按角色与数据范围展示，避免越权查看。</w:t>
      </w:r>
    </w:p>
    <w:sectPr w:rsidR="00FC693F" w:rsidRPr="0006063C" w:rsidSect="00034616">
      <w:headerReference w:type="default" r:id="rId9"/>
      <w:pgSz w:w="11906" w:h="16838"/>
      <w:pgMar w:top="1440" w:right="1797" w:bottom="1440" w:left="1797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8311" w:val="right"/>
      </w:tabs>
    </w:pPr>
    <w:r>
      <w:rPr>
        <w:rFonts w:ascii="Times New Roman" w:hAnsi="Times New Roman" w:eastAsia="宋体"/>
        <w:sz w:val="18"/>
      </w:rPr>
      <w:t>设备管理系统软件  V1.0</w:t>
      <w:tab/>
    </w:r>
    <w:fldSimple w:instr=" PAGE ">
      <w:r>
        <w:rPr>
          <w:rFonts w:ascii="宋体" w:hAnsi="宋体"/>
          <w:sz w:val="18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设备管理系统软件 V1.0 软件说明书</dc:title>
  <dc:subject>计算机软件著作权登记 · 文档鉴别材料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