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32"/>
          <w:szCs w:val="32"/>
          <w:rtl w:val="0"/>
        </w:rPr>
        <w:t xml:space="preserve">Assignment-3(Group-25)</w:t>
      </w:r>
    </w:p>
    <w:p w:rsidR="00000000" w:rsidDel="00000000" w:rsidP="00000000" w:rsidRDefault="00000000" w:rsidRPr="00000000" w14:paraId="00000002">
      <w:pPr>
        <w:jc w:val="center"/>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32"/>
          <w:szCs w:val="32"/>
          <w:rtl w:val="0"/>
        </w:rPr>
        <w:t xml:space="preserve">Ex-Post ML Techniques for Portfolio Optimization</w:t>
      </w:r>
    </w:p>
    <w:p w:rsidR="00000000" w:rsidDel="00000000" w:rsidP="00000000" w:rsidRDefault="00000000" w:rsidRPr="00000000" w14:paraId="00000003">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4">
      <w:pPr>
        <w:jc w:val="center"/>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24"/>
          <w:szCs w:val="24"/>
          <w:rtl w:val="0"/>
        </w:rPr>
        <w:t xml:space="preserve">Heatmap of Sample Covariance and Shrunk Covariance</w:t>
      </w:r>
      <w:r w:rsidDel="00000000" w:rsidR="00000000" w:rsidRPr="00000000">
        <w:rPr>
          <w:rtl w:val="0"/>
        </w:rPr>
      </w:r>
    </w:p>
    <w:p w:rsidR="00000000" w:rsidDel="00000000" w:rsidP="00000000" w:rsidRDefault="00000000" w:rsidRPr="00000000" w14:paraId="00000005">
      <w:pPr>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32"/>
          <w:szCs w:val="32"/>
        </w:rPr>
        <w:drawing>
          <wp:inline distB="114300" distT="114300" distL="114300" distR="114300">
            <wp:extent cx="4687409" cy="201892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87409" cy="201892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7">
      <w:pPr>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HRP Dendrogram of Stocks</w:t>
      </w:r>
    </w:p>
    <w:p w:rsidR="00000000" w:rsidDel="00000000" w:rsidP="00000000" w:rsidRDefault="00000000" w:rsidRPr="00000000" w14:paraId="00000008">
      <w:pPr>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4848225" cy="27583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8225" cy="275831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A">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B">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C">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D">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E">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F">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0">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1">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2">
      <w:pPr>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3">
      <w:pPr>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During Banking Crisis Plot</w:t>
      </w:r>
    </w:p>
    <w:p w:rsidR="00000000" w:rsidDel="00000000" w:rsidP="00000000" w:rsidRDefault="00000000" w:rsidRPr="00000000" w14:paraId="00000014">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2443163" cy="136285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43163" cy="1362853"/>
                    </a:xfrm>
                    <a:prstGeom prst="rect"/>
                    <a:ln/>
                  </pic:spPr>
                </pic:pic>
              </a:graphicData>
            </a:graphic>
          </wp:inline>
        </w:drawing>
      </w:r>
      <w:r w:rsidDel="00000000" w:rsidR="00000000" w:rsidRPr="00000000">
        <w:rPr>
          <w:rFonts w:ascii="Playfair Display" w:cs="Playfair Display" w:eastAsia="Playfair Display" w:hAnsi="Playfair Display"/>
          <w:sz w:val="24"/>
          <w:szCs w:val="24"/>
        </w:rPr>
        <w:drawing>
          <wp:inline distB="114300" distT="114300" distL="114300" distR="114300">
            <wp:extent cx="2405063" cy="127059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05063" cy="12705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 summary on why regularization is a prerequisite for real-world quantitative trading</w:t>
      </w:r>
    </w:p>
    <w:p w:rsidR="00000000" w:rsidDel="00000000" w:rsidP="00000000" w:rsidRDefault="00000000" w:rsidRPr="00000000" w14:paraId="00000017">
      <w:pPr>
        <w:spacing w:after="240" w:before="240" w:lineRule="auto"/>
        <w:ind w:left="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theory Markowitz provides an optimal allocation based on expected returns and the covariance matrix. However in our case the inputs are estimated from finite and noisy data. In our study  we got a </w:t>
      </w:r>
      <w:r w:rsidDel="00000000" w:rsidR="00000000" w:rsidRPr="00000000">
        <w:rPr>
          <w:rFonts w:ascii="Playfair Display" w:cs="Playfair Display" w:eastAsia="Playfair Display" w:hAnsi="Playfair Display"/>
          <w:b w:val="1"/>
          <w:bCs w:val="1"/>
          <w:rtl w:val="0"/>
        </w:rPr>
        <w:t xml:space="preserve">high</w:t>
      </w:r>
      <w:r w:rsidDel="00000000" w:rsidR="00000000" w:rsidRPr="00000000">
        <w:rPr>
          <w:rFonts w:ascii="Playfair Display" w:cs="Playfair Display" w:eastAsia="Playfair Display" w:hAnsi="Playfair Display"/>
          <w:rtl w:val="0"/>
        </w:rPr>
        <w:t xml:space="preserve"> condition number(</w:t>
      </w:r>
      <w:r w:rsidDel="00000000" w:rsidR="00000000" w:rsidRPr="00000000">
        <w:rPr>
          <w:rFonts w:ascii="Playfair Display" w:cs="Playfair Display" w:eastAsia="Playfair Display" w:hAnsi="Playfair Display"/>
          <w:b w:val="1"/>
          <w:bCs w:val="1"/>
          <w:rtl w:val="0"/>
        </w:rPr>
        <w:t xml:space="preserve">k=93)</w:t>
      </w:r>
      <w:r w:rsidDel="00000000" w:rsidR="00000000" w:rsidRPr="00000000">
        <w:rPr>
          <w:rFonts w:ascii="Playfair Display" w:cs="Playfair Display" w:eastAsia="Playfair Display" w:hAnsi="Playfair Display"/>
          <w:rtl w:val="0"/>
        </w:rPr>
        <w:t xml:space="preserve"> from the sample covariance matrix during the crisis period, which leads to instability translated into extreme portfolio weights(as provided in the plot) and large turnover=45, especially during periods of market stress.</w:t>
      </w:r>
    </w:p>
    <w:p w:rsidR="00000000" w:rsidDel="00000000" w:rsidP="00000000" w:rsidRDefault="00000000" w:rsidRPr="00000000" w14:paraId="00000018">
      <w:pPr>
        <w:spacing w:after="240" w:before="240" w:lineRule="auto"/>
        <w:ind w:left="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Statistical regularization</w:t>
      </w:r>
      <w:r w:rsidDel="00000000" w:rsidR="00000000" w:rsidRPr="00000000">
        <w:rPr>
          <w:rFonts w:ascii="Playfair Display" w:cs="Playfair Display" w:eastAsia="Playfair Display" w:hAnsi="Playfair Display"/>
          <w:rtl w:val="0"/>
        </w:rPr>
        <w:t xml:space="preserve"> through </w:t>
      </w:r>
      <w:r w:rsidDel="00000000" w:rsidR="00000000" w:rsidRPr="00000000">
        <w:rPr>
          <w:rFonts w:ascii="Playfair Display" w:cs="Playfair Display" w:eastAsia="Playfair Display" w:hAnsi="Playfair Display"/>
          <w:b w:val="1"/>
          <w:bCs w:val="1"/>
          <w:rtl w:val="0"/>
        </w:rPr>
        <w:t xml:space="preserve">Ledoit-Wolf</w:t>
      </w:r>
      <w:r w:rsidDel="00000000" w:rsidR="00000000" w:rsidRPr="00000000">
        <w:rPr>
          <w:rFonts w:ascii="Playfair Display" w:cs="Playfair Display" w:eastAsia="Playfair Display" w:hAnsi="Playfair Display"/>
          <w:rtl w:val="0"/>
        </w:rPr>
        <w:t xml:space="preserve"> shrinkage estimator, mitigates this instability by shrinking the noisy sample covariance towards a structured target. This reduces eigenvalue dispersion, lowers the condition number(k), and produces a more stable portfolio allocation.</w:t>
      </w:r>
    </w:p>
    <w:p w:rsidR="00000000" w:rsidDel="00000000" w:rsidP="00000000" w:rsidRDefault="00000000" w:rsidRPr="00000000" w14:paraId="00000019">
      <w:pPr>
        <w:spacing w:after="240" w:before="240" w:lineRule="auto"/>
        <w:ind w:left="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Structural regularization </w:t>
      </w:r>
      <w:r w:rsidDel="00000000" w:rsidR="00000000" w:rsidRPr="00000000">
        <w:rPr>
          <w:rFonts w:ascii="Playfair Display" w:cs="Playfair Display" w:eastAsia="Playfair Display" w:hAnsi="Playfair Display"/>
          <w:rtl w:val="0"/>
        </w:rPr>
        <w:t xml:space="preserve">is implemented via Hierarchical Risk Parity(HRP) which reallocates capital based on topology of correlation rather than relying on matrix inversion. Here we cluster the assets together and by applying </w:t>
      </w:r>
      <w:r w:rsidDel="00000000" w:rsidR="00000000" w:rsidRPr="00000000">
        <w:rPr>
          <w:rFonts w:ascii="Playfair Display" w:cs="Playfair Display" w:eastAsia="Playfair Display" w:hAnsi="Playfair Display"/>
          <w:b w:val="1"/>
          <w:bCs w:val="1"/>
          <w:rtl w:val="0"/>
        </w:rPr>
        <w:t xml:space="preserve">recursive bisection</w:t>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b w:val="1"/>
          <w:bCs w:val="1"/>
          <w:rtl w:val="0"/>
        </w:rPr>
        <w:t xml:space="preserve"> </w:t>
      </w:r>
      <w:r w:rsidDel="00000000" w:rsidR="00000000" w:rsidRPr="00000000">
        <w:rPr>
          <w:rFonts w:ascii="Playfair Display" w:cs="Playfair Display" w:eastAsia="Playfair Display" w:hAnsi="Playfair Display"/>
          <w:rtl w:val="0"/>
        </w:rPr>
        <w:t xml:space="preserve">HRP avoids amplifying noise. In which we got a lower portfolio turnover of 6  and significantly smoother weight dynamics during the COVID crisis.</w:t>
      </w:r>
    </w:p>
    <w:p w:rsidR="00000000" w:rsidDel="00000000" w:rsidP="00000000" w:rsidRDefault="00000000" w:rsidRPr="00000000" w14:paraId="0000001A">
      <w:pPr>
        <w:spacing w:after="8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real-world quantitative trading, transaction costs, liquidity constraints, and regime shifts make unstable portfolios economically infeasible. Regularization is therefore not optional but essential. It transforms theoretical portfolio optimization into a practical and deployable strategy by improving robustness, reducing turnover, and enhancing out-of-sample reliability.</w:t>
      </w:r>
    </w:p>
    <w:p w:rsidR="00000000" w:rsidDel="00000000" w:rsidP="00000000" w:rsidRDefault="00000000" w:rsidRPr="00000000" w14:paraId="0000001B">
      <w:pPr>
        <w:spacing w:after="240" w:befor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Result:</w:t>
      </w:r>
    </w:p>
    <w:p w:rsidR="00000000" w:rsidDel="00000000" w:rsidP="00000000" w:rsidRDefault="00000000" w:rsidRPr="00000000" w14:paraId="0000001E">
      <w:pPr>
        <w:spacing w:after="240" w:before="240" w:lineRule="auto"/>
        <w:ind w:left="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Shrinkage Intensity</w:t>
      </w:r>
      <w:r w:rsidDel="00000000" w:rsidR="00000000" w:rsidRPr="00000000">
        <w:rPr>
          <w:rFonts w:ascii="Playfair Display" w:cs="Playfair Display" w:eastAsia="Playfair Display" w:hAnsi="Playfair Display"/>
          <w:b w:val="1"/>
          <w:bCs w:val="1"/>
          <w:rtl w:val="0"/>
        </w:rPr>
        <w:t xml:space="preserve">: </w:t>
      </w:r>
      <w:r w:rsidDel="00000000" w:rsidR="00000000" w:rsidRPr="00000000">
        <w:rPr>
          <w:rFonts w:ascii="Playfair Display" w:cs="Playfair Display" w:eastAsia="Playfair Display" w:hAnsi="Playfair Display"/>
          <w:rtl w:val="0"/>
        </w:rPr>
        <w:t xml:space="preserve">0.17</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Regularized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Condition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93.39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25.43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Turnover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highlight w:val="white"/>
              </w:rPr>
            </w:pPr>
            <w:r w:rsidDel="00000000" w:rsidR="00000000" w:rsidRPr="00000000">
              <w:rPr>
                <w:rFonts w:ascii="Playfair Display" w:cs="Playfair Display" w:eastAsia="Playfair Display" w:hAnsi="Playfair Display"/>
                <w:sz w:val="21"/>
                <w:szCs w:val="21"/>
                <w:highlight w:val="white"/>
                <w:rtl w:val="0"/>
              </w:rPr>
              <w:t xml:space="preserve">45.54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6.79</w:t>
            </w:r>
          </w:p>
        </w:tc>
      </w:tr>
    </w:tbl>
    <w:p w:rsidR="00000000" w:rsidDel="00000000" w:rsidP="00000000" w:rsidRDefault="00000000" w:rsidRPr="00000000" w14:paraId="00000028">
      <w:pPr>
        <w:spacing w:after="240" w:before="240" w:lineRule="auto"/>
        <w:ind w:left="0" w:firstLine="0"/>
        <w:rPr>
          <w:rFonts w:ascii="Playfair Display" w:cs="Playfair Display" w:eastAsia="Playfair Display" w:hAnsi="Playfair Display"/>
          <w:b w:val="1"/>
          <w:bCs w:val="1"/>
        </w:rPr>
      </w:pP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Playfair Display" w:cs="Playfair Display" w:eastAsia="Playfair Display" w:hAnsi="Playfair Display"/>
          <w:b w:val="1"/>
          <w:bCs w:val="1"/>
        </w:rPr>
      </w:pPr>
      <w:r w:rsidDel="00000000" w:rsidR="00000000" w:rsidRPr="00000000">
        <w:rPr>
          <w:rtl w:val="0"/>
        </w:rPr>
      </w:r>
    </w:p>
    <w:p w:rsidR="00000000" w:rsidDel="00000000" w:rsidP="00000000" w:rsidRDefault="00000000" w:rsidRPr="00000000" w14:paraId="0000002A">
      <w:pPr>
        <w:spacing w:after="240" w:before="240" w:lineRule="auto"/>
        <w:ind w:left="0" w:firstLine="0"/>
        <w:rPr>
          <w:rFonts w:ascii="Playfair Display" w:cs="Playfair Display" w:eastAsia="Playfair Display" w:hAnsi="Playfair Display"/>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