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4C5E6" w14:textId="77777777" w:rsidR="00B33E82" w:rsidRPr="00B33E82" w:rsidRDefault="00B33E82" w:rsidP="00B33E82">
      <w:pPr>
        <w:rPr>
          <w:color w:val="FF0000"/>
        </w:rPr>
      </w:pPr>
      <w:r w:rsidRPr="00B33E82">
        <w:rPr>
          <w:b/>
          <w:bCs/>
          <w:color w:val="FF0000"/>
        </w:rPr>
        <w:t>TDE (Transparent Data Encryption)</w:t>
      </w:r>
      <w:r w:rsidRPr="00B33E82">
        <w:rPr>
          <w:color w:val="FF0000"/>
        </w:rPr>
        <w:t xml:space="preserve"> </w:t>
      </w:r>
    </w:p>
    <w:p w14:paraId="01AC38B2" w14:textId="4CB41D7C" w:rsidR="00B33E82" w:rsidRPr="00B33E82" w:rsidRDefault="00B33E82" w:rsidP="00B33E82">
      <w:r w:rsidRPr="00000770">
        <w:rPr>
          <w:highlight w:val="yellow"/>
        </w:rPr>
        <w:t>In Oracle is a security feature that helps protect sensitive data stored in an Oracle database</w:t>
      </w:r>
      <w:r w:rsidRPr="00B33E82">
        <w:t>. TDE transparently encrypts and decrypts data as it is written to and read from disk, without requiring changes to applications or queries. It ensures that the data at rest (data stored on disk) is protected from unauthorized access, even if the physical media is stolen or compromised.</w:t>
      </w:r>
    </w:p>
    <w:p w14:paraId="4707C458" w14:textId="77777777" w:rsidR="00B33E82" w:rsidRPr="00B33E82" w:rsidRDefault="00B33E82" w:rsidP="00B33E82">
      <w:pPr>
        <w:rPr>
          <w:b/>
          <w:bCs/>
          <w:color w:val="FF0000"/>
        </w:rPr>
      </w:pPr>
      <w:r w:rsidRPr="00B33E82">
        <w:rPr>
          <w:b/>
          <w:bCs/>
          <w:color w:val="FF0000"/>
        </w:rPr>
        <w:t>Key Concepts of TDE in Oracle:</w:t>
      </w:r>
    </w:p>
    <w:p w14:paraId="10043DB1" w14:textId="77777777" w:rsidR="00B33E82" w:rsidRPr="00B33E82" w:rsidRDefault="00B33E82" w:rsidP="00B33E82">
      <w:pPr>
        <w:numPr>
          <w:ilvl w:val="0"/>
          <w:numId w:val="1"/>
        </w:numPr>
      </w:pPr>
      <w:r w:rsidRPr="00B33E82">
        <w:rPr>
          <w:b/>
          <w:bCs/>
          <w:color w:val="00B0F0"/>
        </w:rPr>
        <w:t>Encryption at Rest</w:t>
      </w:r>
      <w:r w:rsidRPr="00B33E82">
        <w:rPr>
          <w:color w:val="00B0F0"/>
        </w:rPr>
        <w:t xml:space="preserve">: </w:t>
      </w:r>
      <w:r w:rsidRPr="00B33E82">
        <w:t>TDE ensures that data stored on disk, including table data, indexes, and redo logs, is encrypted. This means even if someone gains access to the storage files directly, the data will remain protected.</w:t>
      </w:r>
    </w:p>
    <w:p w14:paraId="0DBF6B19" w14:textId="77777777" w:rsidR="00B33E82" w:rsidRPr="00B33E82" w:rsidRDefault="00B33E82" w:rsidP="00B33E82">
      <w:pPr>
        <w:numPr>
          <w:ilvl w:val="0"/>
          <w:numId w:val="1"/>
        </w:numPr>
      </w:pPr>
      <w:r w:rsidRPr="00B33E82">
        <w:rPr>
          <w:b/>
          <w:bCs/>
          <w:color w:val="00B0F0"/>
        </w:rPr>
        <w:t>Two Levels of Encryption</w:t>
      </w:r>
      <w:r w:rsidRPr="00B33E82">
        <w:t>:</w:t>
      </w:r>
    </w:p>
    <w:p w14:paraId="037C4F9D" w14:textId="77777777" w:rsidR="00B33E82" w:rsidRPr="00B33E82" w:rsidRDefault="00B33E82" w:rsidP="00B33E82">
      <w:pPr>
        <w:numPr>
          <w:ilvl w:val="1"/>
          <w:numId w:val="1"/>
        </w:numPr>
      </w:pPr>
      <w:r w:rsidRPr="00B33E82">
        <w:rPr>
          <w:b/>
          <w:bCs/>
        </w:rPr>
        <w:t>Tablespace Encryption</w:t>
      </w:r>
      <w:r w:rsidRPr="00B33E82">
        <w:t>: Encrypts all data within a tablespace, meaning all tables and indexes in that tablespace are automatically encrypted.</w:t>
      </w:r>
    </w:p>
    <w:p w14:paraId="5306EFFC" w14:textId="77777777" w:rsidR="00B33E82" w:rsidRPr="00B33E82" w:rsidRDefault="00B33E82" w:rsidP="00B33E82">
      <w:pPr>
        <w:numPr>
          <w:ilvl w:val="1"/>
          <w:numId w:val="1"/>
        </w:numPr>
      </w:pPr>
      <w:r w:rsidRPr="00B33E82">
        <w:rPr>
          <w:b/>
          <w:bCs/>
        </w:rPr>
        <w:t>Column Encryption</w:t>
      </w:r>
      <w:r w:rsidRPr="00B33E82">
        <w:t>: Allows for encrypting specific columns in a table that contain sensitive data (e.g., credit card numbers, SSNs). This level of encryption is more granular.</w:t>
      </w:r>
    </w:p>
    <w:p w14:paraId="4C3167FE" w14:textId="77777777" w:rsidR="00B33E82" w:rsidRPr="00B33E82" w:rsidRDefault="00B33E82" w:rsidP="00B33E82">
      <w:pPr>
        <w:numPr>
          <w:ilvl w:val="0"/>
          <w:numId w:val="1"/>
        </w:numPr>
      </w:pPr>
      <w:r w:rsidRPr="00B33E82">
        <w:rPr>
          <w:b/>
          <w:bCs/>
          <w:color w:val="00B0F0"/>
        </w:rPr>
        <w:t>Transparent</w:t>
      </w:r>
      <w:r w:rsidRPr="00B33E82">
        <w:rPr>
          <w:color w:val="00B0F0"/>
        </w:rPr>
        <w:t xml:space="preserve">: </w:t>
      </w:r>
      <w:r w:rsidRPr="00B33E82">
        <w:t>The encryption and decryption process happens automatically without requiring changes to application code. Oracle takes care of the encryption logic in the background.</w:t>
      </w:r>
    </w:p>
    <w:p w14:paraId="1E6F6620" w14:textId="77777777" w:rsidR="00B33E82" w:rsidRPr="00B33E82" w:rsidRDefault="00B33E82" w:rsidP="00B33E82">
      <w:pPr>
        <w:numPr>
          <w:ilvl w:val="0"/>
          <w:numId w:val="1"/>
        </w:numPr>
      </w:pPr>
      <w:r w:rsidRPr="00B33E82">
        <w:rPr>
          <w:b/>
          <w:bCs/>
          <w:color w:val="00B0F0"/>
        </w:rPr>
        <w:t>Master Encryption Key</w:t>
      </w:r>
      <w:r w:rsidRPr="00B33E82">
        <w:t>: TDE uses a master encryption key to encrypt and decrypt data. This key is stored securely in a keystore. Oracle supports two keystore options:</w:t>
      </w:r>
    </w:p>
    <w:p w14:paraId="32AD8DDA" w14:textId="77777777" w:rsidR="00B33E82" w:rsidRPr="00B33E82" w:rsidRDefault="00B33E82" w:rsidP="00B33E82">
      <w:pPr>
        <w:numPr>
          <w:ilvl w:val="1"/>
          <w:numId w:val="1"/>
        </w:numPr>
      </w:pPr>
      <w:r w:rsidRPr="00B33E82">
        <w:rPr>
          <w:b/>
          <w:bCs/>
        </w:rPr>
        <w:t>Software Keystore</w:t>
      </w:r>
      <w:r w:rsidRPr="00B33E82">
        <w:t>: Stored within the Oracle database.</w:t>
      </w:r>
    </w:p>
    <w:p w14:paraId="4727AED3" w14:textId="77777777" w:rsidR="00B33E82" w:rsidRPr="00B33E82" w:rsidRDefault="00B33E82" w:rsidP="00B33E82">
      <w:pPr>
        <w:numPr>
          <w:ilvl w:val="1"/>
          <w:numId w:val="1"/>
        </w:numPr>
      </w:pPr>
      <w:r w:rsidRPr="00B33E82">
        <w:rPr>
          <w:b/>
          <w:bCs/>
        </w:rPr>
        <w:t>Hardware Keystore (HSM)</w:t>
      </w:r>
      <w:r w:rsidRPr="00B33E82">
        <w:t>: A more secure external storage solution for managing the keystore.</w:t>
      </w:r>
    </w:p>
    <w:p w14:paraId="586AAB31" w14:textId="77777777" w:rsidR="00B33E82" w:rsidRPr="00B33E82" w:rsidRDefault="00B33E82" w:rsidP="00B33E82">
      <w:pPr>
        <w:numPr>
          <w:ilvl w:val="0"/>
          <w:numId w:val="1"/>
        </w:numPr>
      </w:pPr>
      <w:r w:rsidRPr="00B33E82">
        <w:rPr>
          <w:b/>
          <w:bCs/>
          <w:color w:val="00B0F0"/>
        </w:rPr>
        <w:t>Key Management</w:t>
      </w:r>
      <w:r w:rsidRPr="00B33E82">
        <w:rPr>
          <w:color w:val="00B0F0"/>
        </w:rPr>
        <w:t xml:space="preserve">: </w:t>
      </w:r>
      <w:r w:rsidRPr="00B33E82">
        <w:t>Key management is essential for TDE. Oracle provides a tool called Oracle Key Vault or integration with other third-party key management solutions to securely store and manage the encryption keys.</w:t>
      </w:r>
    </w:p>
    <w:p w14:paraId="0F366F24" w14:textId="77777777" w:rsidR="00B33E82" w:rsidRPr="00B33E82" w:rsidRDefault="00B33E82" w:rsidP="00B33E82">
      <w:pPr>
        <w:numPr>
          <w:ilvl w:val="0"/>
          <w:numId w:val="1"/>
        </w:numPr>
        <w:rPr>
          <w:color w:val="00B0F0"/>
        </w:rPr>
      </w:pPr>
      <w:r w:rsidRPr="00B33E82">
        <w:rPr>
          <w:b/>
          <w:bCs/>
          <w:color w:val="00B0F0"/>
        </w:rPr>
        <w:t>Transparent Data Encryption in Oracle Versions</w:t>
      </w:r>
      <w:r w:rsidRPr="00B33E82">
        <w:rPr>
          <w:color w:val="00B0F0"/>
        </w:rPr>
        <w:t>:</w:t>
      </w:r>
    </w:p>
    <w:p w14:paraId="3652609E" w14:textId="77777777" w:rsidR="00B33E82" w:rsidRPr="00B33E82" w:rsidRDefault="00B33E82" w:rsidP="00B33E82">
      <w:pPr>
        <w:numPr>
          <w:ilvl w:val="1"/>
          <w:numId w:val="1"/>
        </w:numPr>
      </w:pPr>
      <w:r w:rsidRPr="00B33E82">
        <w:t xml:space="preserve">TDE was introduced in Oracle 10g for </w:t>
      </w:r>
      <w:r w:rsidRPr="00B33E82">
        <w:rPr>
          <w:b/>
          <w:bCs/>
        </w:rPr>
        <w:t>tablespace-level encryption</w:t>
      </w:r>
      <w:r w:rsidRPr="00B33E82">
        <w:t>.</w:t>
      </w:r>
    </w:p>
    <w:p w14:paraId="11514B24" w14:textId="77777777" w:rsidR="00B33E82" w:rsidRPr="00B33E82" w:rsidRDefault="00B33E82" w:rsidP="00B33E82">
      <w:pPr>
        <w:numPr>
          <w:ilvl w:val="1"/>
          <w:numId w:val="1"/>
        </w:numPr>
      </w:pPr>
      <w:r w:rsidRPr="00B33E82">
        <w:t xml:space="preserve">In Oracle 12c, </w:t>
      </w:r>
      <w:r w:rsidRPr="00B33E82">
        <w:rPr>
          <w:b/>
          <w:bCs/>
        </w:rPr>
        <w:t>column-level encryption</w:t>
      </w:r>
      <w:r w:rsidRPr="00B33E82">
        <w:t xml:space="preserve"> was introduced along with improved encryption algorithms and key management options.</w:t>
      </w:r>
    </w:p>
    <w:p w14:paraId="76BC7154" w14:textId="77777777" w:rsidR="00B33E82" w:rsidRPr="00B33E82" w:rsidRDefault="00B33E82" w:rsidP="00B33E82">
      <w:pPr>
        <w:numPr>
          <w:ilvl w:val="1"/>
          <w:numId w:val="1"/>
        </w:numPr>
      </w:pPr>
      <w:r w:rsidRPr="00B33E82">
        <w:t xml:space="preserve">In </w:t>
      </w:r>
      <w:r w:rsidRPr="00B33E82">
        <w:rPr>
          <w:b/>
          <w:bCs/>
        </w:rPr>
        <w:t>Oracle 18c and 19c</w:t>
      </w:r>
      <w:r w:rsidRPr="00B33E82">
        <w:t>, TDE continues to be enhanced with support for better key management features, including automatic key rotation.</w:t>
      </w:r>
    </w:p>
    <w:p w14:paraId="365487C5" w14:textId="77777777" w:rsidR="00B33E82" w:rsidRPr="00B33E82" w:rsidRDefault="00B33E82" w:rsidP="00B33E82">
      <w:pPr>
        <w:rPr>
          <w:b/>
          <w:bCs/>
          <w:color w:val="FF0000"/>
        </w:rPr>
      </w:pPr>
      <w:r w:rsidRPr="00B33E82">
        <w:rPr>
          <w:b/>
          <w:bCs/>
          <w:color w:val="FF0000"/>
        </w:rPr>
        <w:t>Benefits of TDE:</w:t>
      </w:r>
    </w:p>
    <w:p w14:paraId="63E96BE7" w14:textId="77777777" w:rsidR="00B33E82" w:rsidRPr="00B33E82" w:rsidRDefault="00B33E82" w:rsidP="00B33E82">
      <w:pPr>
        <w:numPr>
          <w:ilvl w:val="0"/>
          <w:numId w:val="2"/>
        </w:numPr>
      </w:pPr>
      <w:r w:rsidRPr="00B33E82">
        <w:rPr>
          <w:b/>
          <w:bCs/>
        </w:rPr>
        <w:t>Compliance</w:t>
      </w:r>
      <w:r w:rsidRPr="00B33E82">
        <w:t>: Helps meet regulatory and industry compliance requirements, such as PCI DSS, HIPAA, and GDPR, which mandate that sensitive data be encrypted.</w:t>
      </w:r>
    </w:p>
    <w:p w14:paraId="0CDD66DF" w14:textId="77777777" w:rsidR="00B33E82" w:rsidRPr="00B33E82" w:rsidRDefault="00B33E82" w:rsidP="00B33E82">
      <w:pPr>
        <w:numPr>
          <w:ilvl w:val="0"/>
          <w:numId w:val="2"/>
        </w:numPr>
      </w:pPr>
      <w:r w:rsidRPr="00B33E82">
        <w:rPr>
          <w:b/>
          <w:bCs/>
        </w:rPr>
        <w:t>Security</w:t>
      </w:r>
      <w:r w:rsidRPr="00B33E82">
        <w:t>: Protects sensitive data even if the database files are stolen, ensuring that unauthorized users cannot read the data.</w:t>
      </w:r>
    </w:p>
    <w:p w14:paraId="24C02658" w14:textId="77777777" w:rsidR="00B33E82" w:rsidRDefault="00B33E82" w:rsidP="00B33E82">
      <w:pPr>
        <w:numPr>
          <w:ilvl w:val="0"/>
          <w:numId w:val="2"/>
        </w:numPr>
      </w:pPr>
      <w:r w:rsidRPr="00B33E82">
        <w:rPr>
          <w:b/>
          <w:bCs/>
        </w:rPr>
        <w:t>Minimal Impact</w:t>
      </w:r>
      <w:r w:rsidRPr="00B33E82">
        <w:t>: TDE is designed to work with minimal performance overhead, as it operates at the storage level.</w:t>
      </w:r>
    </w:p>
    <w:p w14:paraId="5196CFC3" w14:textId="77777777" w:rsidR="00BA2C30" w:rsidRDefault="00BA2C30" w:rsidP="00BA2C30"/>
    <w:p w14:paraId="12C3AE71" w14:textId="77777777" w:rsidR="00BA2C30" w:rsidRDefault="00BA2C30" w:rsidP="00BA2C30"/>
    <w:p w14:paraId="615515D7" w14:textId="77777777" w:rsidR="00BA2C30" w:rsidRDefault="00BA2C30" w:rsidP="00BA2C30"/>
    <w:p w14:paraId="160DD56E" w14:textId="77777777" w:rsidR="00BA2C30" w:rsidRPr="00B33E82" w:rsidRDefault="00BA2C30" w:rsidP="00BA2C30"/>
    <w:p w14:paraId="7A8BD3AF" w14:textId="77777777" w:rsidR="00B33E82" w:rsidRPr="00B33E82" w:rsidRDefault="00B33E82" w:rsidP="00B33E82">
      <w:pPr>
        <w:rPr>
          <w:b/>
          <w:bCs/>
          <w:color w:val="FF0000"/>
        </w:rPr>
      </w:pPr>
      <w:r w:rsidRPr="00B33E82">
        <w:rPr>
          <w:b/>
          <w:bCs/>
          <w:color w:val="FF0000"/>
        </w:rPr>
        <w:lastRenderedPageBreak/>
        <w:t>How to Enable TDE:</w:t>
      </w:r>
    </w:p>
    <w:p w14:paraId="6144D8FB" w14:textId="77777777" w:rsidR="00B33E82" w:rsidRPr="00B33E82" w:rsidRDefault="00B33E82" w:rsidP="00BA2C30">
      <w:r w:rsidRPr="00B33E82">
        <w:rPr>
          <w:b/>
          <w:bCs/>
        </w:rPr>
        <w:t>Create a Keystore</w:t>
      </w:r>
      <w:r w:rsidRPr="00B33E82">
        <w:t>: This is where the encryption keys will be stored.</w:t>
      </w:r>
    </w:p>
    <w:p w14:paraId="2945117E" w14:textId="77777777" w:rsidR="00B33E82" w:rsidRPr="00B33E82" w:rsidRDefault="00B33E82" w:rsidP="00BA2C30">
      <w:pPr>
        <w:ind w:left="360"/>
      </w:pPr>
      <w:r w:rsidRPr="00B33E82">
        <w:t>ADMINISTER KEY MANAGEMENT CREATE KEYSTORE '/path/to/keystore' IDENTIFIED BY "password";</w:t>
      </w:r>
    </w:p>
    <w:p w14:paraId="3EBB3D50" w14:textId="77777777" w:rsidR="00BA2C30" w:rsidRDefault="00BA2C30" w:rsidP="00BA2C30">
      <w:pPr>
        <w:rPr>
          <w:b/>
          <w:bCs/>
        </w:rPr>
      </w:pPr>
    </w:p>
    <w:p w14:paraId="59BCCF5C" w14:textId="7A7A3E76" w:rsidR="00B33E82" w:rsidRPr="00B33E82" w:rsidRDefault="00B33E82" w:rsidP="00BA2C30">
      <w:r w:rsidRPr="00B33E82">
        <w:rPr>
          <w:b/>
          <w:bCs/>
        </w:rPr>
        <w:t>Open the Keystore</w:t>
      </w:r>
      <w:r w:rsidRPr="00B33E82">
        <w:t>: The keystore must be open before any encryption operations can occur.</w:t>
      </w:r>
    </w:p>
    <w:p w14:paraId="3B6BEC4A" w14:textId="77777777" w:rsidR="00B33E82" w:rsidRPr="00B33E82" w:rsidRDefault="00B33E82" w:rsidP="00BA2C30">
      <w:pPr>
        <w:ind w:left="360"/>
      </w:pPr>
      <w:r w:rsidRPr="00B33E82">
        <w:t>ADMINISTER KEY MANAGEMENT OPEN KEYSTORE IDENTIFIED BY "password";</w:t>
      </w:r>
    </w:p>
    <w:p w14:paraId="21B1E1DA" w14:textId="77777777" w:rsidR="00BA2C30" w:rsidRDefault="00BA2C30" w:rsidP="00BA2C30">
      <w:pPr>
        <w:rPr>
          <w:b/>
          <w:bCs/>
        </w:rPr>
      </w:pPr>
    </w:p>
    <w:p w14:paraId="3654B3FE" w14:textId="302BF710" w:rsidR="00B33E82" w:rsidRPr="00B33E82" w:rsidRDefault="00B33E82" w:rsidP="00BA2C30">
      <w:r w:rsidRPr="00B33E82">
        <w:rPr>
          <w:b/>
          <w:bCs/>
        </w:rPr>
        <w:t>Create a Master Encryption Key</w:t>
      </w:r>
      <w:r w:rsidRPr="00B33E82">
        <w:t>: This is the key that will be used to encrypt the data.</w:t>
      </w:r>
    </w:p>
    <w:p w14:paraId="6A89DA55" w14:textId="77777777" w:rsidR="00B33E82" w:rsidRPr="00B33E82" w:rsidRDefault="00B33E82" w:rsidP="00BA2C30">
      <w:pPr>
        <w:ind w:left="360"/>
      </w:pPr>
      <w:r w:rsidRPr="00B33E82">
        <w:t>ADMINISTER KEY MANAGEMENT CREATE ENCRYPTION KEY IDENTIFIED BY "password";</w:t>
      </w:r>
    </w:p>
    <w:p w14:paraId="612DBB2F" w14:textId="77777777" w:rsidR="00BA2C30" w:rsidRDefault="00BA2C30" w:rsidP="00BA2C30">
      <w:pPr>
        <w:rPr>
          <w:b/>
          <w:bCs/>
        </w:rPr>
      </w:pPr>
    </w:p>
    <w:p w14:paraId="4589DE86" w14:textId="40323526" w:rsidR="00B33E82" w:rsidRPr="00B33E82" w:rsidRDefault="00B33E82" w:rsidP="00BA2C30">
      <w:r w:rsidRPr="00B33E82">
        <w:rPr>
          <w:b/>
          <w:bCs/>
        </w:rPr>
        <w:t>Enable Tablespace Encryption</w:t>
      </w:r>
      <w:r w:rsidRPr="00B33E82">
        <w:t>: To encrypt an existing tablespace, you can alter it as follows:</w:t>
      </w:r>
    </w:p>
    <w:p w14:paraId="552A86E1" w14:textId="77777777" w:rsidR="00B33E82" w:rsidRPr="00B33E82" w:rsidRDefault="00B33E82" w:rsidP="00BA2C30">
      <w:pPr>
        <w:ind w:left="360"/>
      </w:pPr>
      <w:r w:rsidRPr="00B33E82">
        <w:t xml:space="preserve">ALTER TABLESPACE </w:t>
      </w:r>
      <w:proofErr w:type="spellStart"/>
      <w:r w:rsidRPr="00B33E82">
        <w:t>my_tablespace</w:t>
      </w:r>
      <w:proofErr w:type="spellEnd"/>
      <w:r w:rsidRPr="00B33E82">
        <w:t xml:space="preserve"> ENCRYPTION ONLINE USING 'AES256' ENCRYPT;</w:t>
      </w:r>
    </w:p>
    <w:p w14:paraId="7CE4AAE6" w14:textId="77777777" w:rsidR="00BA2C30" w:rsidRDefault="00BA2C30" w:rsidP="00BA2C30">
      <w:pPr>
        <w:rPr>
          <w:b/>
          <w:bCs/>
        </w:rPr>
      </w:pPr>
    </w:p>
    <w:p w14:paraId="5B855B86" w14:textId="3272E5BF" w:rsidR="00B33E82" w:rsidRPr="00B33E82" w:rsidRDefault="00B33E82" w:rsidP="00BA2C30">
      <w:r w:rsidRPr="00B33E82">
        <w:rPr>
          <w:b/>
          <w:bCs/>
        </w:rPr>
        <w:t>Encrypting Specific Columns</w:t>
      </w:r>
      <w:r w:rsidRPr="00B33E82">
        <w:t>: To encrypt individual columns, you use the ENCRYPT clause in the CREATE or ALTER TABLE statement.</w:t>
      </w:r>
    </w:p>
    <w:p w14:paraId="26151233" w14:textId="77777777" w:rsidR="00B33E82" w:rsidRPr="00B33E82" w:rsidRDefault="00B33E82" w:rsidP="00BA2C30">
      <w:pPr>
        <w:ind w:left="360"/>
      </w:pPr>
      <w:r w:rsidRPr="00B33E82">
        <w:t xml:space="preserve">ALTER TABLE </w:t>
      </w:r>
      <w:proofErr w:type="spellStart"/>
      <w:r w:rsidRPr="00B33E82">
        <w:t>my_table</w:t>
      </w:r>
      <w:proofErr w:type="spellEnd"/>
      <w:r w:rsidRPr="00B33E82">
        <w:t xml:space="preserve"> MODIFY (</w:t>
      </w:r>
      <w:proofErr w:type="spellStart"/>
      <w:r w:rsidRPr="00B33E82">
        <w:t>my_column</w:t>
      </w:r>
      <w:proofErr w:type="spellEnd"/>
      <w:r w:rsidRPr="00B33E82">
        <w:t xml:space="preserve"> ENCRYPT);</w:t>
      </w:r>
    </w:p>
    <w:p w14:paraId="3ACABF81" w14:textId="77777777" w:rsidR="00BA2C30" w:rsidRDefault="00BA2C30" w:rsidP="00BA2C30">
      <w:pPr>
        <w:rPr>
          <w:b/>
          <w:bCs/>
        </w:rPr>
      </w:pPr>
    </w:p>
    <w:p w14:paraId="750A1DE7" w14:textId="77777777" w:rsidR="005617F5" w:rsidRPr="005617F5" w:rsidRDefault="005617F5" w:rsidP="005617F5">
      <w:r w:rsidRPr="005617F5">
        <w:rPr>
          <w:b/>
          <w:bCs/>
        </w:rPr>
        <w:t xml:space="preserve">Decrypt the Column: </w:t>
      </w:r>
      <w:r w:rsidRPr="005617F5">
        <w:t>To remove encryption from a specific column, use the following ALTER TABLE command:</w:t>
      </w:r>
    </w:p>
    <w:p w14:paraId="69E21C1A" w14:textId="77777777" w:rsidR="005617F5" w:rsidRPr="005617F5" w:rsidRDefault="005617F5" w:rsidP="005617F5">
      <w:pPr>
        <w:ind w:firstLine="720"/>
      </w:pPr>
      <w:r w:rsidRPr="005617F5">
        <w:t xml:space="preserve">ALTER TABLE </w:t>
      </w:r>
      <w:proofErr w:type="spellStart"/>
      <w:r w:rsidRPr="005617F5">
        <w:t>table_name</w:t>
      </w:r>
      <w:proofErr w:type="spellEnd"/>
      <w:r w:rsidRPr="005617F5">
        <w:t xml:space="preserve"> MODIFY (</w:t>
      </w:r>
      <w:proofErr w:type="spellStart"/>
      <w:r w:rsidRPr="005617F5">
        <w:t>column_name</w:t>
      </w:r>
      <w:proofErr w:type="spellEnd"/>
      <w:r w:rsidRPr="005617F5">
        <w:t xml:space="preserve"> ENCRYPT NO);</w:t>
      </w:r>
    </w:p>
    <w:p w14:paraId="34FDC3C4" w14:textId="77777777" w:rsidR="005617F5" w:rsidRDefault="005617F5" w:rsidP="00BA2C30">
      <w:pPr>
        <w:rPr>
          <w:b/>
          <w:bCs/>
        </w:rPr>
      </w:pPr>
    </w:p>
    <w:p w14:paraId="1168054C" w14:textId="6B7D2393" w:rsidR="00B33E82" w:rsidRPr="00B33E82" w:rsidRDefault="00B33E82" w:rsidP="00BA2C30">
      <w:r w:rsidRPr="00B33E82">
        <w:rPr>
          <w:b/>
          <w:bCs/>
        </w:rPr>
        <w:t>Checking Encryption</w:t>
      </w:r>
      <w:r w:rsidRPr="00B33E82">
        <w:t>: You can verify whether a tablespace or column is encrypted using the following query:</w:t>
      </w:r>
    </w:p>
    <w:p w14:paraId="5E9FF51F" w14:textId="77777777" w:rsidR="00B33E82" w:rsidRPr="00B33E82" w:rsidRDefault="00B33E82" w:rsidP="00BA2C30">
      <w:pPr>
        <w:ind w:left="360"/>
      </w:pPr>
      <w:r w:rsidRPr="00B33E82">
        <w:t xml:space="preserve">SELECT </w:t>
      </w:r>
      <w:proofErr w:type="spellStart"/>
      <w:r w:rsidRPr="00B33E82">
        <w:t>tablespace_name</w:t>
      </w:r>
      <w:proofErr w:type="spellEnd"/>
      <w:r w:rsidRPr="00B33E82">
        <w:t xml:space="preserve">, </w:t>
      </w:r>
      <w:proofErr w:type="spellStart"/>
      <w:r w:rsidRPr="00B33E82">
        <w:t>encryption_alg</w:t>
      </w:r>
      <w:proofErr w:type="spellEnd"/>
      <w:r w:rsidRPr="00B33E82">
        <w:t xml:space="preserve"> FROM </w:t>
      </w:r>
      <w:proofErr w:type="spellStart"/>
      <w:r w:rsidRPr="00B33E82">
        <w:t>dba_tablespaces</w:t>
      </w:r>
      <w:proofErr w:type="spellEnd"/>
      <w:r w:rsidRPr="00B33E82">
        <w:t>;</w:t>
      </w:r>
    </w:p>
    <w:p w14:paraId="15B17A22" w14:textId="77777777" w:rsidR="00BA2C30" w:rsidRDefault="00BA2C30" w:rsidP="00BA2C30">
      <w:pPr>
        <w:rPr>
          <w:b/>
          <w:bCs/>
        </w:rPr>
      </w:pPr>
    </w:p>
    <w:p w14:paraId="398B8F29" w14:textId="0F219082" w:rsidR="00B33E82" w:rsidRPr="00B33E82" w:rsidRDefault="00B33E82" w:rsidP="00BA2C30">
      <w:r w:rsidRPr="00B33E82">
        <w:rPr>
          <w:b/>
          <w:bCs/>
          <w:color w:val="00B0F0"/>
        </w:rPr>
        <w:t>Backup Considerations</w:t>
      </w:r>
      <w:r w:rsidRPr="00B33E82">
        <w:t>: Ensure that any backups of encrypted data are also protected. If using TDE, backups should be encrypted to ensure sensitive data is protected in transit and at rest.</w:t>
      </w:r>
    </w:p>
    <w:p w14:paraId="39FFFD20" w14:textId="77777777" w:rsidR="00B33E82" w:rsidRPr="00B33E82" w:rsidRDefault="00B33E82" w:rsidP="00B33E82">
      <w:pPr>
        <w:rPr>
          <w:b/>
          <w:bCs/>
        </w:rPr>
      </w:pPr>
      <w:r w:rsidRPr="00B33E82">
        <w:rPr>
          <w:b/>
          <w:bCs/>
        </w:rPr>
        <w:t>Performance Considerations:</w:t>
      </w:r>
    </w:p>
    <w:p w14:paraId="2C9E7750" w14:textId="77777777" w:rsidR="00B33E82" w:rsidRPr="00B33E82" w:rsidRDefault="00B33E82" w:rsidP="00B33E82">
      <w:pPr>
        <w:numPr>
          <w:ilvl w:val="0"/>
          <w:numId w:val="4"/>
        </w:numPr>
      </w:pPr>
      <w:r w:rsidRPr="00B33E82">
        <w:t>TDE is designed to have minimal performance overhead, but depending on the encryption algorithm (e.g., AES-256), there may be some impact on read and write operations.</w:t>
      </w:r>
    </w:p>
    <w:p w14:paraId="565404DD" w14:textId="77777777" w:rsidR="00B33E82" w:rsidRPr="00B33E82" w:rsidRDefault="00B33E82" w:rsidP="00B33E82">
      <w:pPr>
        <w:numPr>
          <w:ilvl w:val="0"/>
          <w:numId w:val="4"/>
        </w:numPr>
      </w:pPr>
      <w:r w:rsidRPr="00B33E82">
        <w:t>For high-performance environments, Oracle provides options for using hardware-based encryption to offload the encryption/decryption process to specialized hardware (e.g., HSMs or Oracle's Database Vault).</w:t>
      </w:r>
    </w:p>
    <w:p w14:paraId="704B7317" w14:textId="77777777" w:rsidR="00B33E82" w:rsidRPr="00B33E82" w:rsidRDefault="00B33E82" w:rsidP="00B33E82">
      <w:pPr>
        <w:rPr>
          <w:b/>
          <w:bCs/>
        </w:rPr>
      </w:pPr>
      <w:r w:rsidRPr="00B33E82">
        <w:rPr>
          <w:b/>
          <w:bCs/>
        </w:rPr>
        <w:t>Conclusion:</w:t>
      </w:r>
    </w:p>
    <w:p w14:paraId="198B2D46" w14:textId="77777777" w:rsidR="00B33E82" w:rsidRPr="00B33E82" w:rsidRDefault="00B33E82" w:rsidP="00B33E82">
      <w:r w:rsidRPr="00B33E82">
        <w:t>TDE in Oracle provides a robust solution for securing data at rest, without impacting application logic or performance significantly. It is an essential feature for organizations looking to meet compliance regulations or protect sensitive data from unauthorized access. By encrypting sensitive data stored on disk, TDE helps prevent data breaches and enhances the overall security posture of an Oracle database.</w:t>
      </w:r>
    </w:p>
    <w:p w14:paraId="3AEDCBE4" w14:textId="77777777" w:rsidR="00980028" w:rsidRDefault="00980028"/>
    <w:sectPr w:rsidR="00980028" w:rsidSect="00B33E82">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5F44"/>
    <w:multiLevelType w:val="multilevel"/>
    <w:tmpl w:val="06D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40387"/>
    <w:multiLevelType w:val="multilevel"/>
    <w:tmpl w:val="16FA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31984"/>
    <w:multiLevelType w:val="multilevel"/>
    <w:tmpl w:val="0EC6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D053D"/>
    <w:multiLevelType w:val="multilevel"/>
    <w:tmpl w:val="5144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19907">
    <w:abstractNumId w:val="1"/>
  </w:num>
  <w:num w:numId="2" w16cid:durableId="792482253">
    <w:abstractNumId w:val="0"/>
  </w:num>
  <w:num w:numId="3" w16cid:durableId="1371800371">
    <w:abstractNumId w:val="2"/>
  </w:num>
  <w:num w:numId="4" w16cid:durableId="2104296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28"/>
    <w:rsid w:val="00000770"/>
    <w:rsid w:val="001B1402"/>
    <w:rsid w:val="005617F5"/>
    <w:rsid w:val="008A2C36"/>
    <w:rsid w:val="00980028"/>
    <w:rsid w:val="00B33E82"/>
    <w:rsid w:val="00BA2C30"/>
    <w:rsid w:val="00C608DC"/>
    <w:rsid w:val="00DD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ECF4"/>
  <w15:chartTrackingRefBased/>
  <w15:docId w15:val="{F62A86D0-B5AC-4F9A-9E85-64FC346E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5440">
      <w:bodyDiv w:val="1"/>
      <w:marLeft w:val="0"/>
      <w:marRight w:val="0"/>
      <w:marTop w:val="0"/>
      <w:marBottom w:val="0"/>
      <w:divBdr>
        <w:top w:val="none" w:sz="0" w:space="0" w:color="auto"/>
        <w:left w:val="none" w:sz="0" w:space="0" w:color="auto"/>
        <w:bottom w:val="none" w:sz="0" w:space="0" w:color="auto"/>
        <w:right w:val="none" w:sz="0" w:space="0" w:color="auto"/>
      </w:divBdr>
    </w:div>
    <w:div w:id="899948741">
      <w:bodyDiv w:val="1"/>
      <w:marLeft w:val="0"/>
      <w:marRight w:val="0"/>
      <w:marTop w:val="0"/>
      <w:marBottom w:val="0"/>
      <w:divBdr>
        <w:top w:val="none" w:sz="0" w:space="0" w:color="auto"/>
        <w:left w:val="none" w:sz="0" w:space="0" w:color="auto"/>
        <w:bottom w:val="none" w:sz="0" w:space="0" w:color="auto"/>
        <w:right w:val="none" w:sz="0" w:space="0" w:color="auto"/>
      </w:divBdr>
    </w:div>
    <w:div w:id="1466194372">
      <w:bodyDiv w:val="1"/>
      <w:marLeft w:val="0"/>
      <w:marRight w:val="0"/>
      <w:marTop w:val="0"/>
      <w:marBottom w:val="0"/>
      <w:divBdr>
        <w:top w:val="none" w:sz="0" w:space="0" w:color="auto"/>
        <w:left w:val="none" w:sz="0" w:space="0" w:color="auto"/>
        <w:bottom w:val="none" w:sz="0" w:space="0" w:color="auto"/>
        <w:right w:val="none" w:sz="0" w:space="0" w:color="auto"/>
      </w:divBdr>
      <w:divsChild>
        <w:div w:id="42757947">
          <w:marLeft w:val="0"/>
          <w:marRight w:val="0"/>
          <w:marTop w:val="0"/>
          <w:marBottom w:val="0"/>
          <w:divBdr>
            <w:top w:val="none" w:sz="0" w:space="0" w:color="auto"/>
            <w:left w:val="none" w:sz="0" w:space="0" w:color="auto"/>
            <w:bottom w:val="none" w:sz="0" w:space="0" w:color="auto"/>
            <w:right w:val="none" w:sz="0" w:space="0" w:color="auto"/>
          </w:divBdr>
          <w:divsChild>
            <w:div w:id="1211334284">
              <w:marLeft w:val="0"/>
              <w:marRight w:val="0"/>
              <w:marTop w:val="0"/>
              <w:marBottom w:val="0"/>
              <w:divBdr>
                <w:top w:val="none" w:sz="0" w:space="0" w:color="auto"/>
                <w:left w:val="none" w:sz="0" w:space="0" w:color="auto"/>
                <w:bottom w:val="none" w:sz="0" w:space="0" w:color="auto"/>
                <w:right w:val="none" w:sz="0" w:space="0" w:color="auto"/>
              </w:divBdr>
            </w:div>
            <w:div w:id="657340438">
              <w:marLeft w:val="0"/>
              <w:marRight w:val="0"/>
              <w:marTop w:val="0"/>
              <w:marBottom w:val="0"/>
              <w:divBdr>
                <w:top w:val="none" w:sz="0" w:space="0" w:color="auto"/>
                <w:left w:val="none" w:sz="0" w:space="0" w:color="auto"/>
                <w:bottom w:val="none" w:sz="0" w:space="0" w:color="auto"/>
                <w:right w:val="none" w:sz="0" w:space="0" w:color="auto"/>
              </w:divBdr>
              <w:divsChild>
                <w:div w:id="1817641702">
                  <w:marLeft w:val="0"/>
                  <w:marRight w:val="0"/>
                  <w:marTop w:val="0"/>
                  <w:marBottom w:val="0"/>
                  <w:divBdr>
                    <w:top w:val="none" w:sz="0" w:space="0" w:color="auto"/>
                    <w:left w:val="none" w:sz="0" w:space="0" w:color="auto"/>
                    <w:bottom w:val="none" w:sz="0" w:space="0" w:color="auto"/>
                    <w:right w:val="none" w:sz="0" w:space="0" w:color="auto"/>
                  </w:divBdr>
                  <w:divsChild>
                    <w:div w:id="145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195">
      <w:bodyDiv w:val="1"/>
      <w:marLeft w:val="0"/>
      <w:marRight w:val="0"/>
      <w:marTop w:val="0"/>
      <w:marBottom w:val="0"/>
      <w:divBdr>
        <w:top w:val="none" w:sz="0" w:space="0" w:color="auto"/>
        <w:left w:val="none" w:sz="0" w:space="0" w:color="auto"/>
        <w:bottom w:val="none" w:sz="0" w:space="0" w:color="auto"/>
        <w:right w:val="none" w:sz="0" w:space="0" w:color="auto"/>
      </w:divBdr>
      <w:divsChild>
        <w:div w:id="28116999">
          <w:marLeft w:val="0"/>
          <w:marRight w:val="0"/>
          <w:marTop w:val="0"/>
          <w:marBottom w:val="0"/>
          <w:divBdr>
            <w:top w:val="none" w:sz="0" w:space="0" w:color="auto"/>
            <w:left w:val="none" w:sz="0" w:space="0" w:color="auto"/>
            <w:bottom w:val="none" w:sz="0" w:space="0" w:color="auto"/>
            <w:right w:val="none" w:sz="0" w:space="0" w:color="auto"/>
          </w:divBdr>
          <w:divsChild>
            <w:div w:id="549415229">
              <w:marLeft w:val="0"/>
              <w:marRight w:val="0"/>
              <w:marTop w:val="0"/>
              <w:marBottom w:val="0"/>
              <w:divBdr>
                <w:top w:val="none" w:sz="0" w:space="0" w:color="auto"/>
                <w:left w:val="none" w:sz="0" w:space="0" w:color="auto"/>
                <w:bottom w:val="none" w:sz="0" w:space="0" w:color="auto"/>
                <w:right w:val="none" w:sz="0" w:space="0" w:color="auto"/>
              </w:divBdr>
            </w:div>
            <w:div w:id="136342482">
              <w:marLeft w:val="0"/>
              <w:marRight w:val="0"/>
              <w:marTop w:val="0"/>
              <w:marBottom w:val="0"/>
              <w:divBdr>
                <w:top w:val="none" w:sz="0" w:space="0" w:color="auto"/>
                <w:left w:val="none" w:sz="0" w:space="0" w:color="auto"/>
                <w:bottom w:val="none" w:sz="0" w:space="0" w:color="auto"/>
                <w:right w:val="none" w:sz="0" w:space="0" w:color="auto"/>
              </w:divBdr>
              <w:divsChild>
                <w:div w:id="2120224736">
                  <w:marLeft w:val="0"/>
                  <w:marRight w:val="0"/>
                  <w:marTop w:val="0"/>
                  <w:marBottom w:val="0"/>
                  <w:divBdr>
                    <w:top w:val="none" w:sz="0" w:space="0" w:color="auto"/>
                    <w:left w:val="none" w:sz="0" w:space="0" w:color="auto"/>
                    <w:bottom w:val="none" w:sz="0" w:space="0" w:color="auto"/>
                    <w:right w:val="none" w:sz="0" w:space="0" w:color="auto"/>
                  </w:divBdr>
                  <w:divsChild>
                    <w:div w:id="21255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8</cp:revision>
  <dcterms:created xsi:type="dcterms:W3CDTF">2024-12-11T06:23:00Z</dcterms:created>
  <dcterms:modified xsi:type="dcterms:W3CDTF">2025-01-19T13:44:00Z</dcterms:modified>
</cp:coreProperties>
</file>