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24"/>
          <w:szCs w:val="24"/>
          <w:b w:val="1"/>
          <w:bCs w:val="1"/>
        </w:rPr>
        <w:t xml:space="preserve">Capaian Indikator Kinerja Kegiatan Sekretariat Inspektorat Jenderal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&lt;ol&gt;&lt;li&gt;aaaah&lt;/li&gt;&lt;li&gt;kkk&lt;/li&gt;&lt;li&gt;kkkk&lt;/li&gt;&lt;li&gt;kkkkk&lt;/li&gt;&lt;/ol&gt;&lt;p&gt;&lt;br&gt;&lt;/p&gt;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/>
    <w:p>
      <w:pPr/>
      <w:r>
        <w:rPr>
          <w:sz w:val="24"/>
          <w:szCs w:val="24"/>
          <w:b w:val="1"/>
          <w:bCs w:val="1"/>
        </w:rPr>
        <w:t xml:space="preserve">Capaian Indikator Kinerja Kegiatan Inspektorat Wilayah I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/>
    <w:p>
      <w:pPr/>
      <w:r>
        <w:rPr>
          <w:sz w:val="24"/>
          <w:szCs w:val="24"/>
          <w:b w:val="1"/>
          <w:bCs w:val="1"/>
        </w:rPr>
        <w:t xml:space="preserve">Capaian Indikator Kinerja Kegiatan Inspektorat Wilayah II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/>
    <w:p>
      <w:pPr/>
      <w:r>
        <w:rPr>
          <w:sz w:val="24"/>
          <w:szCs w:val="24"/>
          <w:b w:val="1"/>
          <w:bCs w:val="1"/>
        </w:rPr>
        <w:t xml:space="preserve">Capaian Indikator Kinerja Kegiatan Inspektorat Wilayah III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/>
    <w:p>
      <w:pPr/>
      <w:r>
        <w:rPr>
          <w:sz w:val="24"/>
          <w:szCs w:val="24"/>
          <w:b w:val="1"/>
          <w:bCs w:val="1"/>
        </w:rPr>
        <w:t xml:space="preserve">Capaian Indikator Kinerja Kegiatan Inspektorat Wilayah IV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/>
    <w:p>
      <w:pPr/>
      <w:r>
        <w:rPr>
          <w:sz w:val="24"/>
          <w:szCs w:val="24"/>
          <w:b w:val="1"/>
          <w:bCs w:val="1"/>
        </w:rPr>
        <w:t xml:space="preserve">Capaian Indikator Kinerja Kegiatan Inspektorat Wilayah V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/>
    <w:p>
      <w:pPr/>
      <w:r>
        <w:rPr>
          <w:sz w:val="24"/>
          <w:szCs w:val="24"/>
          <w:b w:val="1"/>
          <w:bCs w:val="1"/>
        </w:rPr>
        <w:t xml:space="preserve">Capaian Indikator Kinerja Kegiatan Inspektorat Wilayah VI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/>
    <w:p>
      <w:pPr/>
      <w:r>
        <w:rPr>
          <w:sz w:val="24"/>
          <w:szCs w:val="24"/>
          <w:b w:val="1"/>
          <w:bCs w:val="1"/>
        </w:rPr>
        <w:t xml:space="preserve">Capaian Indikator Kinerja Kegiatan Inspektorat Jenderal</w:t>
      </w:r>
    </w:p>
    <w:tbl>
      <w:tblGrid>
        <w:gridCol w:w="4000" w:type="dxa"/>
        <w:gridCol w:w="2000" w:type="dxa"/>
        <w:gridCol w:w="3000" w:type="dxa"/>
        <w:gridCol w:w="3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</w:tbl>
    <w:p>
      <w:r>
        <w:br w:type="page"/>
      </w:r>
    </w:p>
    <w:sectPr>
      <w:pgSz w:orient="landscape" w:w="16837.79527559055" w:h="11905.511811023622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2023-11-13T06:45:32+00:00</dcterms:created>
  <dcterms:modified xsi:type="dcterms:W3CDTF">2023-11-13T06:45:32+00:00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