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sz w:val="24"/>
          <w:szCs w:val="24"/>
          <w:b w:val="1"/>
          <w:bCs w:val="1"/>
        </w:rPr>
        <w:t xml:space="preserve">Capaian Indikator Kinerja Kegiatan Sekretariat Inspektorat Jenderal</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2</w:t>
            </w:r>
          </w:p>
        </w:tc>
        <w:tc>
          <w:tcPr>
            <w:tcW w:w="3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c>
          <w:tcPr>
            <w:tcW w:w="4000" w:type="dxa"/>
          </w:tcPr>
          <w:p>
            <w:pPr/>
            <w:r>
              <w:rPr/>
              <w:t xml:space="preserve">Where does it come from?</w:t>
            </w:r>
          </w:p>
        </w:tc>
      </w:tr>
      <w:tr>
        <w:trPr/>
        <w:tc>
          <w:tcPr>
            <w:tcW w:w="4000" w:type="dxa"/>
          </w:tcPr>
          <w:p>
            <w:pPr/>
            <w:r>
              <w:rPr/>
              <w:t xml:space="preserve">Pengelolaan Unit Pemberantasan Pungutan Liar (UPP) Kementerian Hukum dan HAM</w:t>
            </w:r>
          </w:p>
        </w:tc>
        <w:tc>
          <w:tcPr>
            <w:tcW w:w="2000" w:type="dxa"/>
          </w:tcPr>
          <w:p>
            <w:pPr/>
            <w:r>
              <w:rPr/>
              <w:t xml:space="preserve">1 Rekomendasi</w:t>
            </w:r>
          </w:p>
        </w:tc>
        <w:tc>
          <w:tcPr>
            <w:tcW w:w="3000" w:type="dxa"/>
          </w:tcPr>
          <w:p>
            <w:pPr/>
            <w:r>
              <w:rPr/>
              <w:t xml:space="preserve">5</w:t>
            </w:r>
          </w:p>
        </w:tc>
        <w:tc>
          <w:tcPr>
            <w:tcW w:w="3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c>
          <w:tcPr>
            <w:tcW w:w="4000" w:type="dxa"/>
          </w:tcPr>
          <w:p>
            <w:pPr/>
            <w:r>
              <w:rPr/>
              <w:t xml:space="preserve">asdasd
asdadasd
</w:t>
            </w:r>
          </w:p>
        </w:tc>
      </w:tr>
      <w:tr>
        <w:trPr/>
        <w:tc>
          <w:tcPr>
            <w:tcW w:w="4000" w:type="dxa"/>
          </w:tcPr>
          <w:p>
            <w:pPr/>
            <w:r>
              <w:rPr/>
              <w:t xml:space="preserve">Indeks RB Inspektorat Jenderal</w:t>
            </w:r>
          </w:p>
        </w:tc>
        <w:tc>
          <w:tcPr>
            <w:tcW w:w="2000" w:type="dxa"/>
          </w:tcPr>
          <w:p>
            <w:pPr/>
            <w:r>
              <w:rPr/>
              <w:t xml:space="preserve">14.17</w:t>
            </w:r>
          </w:p>
        </w:tc>
        <w:tc>
          <w:tcPr>
            <w:tcW w:w="3000" w:type="dxa"/>
          </w:tcPr>
          <w:p>
            <w:pPr/>
            <w:r>
              <w:rPr/>
              <w:t xml:space="preserve">15</w:t>
            </w:r>
          </w:p>
        </w:tc>
        <w:tc>
          <w:tcPr>
            <w:tcW w:w="3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c>
          <w:tcPr>
            <w:tcW w:w="4000" w:type="dxa"/>
          </w:tcPr>
          <w:p>
            <w:pPr/>
            <w:r>
              <w:rPr/>
              <w:t xml:space="preserve">Where does it come from?</w:t>
            </w:r>
          </w:p>
        </w:tc>
      </w:tr>
      <w:tr>
        <w:trPr/>
        <w:tc>
          <w:tcPr>
            <w:tcW w:w="4000" w:type="dxa"/>
          </w:tcPr>
          <w:p>
            <w:pPr/>
            <w:r>
              <w:rPr/>
              <w:t xml:space="preserve">Nilai SAKIP Inspektorat Jenderal "BAIK"</w:t>
            </w:r>
          </w:p>
        </w:tc>
        <w:tc>
          <w:tcPr>
            <w:tcW w:w="2000" w:type="dxa"/>
          </w:tcPr>
          <w:p>
            <w:pPr/>
            <w:r>
              <w:rPr/>
              <w:t xml:space="preserve">82.88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Nilai Maturitas SPIP Inspektorat Jenderal</w:t>
            </w:r>
          </w:p>
        </w:tc>
        <w:tc>
          <w:tcPr>
            <w:tcW w:w="2000" w:type="dxa"/>
          </w:tcPr>
          <w:p>
            <w:pPr/>
            <w:r>
              <w:rPr/>
              <w:t xml:space="preserve">Level 3 (Terdefinisi)</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SDM yang memenuhi standar kompetensi</w:t>
            </w:r>
          </w:p>
        </w:tc>
        <w:tc>
          <w:tcPr>
            <w:tcW w:w="2000" w:type="dxa"/>
          </w:tcPr>
          <w:p>
            <w:pPr/>
            <w:r>
              <w:rPr/>
              <w:t xml:space="preserve">82%</w:t>
            </w:r>
          </w:p>
        </w:tc>
        <w:tc>
          <w:tcPr>
            <w:tcW w:w="3000" w:type="dxa"/>
          </w:tcPr>
          <w:p>
            <w:pPr/>
            <w:r>
              <w:rPr/>
              <w:t xml:space="preserve">100%</w:t>
            </w:r>
          </w:p>
        </w:tc>
        <w:tc>
          <w:tcPr>
            <w:tcW w:w="3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c>
          <w:tcPr>
            <w:tcW w:w="4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r>
      <w:tr>
        <w:trPr/>
        <w:tc>
          <w:tcPr>
            <w:tcW w:w="4000" w:type="dxa"/>
          </w:tcPr>
          <w:p>
            <w:pPr/>
            <w:r>
              <w:rPr/>
              <w:t xml:space="preserve">Tingkat internalisasi pegawai Inspektorat Jenderal atas Tata Nilai Kemenkumham</w:t>
            </w:r>
          </w:p>
        </w:tc>
        <w:tc>
          <w:tcPr>
            <w:tcW w:w="2000" w:type="dxa"/>
          </w:tcPr>
          <w:p>
            <w:pPr/>
            <w:r>
              <w:rPr/>
              <w:t xml:space="preserve">3</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pemenuhan pengembangan teknologi informasi yang menunjang proses bisnis bidang pengawasan/ pengendalian internal</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realisasi layanan perkantoran yang akuntabel</w:t>
            </w:r>
          </w:p>
        </w:tc>
        <w:tc>
          <w:tcPr>
            <w:tcW w:w="2000" w:type="dxa"/>
          </w:tcPr>
          <w:p>
            <w:pPr/>
            <w:r>
              <w:rPr/>
              <w:t xml:space="preserve">85%</w:t>
            </w:r>
          </w:p>
        </w:tc>
        <w:tc>
          <w:tcPr>
            <w:tcW w:w="3000" w:type="dxa"/>
          </w:tcPr>
          <w:p>
            <w:pPr/>
            <w:r>
              <w:rPr/>
              <w:t xml:space="preserve">100%</w:t>
            </w:r>
          </w:p>
        </w:tc>
        <w:tc>
          <w:tcPr>
            <w:tcW w:w="3000" w:type="dxa"/>
          </w:tcPr>
          <w:p>
            <w:pPr/>
            <w:r>
              <w:rPr/>
              <w:t xml:space="preserve">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1.asdasdasdasd
2.adsasdasdasdas
3. asdasdasdasd
4. asdasdasdasda
5. adsasdasdasd</w:t>
            </w:r>
          </w:p>
        </w:tc>
        <w:tc>
          <w:tcPr>
            <w:tcW w:w="4000" w:type="dxa"/>
          </w:tcPr>
          <w:p>
            <w:pPr/>
            <w:r>
              <w:rPr/>
              <w:t xml:space="preserve">Where does it come from?</w:t>
            </w:r>
          </w:p>
        </w:tc>
      </w:tr>
      <w:tr>
        <w:trPr/>
        <w:tc>
          <w:tcPr>
            <w:tcW w:w="4000" w:type="dxa"/>
          </w:tcPr>
          <w:p>
            <w:pPr/>
            <w:r>
              <w:rPr/>
              <w:t xml:space="preserve">Jumlah layanan fasilitas kerumahtanggaan, BMN, dan sarpras internal</w:t>
            </w:r>
          </w:p>
        </w:tc>
        <w:tc>
          <w:tcPr>
            <w:tcW w:w="2000" w:type="dxa"/>
          </w:tcPr>
          <w:p>
            <w:pPr/>
            <w:r>
              <w:rPr/>
              <w:t xml:space="preserve">12 Bulan Layanan</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Laporan keuangan Itjen yang akuntabel</w:t>
            </w:r>
          </w:p>
        </w:tc>
        <w:tc>
          <w:tcPr>
            <w:tcW w:w="2000" w:type="dxa"/>
          </w:tcPr>
          <w:p>
            <w:pPr/>
            <w:r>
              <w:rPr/>
              <w:t xml:space="preserve">WTP</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efektivitas pemanfaatan anggaran Itjen</w:t>
            </w:r>
          </w:p>
        </w:tc>
        <w:tc>
          <w:tcPr>
            <w:tcW w:w="2000" w:type="dxa"/>
          </w:tcPr>
          <w:p>
            <w:pPr/>
            <w:r>
              <w:rPr/>
              <w:t xml:space="preserve">87%</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efektivitas pemanfaatan anggaran Itjen</w:t>
            </w:r>
          </w:p>
        </w:tc>
        <w:tc>
          <w:tcPr>
            <w:tcW w:w="2000" w:type="dxa"/>
          </w:tcPr>
          <w:p>
            <w:pPr/>
            <w:r>
              <w:rPr/>
              <w:t xml:space="preserve">87%</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I</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Persentase Pemanfaatan Penerapan Manajemen Risiko dalam Pelaksanaan Tugas dan Fungsi Satuan Kerja di Lingkungan Kerja Inspektorat Wilayah I</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I</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I</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I</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I</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I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II</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Pemanfaatan Penerapan Manajemen Risiko dalam Pelaksanaan Tugas dan Fungsi Satuan Kerja di Lingkungan Kerja Inspektorat Wilayah II</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II</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II</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II</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II</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II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III</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Pemanfaatan Penerapan Manajemen Risiko dalam Pelaksanaan Tugas dan Fungsi Satuan Kerja di Lingkungan Kerja Inspektorat Wilayah III</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III</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III</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III</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III</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III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IV</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Pemanfaatan Penerapan Manajemen Risiko dalam Pelaksanaan Tugas dan Fungsi Satuan Kerja di Lingkungan Kerja Inspektorat Wilayah IV</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IV</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IV</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IV</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IV</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IV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V</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Pemanfaatan Penerapan Manajemen Risiko dalam Pelaksanaan Tugas dan Fungsi Satuan Kerja di Lingkungan Kerja Inspektorat Wilayah V</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V</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V</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V</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V</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V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p/>
    <w:p>
      <w:pPr/>
      <w:r>
        <w:rPr>
          <w:sz w:val="24"/>
          <w:szCs w:val="24"/>
          <w:b w:val="1"/>
          <w:bCs w:val="1"/>
        </w:rPr>
        <w:t xml:space="preserve">Capaian Indikator Kinerja Kegiatan Inspektorat Wilayah VI</w:t>
      </w:r>
    </w:p>
    <w:tbl>
      <w:tblGrid>
        <w:gridCol w:w="4000" w:type="dxa"/>
        <w:gridCol w:w="2000" w:type="dxa"/>
        <w:gridCol w:w="4000" w:type="dxa"/>
        <w:gridCol w:w="4000" w:type="dxa"/>
        <w:gridCol w:w="4000" w:type="dxa"/>
      </w:tblGrid>
      <w:tblPr>
        <w:tblStyle w:val="Indikator Kinerja Kegiatan"/>
      </w:tblPr>
      <w:tr>
        <w:trPr/>
        <w:tc>
          <w:tcPr>
            <w:tcW w:w="4000" w:type="dxa"/>
            <w:vAlign w:val="center"/>
          </w:tcPr>
          <w:p>
            <w:pPr/>
            <w:r>
              <w:rPr>
                <w:b w:val="1"/>
                <w:bCs w:val="1"/>
              </w:rPr>
              <w:t xml:space="preserve">Indikator</w:t>
            </w:r>
          </w:p>
        </w:tc>
        <w:tc>
          <w:tcPr>
            <w:tcW w:w="2000" w:type="dxa"/>
            <w:vAlign w:val="center"/>
          </w:tcPr>
          <w:p>
            <w:pPr/>
            <w:r>
              <w:rPr>
                <w:b w:val="1"/>
                <w:bCs w:val="1"/>
              </w:rPr>
              <w:t xml:space="preserve">Target</w:t>
            </w:r>
          </w:p>
        </w:tc>
        <w:tc>
          <w:tcPr>
            <w:tcW w:w="4000" w:type="dxa"/>
            <w:vAlign w:val="center"/>
          </w:tcPr>
          <w:p>
            <w:pPr/>
            <w:r>
              <w:rPr>
                <w:b w:val="1"/>
                <w:bCs w:val="1"/>
              </w:rPr>
              <w:t xml:space="preserve">Realisasi</w:t>
            </w:r>
          </w:p>
        </w:tc>
        <w:tc>
          <w:tcPr>
            <w:tcW w:w="4000" w:type="dxa"/>
            <w:vAlign w:val="center"/>
          </w:tcPr>
          <w:p>
            <w:pPr/>
            <w:r>
              <w:rPr>
                <w:b w:val="1"/>
                <w:bCs w:val="1"/>
              </w:rPr>
              <w:t xml:space="preserve">Analisis</w:t>
            </w:r>
          </w:p>
        </w:tc>
        <w:tc>
          <w:tcPr>
            <w:tcW w:w="4000" w:type="dxa"/>
            <w:vAlign w:val="center"/>
          </w:tcPr>
          <w:p>
            <w:pPr/>
            <w:r>
              <w:rPr>
                <w:b w:val="1"/>
                <w:bCs w:val="1"/>
              </w:rPr>
              <w:t xml:space="preserve">Kendala / Hambatan</w:t>
            </w:r>
          </w:p>
        </w:tc>
      </w:tr>
      <w:tr>
        <w:trPr/>
        <w:tc>
          <w:tcPr>
            <w:tcW w:w="4000" w:type="dxa"/>
          </w:tcPr>
          <w:p>
            <w:pPr/>
            <w:r>
              <w:rPr/>
              <w:t xml:space="preserve">Level IACM / Kapabilitas APIP ITJEN Kemenkumham</w:t>
            </w:r>
          </w:p>
        </w:tc>
        <w:tc>
          <w:tcPr>
            <w:tcW w:w="2000" w:type="dxa"/>
          </w:tcPr>
          <w:p>
            <w:pPr/>
            <w:r>
              <w:rPr/>
              <w:t xml:space="preserve">3 (Integrated)</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Pemanfaatan Penerapan Manajemen Risiko dalam Pelaksanaan Tugas dan Fungsi Satuan Kerja di Lingkungan Kerja Inspektorat Wilayah VI</w:t>
            </w:r>
          </w:p>
        </w:tc>
        <w:tc>
          <w:tcPr>
            <w:tcW w:w="2000" w:type="dxa"/>
          </w:tcPr>
          <w:p>
            <w:pPr/>
            <w:r>
              <w:rPr/>
              <w:t xml:space="preserve">52%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pengembalian ke kas Negara di Lingkungan Kerja Inspektorat Wilayah VI</w:t>
            </w:r>
          </w:p>
        </w:tc>
        <w:tc>
          <w:tcPr>
            <w:tcW w:w="2000" w:type="dxa"/>
          </w:tcPr>
          <w:p>
            <w:pPr/>
            <w:r>
              <w:rPr/>
              <w:t xml:space="preserve">62%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Pengawasan Internal terkait Administrasi di Lingkungan Kerja Inspektorat Wilayah VI</w:t>
            </w:r>
          </w:p>
        </w:tc>
        <w:tc>
          <w:tcPr>
            <w:tcW w:w="2000" w:type="dxa"/>
          </w:tcPr>
          <w:p>
            <w:pPr/>
            <w:r>
              <w:rPr/>
              <w:t xml:space="preserve">82%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Kerugian Negara di Lingkungan Kerja Inspektorat Wilayah VI</w:t>
            </w:r>
          </w:p>
        </w:tc>
        <w:tc>
          <w:tcPr>
            <w:tcW w:w="2000" w:type="dxa"/>
          </w:tcPr>
          <w:p>
            <w:pPr/>
            <w:r>
              <w:rPr/>
              <w:t xml:space="preserve">22%</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Peningkatan Pengelolaan Tindak Lanjut Rekomendasi Hasil Pemeriksaan Eksternal terkait Administrasi di Lingkungan Kerja Inspektorat Wilayah VI</w:t>
            </w:r>
          </w:p>
        </w:tc>
        <w:tc>
          <w:tcPr>
            <w:tcW w:w="2000" w:type="dxa"/>
          </w:tcPr>
          <w:p>
            <w:pPr/>
            <w:r>
              <w:rPr/>
              <w:t xml:space="preserve">78%</w:t>
            </w:r>
          </w:p>
        </w:tc>
        <w:tc>
          <w:tcPr>
            <w:tcW w:w="3000" w:type="dxa"/>
          </w:tcPr>
          <w:p>
            <w:pPr/>
            <w:r>
              <w:rPr/>
              <w:t xml:space="preserve">-</w:t>
            </w:r>
          </w:p>
        </w:tc>
        <w:tc>
          <w:tcPr>
            <w:tcW w:w="3000" w:type="dxa"/>
          </w:tcPr>
          <w:p>
            <w:pPr/>
            <w:r>
              <w:rPr/>
              <w:t xml:space="preserve">-</w:t>
            </w:r>
          </w:p>
        </w:tc>
        <w:tc>
          <w:tcPr>
            <w:tcW w:w="4000" w:type="dxa"/>
          </w:tcPr>
          <w:p>
            <w:pPr/>
            <w:r>
              <w:rPr/>
              <w:t xml:space="preserve"/>
            </w:r>
          </w:p>
        </w:tc>
      </w:tr>
      <w:tr>
        <w:trPr/>
        <w:tc>
          <w:tcPr>
            <w:tcW w:w="4000" w:type="dxa"/>
          </w:tcPr>
          <w:p>
            <w:pPr/>
            <w:r>
              <w:rPr/>
              <w:t xml:space="preserve">Persentase Satuan Kerja di Lingkungan Inspektorat Wilayah VI yang mendapatkan Predikat WBK/WBBM</w:t>
            </w:r>
          </w:p>
        </w:tc>
        <w:tc>
          <w:tcPr>
            <w:tcW w:w="2000" w:type="dxa"/>
          </w:tcPr>
          <w:p>
            <w:pPr/>
            <w:r>
              <w:rPr/>
              <w:t xml:space="preserve">6%</w:t>
            </w:r>
          </w:p>
        </w:tc>
        <w:tc>
          <w:tcPr>
            <w:tcW w:w="3000" w:type="dxa"/>
          </w:tcPr>
          <w:p>
            <w:pPr/>
            <w:r>
              <w:rPr/>
              <w:t xml:space="preserve">-</w:t>
            </w:r>
          </w:p>
        </w:tc>
        <w:tc>
          <w:tcPr>
            <w:tcW w:w="3000" w:type="dxa"/>
          </w:tcPr>
          <w:p>
            <w:pPr/>
            <w:r>
              <w:rPr/>
              <w:t xml:space="preserve">-</w:t>
            </w:r>
          </w:p>
        </w:tc>
        <w:tc>
          <w:tcPr>
            <w:tcW w:w="4000" w:type="dxa"/>
          </w:tcPr>
          <w:p>
            <w:pPr/>
            <w:r>
              <w:rPr/>
              <w:t xml:space="preserve"/>
            </w:r>
          </w:p>
        </w:tc>
      </w:tr>
    </w:tbl>
    <w:p>
      <w:r>
        <w:br w:type="page"/>
      </w:r>
    </w:p>
    <w:sectPr>
      <w:pgSz w:orient="landscape" w:w="16837.79527559055" w:h="11905.511811023622"/>
      <w:pgMar w:top="6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Indikator Kinerja Kegiatan">
    <w:name w:val="Indikator Kinerja Kegiatan"/>
    <w:uiPriority w:val="99"/>
    <w:tblPr>
      <w:tblW w:w="0" w:type="auto"/>
      <w:tblLayout w:type="autofit"/>
      <w:bidiVisual w:val="0"/>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2023-11-13T08:45:59+00:00</dcterms:created>
  <dcterms:modified xsi:type="dcterms:W3CDTF">2023-11-13T08:45:59+00:00</dcterms:modified>
</cp:coreProperties>
</file>

<file path=docProps/custom.xml><?xml version="1.0" encoding="utf-8"?>
<Properties xmlns="http://schemas.openxmlformats.org/officeDocument/2006/custom-properties" xmlns:vt="http://schemas.openxmlformats.org/officeDocument/2006/docPropsVTypes"/>
</file>