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>
        <w:pStyle w:val="Heading1"/>
      </w:pPr>
      <w:bookmarkStart w:id="1" w:name="_Toc1"/>
      <w:r>
        <w:t>Kinerja Anggaran</w:t>
      </w:r>
      <w:bookmarkEnd w:id="1"/>
    </w:p>
    <w:p>
      <w:pPr>
        <w:jc w:val="both"/>
      </w:pPr>
      <w:r>
        <w:rPr>
          <w:rStyle w:val="tStyle"/>
        </w:rPr>
        <w:t xml:space="preserve">Kinerja anggaran berdasarkan realisasi sampai dengan bulan November tahun 2023 adalah Rp. 57,074,000,001 dari total Pagu 69,026,935,000 (82.68%)</w:t>
      </w:r>
    </w:p>
    <w:p>
      <w:pPr>
        <w:pStyle w:val="Heading2"/>
      </w:pPr>
      <w:bookmarkStart w:id="2" w:name="_Toc2"/>
      <w:r>
        <w:t>Per Jenis Kegiatan</w:t>
      </w:r>
      <w:bookmarkEnd w:id="2"/>
    </w:p>
    <w:tbl>
      <w:tblGrid>
        <w:gridCol w:w="500" w:type="dxa"/>
        <w:gridCol w:w="1000" w:type="dxa"/>
        <w:gridCol w:w="4000" w:type="dxa"/>
        <w:gridCol w:w="2000" w:type="dxa"/>
        <w:gridCol w:w="2000" w:type="dxa"/>
        <w:gridCol w:w="500" w:type="dxa"/>
      </w:tblGrid>
      <w:tblPr>
        <w:tblStyle w:val="Realisasi Anggaran Per Jenis Kegiatan"/>
      </w:tblPr>
      <w:tr>
        <w:trPr/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#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Kode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Kegiatan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Pagu (Rp.)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Realisasi (Rp.)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</w:tcPr>
          <w:p>
            <w:pPr/>
            <w:r>
              <w:rPr/>
              <w:t xml:space="preserve">1563</w:t>
            </w:r>
          </w:p>
        </w:tc>
        <w:tc>
          <w:tcPr>
            <w:tcW w:w="4000" w:type="dxa"/>
          </w:tcPr>
          <w:p>
            <w:pPr/>
            <w:r>
              <w:rPr/>
              <w:t xml:space="preserve">Pengawasan Inspektorat Jenderal Wilayah I</w:t>
            </w:r>
          </w:p>
        </w:tc>
        <w:tc>
          <w:tcPr>
            <w:tcW w:w="2000" w:type="dxa"/>
          </w:tcPr>
          <w:p>
            <w:pPr/>
            <w:r>
              <w:rPr/>
              <w:t xml:space="preserve">4,429,775,000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3,500,000,000</w:t>
            </w:r>
          </w:p>
        </w:tc>
        <w:tc>
          <w:tcPr>
            <w:tcW w:w="500" w:type="dxa"/>
          </w:tcPr>
          <w:p>
            <w:pPr/>
            <w:r>
              <w:rPr/>
              <w:t xml:space="preserve">79.01%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1000" w:type="dxa"/>
          </w:tcPr>
          <w:p>
            <w:pPr/>
            <w:r>
              <w:rPr/>
              <w:t xml:space="preserve">1564</w:t>
            </w:r>
          </w:p>
        </w:tc>
        <w:tc>
          <w:tcPr>
            <w:tcW w:w="4000" w:type="dxa"/>
          </w:tcPr>
          <w:p>
            <w:pPr/>
            <w:r>
              <w:rPr/>
              <w:t xml:space="preserve">Pengawasan Inspektorat Jenderal Wilayah II</w:t>
            </w:r>
          </w:p>
        </w:tc>
        <w:tc>
          <w:tcPr>
            <w:tcW w:w="2000" w:type="dxa"/>
          </w:tcPr>
          <w:p>
            <w:pPr/>
            <w:r>
              <w:rPr/>
              <w:t xml:space="preserve">4,429,775,000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3,504,000,000</w:t>
            </w:r>
          </w:p>
        </w:tc>
        <w:tc>
          <w:tcPr>
            <w:tcW w:w="500" w:type="dxa"/>
          </w:tcPr>
          <w:p>
            <w:pPr/>
            <w:r>
              <w:rPr/>
              <w:t xml:space="preserve">79.1%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1000" w:type="dxa"/>
          </w:tcPr>
          <w:p>
            <w:pPr/>
            <w:r>
              <w:rPr/>
              <w:t xml:space="preserve">1565</w:t>
            </w:r>
          </w:p>
        </w:tc>
        <w:tc>
          <w:tcPr>
            <w:tcW w:w="4000" w:type="dxa"/>
          </w:tcPr>
          <w:p>
            <w:pPr/>
            <w:r>
              <w:rPr/>
              <w:t xml:space="preserve">Pengawasan Inspektorat Jenderal Wilayah III</w:t>
            </w:r>
          </w:p>
        </w:tc>
        <w:tc>
          <w:tcPr>
            <w:tcW w:w="2000" w:type="dxa"/>
          </w:tcPr>
          <w:p>
            <w:pPr/>
            <w:r>
              <w:rPr/>
              <w:t xml:space="preserve">4,429,775,000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3,900,000,000</w:t>
            </w:r>
          </w:p>
        </w:tc>
        <w:tc>
          <w:tcPr>
            <w:tcW w:w="500" w:type="dxa"/>
          </w:tcPr>
          <w:p>
            <w:pPr/>
            <w:r>
              <w:rPr/>
              <w:t xml:space="preserve">88.04%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1000" w:type="dxa"/>
          </w:tcPr>
          <w:p>
            <w:pPr/>
            <w:r>
              <w:rPr/>
              <w:t xml:space="preserve">1566</w:t>
            </w:r>
          </w:p>
        </w:tc>
        <w:tc>
          <w:tcPr>
            <w:tcW w:w="4000" w:type="dxa"/>
          </w:tcPr>
          <w:p>
            <w:pPr/>
            <w:r>
              <w:rPr/>
              <w:t xml:space="preserve">Pengawasan Inspektorat Jenderal Wilayah VI</w:t>
            </w:r>
          </w:p>
        </w:tc>
        <w:tc>
          <w:tcPr>
            <w:tcW w:w="2000" w:type="dxa"/>
          </w:tcPr>
          <w:p>
            <w:pPr/>
            <w:r>
              <w:rPr/>
              <w:t xml:space="preserve">4,429,775,000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3,800,000,000</w:t>
            </w:r>
          </w:p>
        </w:tc>
        <w:tc>
          <w:tcPr>
            <w:tcW w:w="500" w:type="dxa"/>
          </w:tcPr>
          <w:p>
            <w:pPr/>
            <w:r>
              <w:rPr/>
              <w:t xml:space="preserve">85.78%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1000" w:type="dxa"/>
          </w:tcPr>
          <w:p>
            <w:pPr/>
            <w:r>
              <w:rPr/>
              <w:t xml:space="preserve">1567</w:t>
            </w:r>
          </w:p>
        </w:tc>
        <w:tc>
          <w:tcPr>
            <w:tcW w:w="4000" w:type="dxa"/>
          </w:tcPr>
          <w:p>
            <w:pPr/>
            <w:r>
              <w:rPr/>
              <w:t xml:space="preserve">Pengawasan Inspektorat Jenderal Wilayah V</w:t>
            </w:r>
          </w:p>
        </w:tc>
        <w:tc>
          <w:tcPr>
            <w:tcW w:w="2000" w:type="dxa"/>
          </w:tcPr>
          <w:p>
            <w:pPr/>
            <w:r>
              <w:rPr/>
              <w:t xml:space="preserve">4,429,775,000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3,870,000,001</w:t>
            </w:r>
          </w:p>
        </w:tc>
        <w:tc>
          <w:tcPr>
            <w:tcW w:w="500" w:type="dxa"/>
          </w:tcPr>
          <w:p>
            <w:pPr/>
            <w:r>
              <w:rPr/>
              <w:t xml:space="preserve">87.36%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1000" w:type="dxa"/>
          </w:tcPr>
          <w:p>
            <w:pPr/>
            <w:r>
              <w:rPr/>
              <w:t xml:space="preserve">1568</w:t>
            </w:r>
          </w:p>
        </w:tc>
        <w:tc>
          <w:tcPr>
            <w:tcW w:w="4000" w:type="dxa"/>
          </w:tcPr>
          <w:p>
            <w:pPr/>
            <w:r>
              <w:rPr/>
              <w:t xml:space="preserve">Pengawasan Inspektorat Jenderal Wilayah VI</w:t>
            </w:r>
          </w:p>
        </w:tc>
        <w:tc>
          <w:tcPr>
            <w:tcW w:w="2000" w:type="dxa"/>
          </w:tcPr>
          <w:p>
            <w:pPr/>
            <w:r>
              <w:rPr/>
              <w:t xml:space="preserve">6,100,526,000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3,500,000,000</w:t>
            </w:r>
          </w:p>
        </w:tc>
        <w:tc>
          <w:tcPr>
            <w:tcW w:w="500" w:type="dxa"/>
          </w:tcPr>
          <w:p>
            <w:pPr/>
            <w:r>
              <w:rPr/>
              <w:t xml:space="preserve">57.37%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1000" w:type="dxa"/>
          </w:tcPr>
          <w:p>
            <w:pPr/>
            <w:r>
              <w:rPr/>
              <w:t xml:space="preserve">1569</w:t>
            </w:r>
          </w:p>
        </w:tc>
        <w:tc>
          <w:tcPr>
            <w:tcW w:w="4000" w:type="dxa"/>
          </w:tcPr>
          <w:p>
            <w:pPr/>
            <w:r>
              <w:rPr/>
              <w:t xml:space="preserve">Dukungan Manajemen dan Teknis Inspektorat Jenderal</w:t>
            </w:r>
          </w:p>
        </w:tc>
        <w:tc>
          <w:tcPr>
            <w:tcW w:w="2000" w:type="dxa"/>
          </w:tcPr>
          <w:p>
            <w:pPr/>
            <w:r>
              <w:rPr/>
              <w:t xml:space="preserve">40,777,534,000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35,000,000,000</w:t>
            </w:r>
          </w:p>
        </w:tc>
        <w:tc>
          <w:tcPr>
            <w:tcW w:w="500" w:type="dxa"/>
          </w:tcPr>
          <w:p>
            <w:pPr/>
            <w:r>
              <w:rPr/>
              <w:t xml:space="preserve">85.83%</w:t>
            </w:r>
          </w:p>
        </w:tc>
      </w:tr>
    </w:tbl>
    <w:p>
      <w:pPr>
        <w:pStyle w:val="Heading1"/>
      </w:pPr>
      <w:bookmarkStart w:id="3" w:name="_Toc3"/>
      <w:r>
        <w:t>Capaian Indikator Kinerja KegiatanInspektorat Wilayah I</w:t>
      </w:r>
      <w:bookmarkEnd w:id="3"/>
    </w:p>
    <w:p>
      <w:pPr>
        <w:jc w:val="both"/>
      </w:pPr>
      <w:r>
        <w:rPr>
          <w:rStyle w:val="tStyle"/>
        </w:rPr>
        <w:t xml:space="preserve">Capaian Indikator Kinerja Kegiatan pada Inspektorat Wilayah I sampai dengan bulan November tahun 2023 adalah sebagai berikut:</w:t>
      </w:r>
    </w:p>
    <w:tbl>
      <w:tblGrid>
        <w:gridCol w:w="4000" w:type="dxa"/>
        <w:gridCol w:w="2000" w:type="dxa"/>
        <w:gridCol w:w="4000" w:type="dxa"/>
        <w:gridCol w:w="4000" w:type="dxa"/>
        <w:gridCol w:w="4000" w:type="dxa"/>
      </w:tblGrid>
      <w:tblPr>
        <w:tblStyle w:val="Indikator Kinerja Kegiatan"/>
      </w:tblPr>
      <w:tr>
        <w:trPr/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Indikator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Target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Realisasi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Analisis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Kendala / Hambatan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Pemanfaatan Penerapan Manajemen Risiko dalam Pelaksanaan Tugas dan Fungsi Satuan Kerja di Lingkungan Kerja Inspektorat Wilayah I</w:t>
            </w:r>
          </w:p>
        </w:tc>
        <w:tc>
          <w:tcPr>
            <w:tcW w:w="2000" w:type="dxa"/>
          </w:tcPr>
          <w:p>
            <w:pPr/>
            <w:r>
              <w:rPr/>
              <w:t xml:space="preserve">52%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pengembalian ke kas Negara di Lingkungan Kerja Inspektorat Wilayah I</w:t>
            </w:r>
          </w:p>
        </w:tc>
        <w:tc>
          <w:tcPr>
            <w:tcW w:w="2000" w:type="dxa"/>
          </w:tcPr>
          <w:p>
            <w:pPr/>
            <w:r>
              <w:rPr/>
              <w:t xml:space="preserve">62%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Administrasi di Lingkungan Kerja Inspektorat Wilayah I</w:t>
            </w:r>
          </w:p>
        </w:tc>
        <w:tc>
          <w:tcPr>
            <w:tcW w:w="2000" w:type="dxa"/>
          </w:tcPr>
          <w:p>
            <w:pPr/>
            <w:r>
              <w:rPr/>
              <w:t xml:space="preserve">82%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Kerugian Negara di Lingkungan Kerja Inspektorat Wilayah I</w:t>
            </w:r>
          </w:p>
        </w:tc>
        <w:tc>
          <w:tcPr>
            <w:tcW w:w="2000" w:type="dxa"/>
          </w:tcPr>
          <w:p>
            <w:pPr/>
            <w:r>
              <w:rPr/>
              <w:t xml:space="preserve">22%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Administrasi di Lingkungan Kerja Inspektorat Wilayah I</w:t>
            </w:r>
          </w:p>
        </w:tc>
        <w:tc>
          <w:tcPr>
            <w:tcW w:w="2000" w:type="dxa"/>
          </w:tcPr>
          <w:p>
            <w:pPr/>
            <w:r>
              <w:rPr/>
              <w:t xml:space="preserve">78%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Satuan Kerja di Lingkungan Inspektorat Wilayah I yang mendapatkan Predikat WBK/WBBM</w:t>
            </w:r>
          </w:p>
        </w:tc>
        <w:tc>
          <w:tcPr>
            <w:tcW w:w="2000" w:type="dxa"/>
          </w:tcPr>
          <w:p>
            <w:pPr/>
            <w:r>
              <w:rPr/>
              <w:t xml:space="preserve">6%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</w:tbl>
    <w:p>
      <w:r>
        <w:br w:type="page"/>
      </w:r>
    </w:p>
    <w:p>
      <w:pPr>
        <w:sectPr>
          <w:pgSz w:orient="portrait" w:w="11905.511811023622" w:h="16837.79527559055"/>
          <w:pgMar w:top="600" w:right="1440" w:bottom="1440" w:left="1440" w:header="720" w:footer="720" w:gutter="0"/>
          <w:cols w:num="1" w:space="720"/>
        </w:sectPr>
      </w:pPr>
    </w:p>
    <w:p>
      <w:pPr>
        <w:pStyle w:val="Heading1"/>
      </w:pPr>
      <w:bookmarkStart w:id="4" w:name="_Toc4"/>
      <w:r>
        <w:t>Data Pengawasan</w:t>
      </w:r>
      <w:bookmarkEnd w:id="4"/>
    </w:p>
    <w:p>
      <w:pPr>
        <w:jc w:val="both"/>
      </w:pPr>
      <w:r>
        <w:rPr>
          <w:rStyle w:val="tStyle"/>
        </w:rPr>
        <w:t xml:space="preserve">Data Pengawasan sampai dengan bulan November tahun 2023 adalah sebagai berikut:</w:t>
      </w:r>
    </w:p>
    <w:tbl>
      <w:tblGrid>
        <w:gridCol w:w="500" w:type="dxa"/>
        <w:gridCol w:w="4000" w:type="dxa"/>
        <w:gridCol w:w="1000" w:type="dxa"/>
      </w:tblGrid>
      <w:tblPr>
        <w:tblStyle w:val="Data Pengawasan"/>
      </w:tblPr>
      <w:tr>
        <w:trPr/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#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Jenis Pengawasan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Total Kegiatan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4000" w:type="dxa"/>
          </w:tcPr>
          <w:p>
            <w:pPr/>
            <w:r>
              <w:rPr/>
              <w:t xml:space="preserve">AUDIT</w:t>
            </w:r>
          </w:p>
        </w:tc>
        <w:tc>
          <w:tcPr>
            <w:tcW w:w="1000" w:type="dxa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4000" w:type="dxa"/>
          </w:tcPr>
          <w:p>
            <w:pPr/>
            <w:r>
              <w:rPr/>
              <w:t xml:space="preserve">AUDIT TUJUAN TERTENTU / KHUSUS</w:t>
            </w:r>
          </w:p>
        </w:tc>
        <w:tc>
          <w:tcPr>
            <w:tcW w:w="10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4000" w:type="dxa"/>
          </w:tcPr>
          <w:p>
            <w:pPr/>
            <w:r>
              <w:rPr/>
              <w:t xml:space="preserve">REVIU</w:t>
            </w:r>
          </w:p>
        </w:tc>
        <w:tc>
          <w:tcPr>
            <w:tcW w:w="10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4000" w:type="dxa"/>
          </w:tcPr>
          <w:p>
            <w:pPr/>
            <w:r>
              <w:rPr/>
              <w:t xml:space="preserve">PEMANTAUAN / MONITORING</w:t>
            </w:r>
          </w:p>
        </w:tc>
        <w:tc>
          <w:tcPr>
            <w:tcW w:w="10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4000" w:type="dxa"/>
          </w:tcPr>
          <w:p>
            <w:pPr/>
            <w:r>
              <w:rPr/>
              <w:t xml:space="preserve">EVALUASI</w:t>
            </w:r>
          </w:p>
        </w:tc>
        <w:tc>
          <w:tcPr>
            <w:tcW w:w="10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4000" w:type="dxa"/>
          </w:tcPr>
          <w:p>
            <w:pPr/>
            <w:r>
              <w:rPr/>
              <w:t xml:space="preserve">PENGAWASAN LAINNYA</w:t>
            </w:r>
          </w:p>
        </w:tc>
        <w:tc>
          <w:tcPr>
            <w:tcW w:w="1000" w:type="dxa"/>
          </w:tcPr>
          <w:p>
            <w:pPr/>
            <w:r>
              <w:rPr/>
              <w:t xml:space="preserve">0</w:t>
            </w:r>
          </w:p>
        </w:tc>
      </w:tr>
    </w:tbl>
    <w:p>
      <w:r>
        <w:br w:type="page"/>
      </w:r>
    </w:p>
    <w:p>
      <w:pPr>
        <w:sectPr>
          <w:pgSz w:orient="portrait" w:w="11905.511811023622" w:h="16837.79527559055"/>
          <w:pgMar w:top="600" w:right="1440" w:bottom="1440" w:left="1440" w:header="720" w:footer="720" w:gutter="0"/>
          <w:cols w:num="1" w:space="720"/>
        </w:sectPr>
      </w:pPr>
    </w:p>
    <w:p/>
    <w:p>
      <w:pPr>
        <w:pStyle w:val="Heading1"/>
      </w:pPr>
      <w:bookmarkStart w:id="5" w:name="_Toc5"/>
      <w:r>
        <w:t>Data Kegiatan Inspektorat Jenderal</w:t>
      </w:r>
      <w:bookmarkEnd w:id="5"/>
    </w:p>
    <w:p>
      <w:pPr>
        <w:jc w:val="both"/>
      </w:pPr>
      <w:r>
        <w:rPr>
          <w:rStyle w:val="tStyle"/>
        </w:rPr>
        <w:t xml:space="preserve">Data Kegiatan pada bulan November tahun 2023 adalah sebagai berikut:</w:t>
      </w:r>
    </w:p>
    <w:tbl>
      <w:tblGrid>
        <w:gridCol w:w="500" w:type="dxa"/>
        <w:gridCol w:w="3000" w:type="dxa"/>
        <w:gridCol w:w="2000" w:type="dxa"/>
        <w:gridCol w:w="4000" w:type="dxa"/>
        <w:gridCol w:w="500" w:type="dxa"/>
      </w:tblGrid>
      <w:tblPr>
        <w:tblStyle w:val="Data Kegiatan"/>
      </w:tblPr>
      <w:tr>
        <w:trPr/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#</w:t>
            </w:r>
          </w:p>
        </w:tc>
        <w:tc>
          <w:tcPr>
            <w:tcW w:w="3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Nama Kegiatan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Tempat dan Waktu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Output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Pelaksana</w:t>
            </w:r>
          </w:p>
        </w:tc>
      </w:tr>
    </w:tbl>
    <w:sectPr>
      <w:pgSz w:orient="portrait" w:w="11905.511811023622" w:h="16837.79527559055"/>
      <w:pgMar w:top="6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nsid w:val="B4B289BA"/>
    <w:multiLevelType w:val="multilevel"/>
    <w:lvl w:ilvl="0">
      <w:start w:val="1"/>
      <w:numFmt w:val="upperLetter"/>
      <w:pStyle w:val="Heading1"/>
      <w:suff w:val="tab"/>
      <w:lvlText w:val="%1."/>
      <w:pPr>
        <w:tabs>
          <w:tab w:val="num"/>
        </w:tabs>
        <w:ind/>
      </w:pPr>
      <w:rPr>
        <w:rFonts/>
      </w:rPr>
    </w:lvl>
    <w:lvl w:ilvl="1">
      <w:start w:val="1"/>
      <w:numFmt w:val="decimal"/>
      <w:pStyle w:val="Heading2"/>
      <w:suff w:val="tab"/>
      <w:lvlText w:val="%2."/>
      <w:pPr>
        <w:tabs>
          <w:tab w:val="num"/>
        </w:tabs>
        <w:ind/>
      </w:pPr>
      <w:rPr>
        <w:rFonts/>
      </w:rPr>
    </w:lvl>
  </w:abstractNum>
  <w:num w:numId="3">
    <w:abstractNumId w:val="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after="100"/>
    </w:pPr>
  </w:style>
  <w:style w:type="character">
    <w:name w:val="tStyle"/>
    <w:rPr>
      <w:sz w:val="22"/>
      <w:szCs w:val="22"/>
    </w:rPr>
  </w:style>
  <w:style w:type="paragraph" w:styleId="Heading1">
    <w:link w:val="Heading1Char"/>
    <w:name w:val="heading 1"/>
    <w:basedOn w:val="Normal"/>
    <w:pPr>
      <w:numPr>
        <w:numId w:val="3"/>
        <w:ilvl w:val="0"/>
      </w:numPr>
      <w:outlineLvl w:val="0"/>
    </w:pPr>
    <w:rPr>
      <w:sz w:val="22"/>
      <w:szCs w:val="22"/>
      <w:b w:val="1"/>
      <w:bCs w:val="1"/>
    </w:rPr>
  </w:style>
  <w:style w:type="paragraph" w:styleId="Heading2">
    <w:link w:val="Heading2Char"/>
    <w:name w:val="heading 2"/>
    <w:basedOn w:val="Normal"/>
    <w:pPr>
      <w:numPr>
        <w:numId w:val="3"/>
        <w:ilvl w:val="1"/>
      </w:numPr>
      <w:outlineLvl w:val="1"/>
    </w:pPr>
    <w:rPr>
      <w:sz w:val="22"/>
      <w:szCs w:val="22"/>
    </w:rPr>
  </w:style>
  <w:style w:type="table" w:customStyle="1" w:styleId="Realisasi Anggaran Per Jenis Kegiatan">
    <w:name w:val="Realisasi Anggaran Per Jenis Kegiatan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table" w:customStyle="1" w:styleId="Indikator Kinerja Kegiatan">
    <w:name w:val="Indikator Kinerja Kegiatan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table" w:customStyle="1" w:styleId="Data Pengawasan">
    <w:name w:val="Data Pengawasan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table" w:customStyle="1" w:styleId="Data Kegiatan">
    <w:name w:val="Data Kegiatan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2023-11-16T01:42:13+00:00</dcterms:created>
  <dcterms:modified xsi:type="dcterms:W3CDTF">2023-11-16T01:42:13+00:00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