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Demografi Pegawai Inspektorat Jenderal</w:t>
      </w:r>
      <w:bookmarkEnd w:id="1"/>
    </w:p>
    <w:p>
      <w:pPr>
        <w:pStyle w:val="Heading2"/>
      </w:pPr>
      <w:bookmarkStart w:id="2" w:name="_Toc2"/>
      <w:r>
        <w:t>Total Pegawai</w:t>
      </w:r>
      <w:bookmarkEnd w:id="2"/>
    </w:p>
    <w:p>
      <w:pPr>
        <w:jc w:val="both"/>
      </w:pPr>
      <w:r>
        <w:rPr>
          <w:rStyle w:val="tStyle"/>
        </w:rPr>
        <w:t xml:space="preserve">Inspektorat Jenderal sampai dengan bulan November tahun 2023 memiliki pegawai dengan Jumlah 22 pegawai</w:t>
      </w:r>
    </w:p>
    <w:p>
      <w:pPr>
        <w:pStyle w:val="Heading2"/>
      </w:pPr>
      <w:bookmarkStart w:id="3" w:name="_Toc3"/>
      <w:r>
        <w:t>Berdasarkan Jenis Kelamin</w:t>
      </w:r>
      <w:bookmarkEnd w:id="3"/>
    </w:p>
    <w:p/>
    <w:p>
      <w:r>
        <w:drawing>
          <wp:inline>
            <wp:extent cx="4572000" cy="3657600"/>
            <wp:docPr id="7" name="Chart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both"/>
      </w:pPr>
      <w:r>
        <w:rPr>
          <w:rStyle w:val="tStyle"/>
        </w:rPr>
        <w:t xml:space="preserve">Berdasarkan jenis kelamin, bisa dilihat pada diagram diatas, jumlah Pegawai dengan jenis kelamin Laki-laki adalah sebanyak 7 pegawai dan Pegawai dengan jenis kelamin perempuan sebanyak15 pegawai</w:t>
      </w:r>
    </w:p>
    <w:p/>
    <w:p>
      <w:pPr>
        <w:pStyle w:val="Heading2"/>
      </w:pPr>
      <w:bookmarkStart w:id="4" w:name="_Toc4"/>
      <w:r>
        <w:t>Berdasarkan Kepangkatan</w:t>
      </w:r>
      <w:bookmarkEnd w:id="4"/>
    </w:p>
    <w:tbl>
      <w:tblGrid>
        <w:gridCol w:w="500" w:type="dxa"/>
        <w:gridCol w:w="3000" w:type="dxa"/>
        <w:gridCol w:w="2000" w:type="dxa"/>
      </w:tblGrid>
      <w:tblPr>
        <w:tblStyle w:val="Data Kepangk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Pangkat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 Pegawai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IVb - Pembina Tingkat I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IVc - Pembina Muda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>IVd - Pembina Madya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IVe - Pembina Utama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/>
    <w:p>
      <w:pPr>
        <w:pStyle w:val="Heading2"/>
      </w:pPr>
      <w:bookmarkStart w:id="5" w:name="_Toc5"/>
      <w:r>
        <w:t>Berdasarkan Jabatan</w:t>
      </w:r>
      <w:bookmarkEnd w:id="5"/>
    </w:p>
    <w:tbl>
      <w:tblGrid>
        <w:gridCol w:w="500" w:type="dxa"/>
        <w:gridCol w:w="3000" w:type="dxa"/>
        <w:gridCol w:w="2000" w:type="dxa"/>
      </w:tblGrid>
      <w:tblPr>
        <w:tblStyle w:val="Data Jab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Jabatan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 Pegawai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ANALIS KEPEGAWAIAN AHLI MADYA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ANALIS PENGELOLAAN KEUANGAN APBN AHLI MADYA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>AUDITOR MADYA</w:t>
            </w:r>
          </w:p>
        </w:tc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AUDITOR UTAMA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INSPEKTUR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3000" w:type="dxa"/>
          </w:tcPr>
          <w:p>
            <w:pPr/>
            <w:r>
              <w:rPr/>
              <w:t xml:space="preserve">INSPEKTUR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3000" w:type="dxa"/>
          </w:tcPr>
          <w:p>
            <w:pPr/>
            <w:r>
              <w:rPr/>
              <w:t xml:space="preserve">INSPEKTUR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3000" w:type="dxa"/>
          </w:tcPr>
          <w:p>
            <w:pPr/>
            <w:r>
              <w:rPr/>
              <w:t xml:space="preserve">INSPEKTUR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3000" w:type="dxa"/>
          </w:tcPr>
          <w:p>
            <w:pPr/>
            <w:r>
              <w:rPr/>
              <w:t xml:space="preserve">INSPEKTUR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3000" w:type="dxa"/>
          </w:tcPr>
          <w:p>
            <w:pPr/>
            <w:r>
              <w:rPr/>
              <w:t xml:space="preserve">INSPEKTUR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3000" w:type="dxa"/>
          </w:tcPr>
          <w:p>
            <w:pPr/>
            <w:r>
              <w:rPr/>
              <w:t xml:space="preserve">KEPALA BAGIAN UMUM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3000" w:type="dxa"/>
          </w:tcPr>
          <w:p>
            <w:pPr/>
            <w:r>
              <w:rPr/>
              <w:t xml:space="preserve">SEKRETARIS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6" w:name="_Toc6"/>
      <w:r>
        <w:t>Kinerja Anggaran</w:t>
      </w:r>
      <w:bookmarkEnd w:id="6"/>
    </w:p>
    <w:p>
      <w:pPr>
        <w:jc w:val="both"/>
      </w:pPr>
      <w:r>
        <w:rPr>
          <w:rStyle w:val="tStyle"/>
        </w:rPr>
        <w:t xml:space="preserve">Kinerja anggaran berdasarkan realisasi sampai dengan bulan November tahun 2023 adalah Rp. 56,900,000,000 dari total Pagu 69,026,935,000 (82.43%)</w:t>
      </w:r>
    </w:p>
    <w:p>
      <w:pPr>
        <w:pStyle w:val="Heading2"/>
      </w:pPr>
      <w:bookmarkStart w:id="7" w:name="_Toc7"/>
      <w:r>
        <w:t>Per Jenis Kegiatan</w:t>
      </w:r>
      <w:bookmarkEnd w:id="7"/>
    </w:p>
    <w:tbl>
      <w:tblGrid>
        <w:gridCol w:w="500" w:type="dxa"/>
        <w:gridCol w:w="10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1563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67.72%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1564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90.3%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1565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2,500,000,000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56.44%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>1566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79.01%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1567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3,900,000,000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88.04%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000" w:type="dxa"/>
          </w:tcPr>
          <w:p>
            <w:pPr/>
            <w:r>
              <w:rPr/>
              <w:t xml:space="preserve">1568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6,100,526,000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81.96%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000" w:type="dxa"/>
          </w:tcPr>
          <w:p>
            <w:pPr/>
            <w:r>
              <w:rPr/>
              <w:t xml:space="preserve">1569</w:t>
            </w:r>
          </w:p>
        </w:tc>
        <w:tc>
          <w:tcPr>
            <w:tcW w:w="4000" w:type="dxa"/>
          </w:tcPr>
          <w:p>
            <w:pPr/>
            <w:r>
              <w:rPr/>
              <w:t xml:space="preserve">Dukungan Manajemen dan Teknis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40,777,534,000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35,000,000,000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85.83%</w:t>
            </w:r>
          </w:p>
        </w:tc>
      </w:tr>
    </w:tbl>
    <w:p/>
    <w:p>
      <w:pPr>
        <w:pStyle w:val="Heading2"/>
      </w:pPr>
      <w:bookmarkStart w:id="8" w:name="_Toc8"/>
      <w:r>
        <w:t>Per Jenis Belanja</w:t>
      </w:r>
      <w:bookmarkEnd w:id="8"/>
    </w:p>
    <w:tbl>
      <w:tblGrid>
        <w:gridCol w:w="5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Belanja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9" w:name="_Toc9"/>
      <w:r>
        <w:t>Capaian Indikator Kinerja Utama</w:t>
      </w:r>
      <w:bookmarkEnd w:id="9"/>
    </w:p>
    <w:p>
      <w:pPr>
        <w:jc w:val="both"/>
      </w:pPr>
      <w:r>
        <w:rPr>
          <w:rStyle w:val="tStyle"/>
        </w:rPr>
        <w:t xml:space="preserve">Capaian Indikator Kinerja Utama Inspektorat Jenderal sampai dengan bulan November tahun 2023 adalah sebagai berikut:</w:t>
      </w:r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Utama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Opini Audit Eksternal Atas Laporan Keuangan Kemenk...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AKIP minimal “B...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capaian RB mini...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berhasil memperoleh p...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Persepsi Integritas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1"/>
      </w:pPr>
      <w:bookmarkStart w:id="10" w:name="_Toc10"/>
      <w:r>
        <w:t>Capaian Indikator Kinerja Kegiatan</w:t>
      </w:r>
      <w:bookmarkEnd w:id="10"/>
    </w:p>
    <w:p>
      <w:pPr>
        <w:jc w:val="both"/>
      </w:pPr>
      <w:r>
        <w:rPr>
          <w:rStyle w:val="tStyle"/>
        </w:rPr>
        <w:t xml:space="preserve">Capaian Indikator Kinerja Kegiatan pada masing - masing Unit Eselon II di lingkungan Inspektorat Jenderal sampai dengan bulan November tahun 2023 adalah sebagai berikut:</w:t>
      </w:r>
    </w:p>
    <w:p>
      <w:pPr>
        <w:pStyle w:val="Heading2"/>
      </w:pPr>
      <w:bookmarkStart w:id="11" w:name="_Toc11"/>
      <w:r>
        <w:t>Sekretariat Inspektorat Jenderal</w:t>
      </w:r>
      <w:bookmarkEnd w:id="11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Pengelolaan Unit Pemberantasan Pungutan Liar (UPP) Kementerian Hukum dan HAM</w:t>
            </w:r>
          </w:p>
        </w:tc>
        <w:tc>
          <w:tcPr>
            <w:tcW w:w="2000" w:type="dxa"/>
          </w:tcPr>
          <w:p>
            <w:pPr/>
            <w:r>
              <w:rPr/>
              <w:t xml:space="preserve">1 Rekomendasi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RB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14.17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SAKIP Inspektorat Jenderal "BAIK"</w:t>
            </w:r>
          </w:p>
        </w:tc>
        <w:tc>
          <w:tcPr>
            <w:tcW w:w="2000" w:type="dxa"/>
          </w:tcPr>
          <w:p>
            <w:pPr/>
            <w:r>
              <w:rPr/>
              <w:t xml:space="preserve">82.88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SDM yang memenuhi standar kompetensi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Tingkat internalisasi pegawai Inspektorat Jenderal atas Tata Nilai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pemenuhan pengembangan teknologi informasi yang menunjang proses bisnis bidang pengawasan/ pengendalian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realisasi layanan perkantoran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85%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layanan fasilitas kerumahtanggaan, BMN, dan sarpras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12 Bulan Layanan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Laporan keuangan Itjen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2" w:name="_Toc12"/>
      <w:r>
        <w:t>Inspektorat Wilayah I</w:t>
      </w:r>
      <w:bookmarkEnd w:id="12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3" w:name="_Toc13"/>
      <w:r>
        <w:t>Inspektorat Wilayah II</w:t>
      </w:r>
      <w:bookmarkEnd w:id="13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4" w:name="_Toc14"/>
      <w:r>
        <w:t>Inspektorat Wilayah III</w:t>
      </w:r>
      <w:bookmarkEnd w:id="14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5" w:name="_Toc15"/>
      <w:r>
        <w:t>Inspektorat Wilayah IV</w:t>
      </w:r>
      <w:bookmarkEnd w:id="15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6" w:name="_Toc16"/>
      <w:r>
        <w:t>Inspektorat Wilayah V</w:t>
      </w:r>
      <w:bookmarkEnd w:id="16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7" w:name="_Toc17"/>
      <w:r>
        <w:t>Inspektorat Wilayah VI</w:t>
      </w:r>
      <w:bookmarkEnd w:id="17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8" w:name="_Toc18"/>
      <w:r>
        <w:t>Data Pengawasan</w:t>
      </w:r>
      <w:bookmarkEnd w:id="18"/>
    </w:p>
    <w:p>
      <w:pPr>
        <w:jc w:val="both"/>
      </w:pPr>
      <w:r>
        <w:rPr>
          <w:rStyle w:val="tStyle"/>
        </w:rPr>
        <w:t xml:space="preserve">Data Pengawasan sampai dengan bulan November tahun 2023 adalah sebagai berikut:</w:t>
      </w:r>
    </w:p>
    <w:tbl>
      <w:tblGrid>
        <w:gridCol w:w="500" w:type="dxa"/>
        <w:gridCol w:w="4000" w:type="dxa"/>
        <w:gridCol w:w="1000" w:type="dxa"/>
      </w:tblGrid>
      <w:tblPr>
        <w:tblStyle w:val="Data Pengawas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 Pengawasan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Total Kegiatan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 TUJUAN TERTENTU / KHUSUS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REVIU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PEMANTAUAN / MONITORING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LAINNYA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9" w:name="_Toc19"/>
      <w:r>
        <w:t>Data Kegiatan Inspektorat Jenderal</w:t>
      </w:r>
      <w:bookmarkEnd w:id="19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2000" w:type="dxa"/>
        <w:gridCol w:w="4000" w:type="dxa"/>
        <w:gridCol w:w="5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Nama 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Tempat dan Waktu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Output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Pelaksana</w:t>
            </w:r>
          </w:p>
        </w:tc>
      </w:tr>
    </w:tbl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20" w:name="_Toc20"/>
      <w:r>
        <w:t>Data Persuratan Inspektorat Jenderal</w:t>
      </w:r>
      <w:bookmarkEnd w:id="20"/>
    </w:p>
    <w:p>
      <w:pPr>
        <w:jc w:val="both"/>
      </w:pPr>
      <w:r>
        <w:rPr>
          <w:rStyle w:val="tStyle"/>
        </w:rPr>
        <w:t xml:space="preserve">Data Persuratan pada bulan November tahun 2023 adalah sebagai berikut:</w:t>
      </w:r>
    </w:p>
    <w:tbl>
      <w:tblGrid>
        <w:gridCol w:w="500" w:type="dxa"/>
        <w:gridCol w:w="3000" w:type="dxa"/>
        <w:gridCol w:w="3000" w:type="dxa"/>
      </w:tblGrid>
      <w:tblPr>
        <w:tblStyle w:val="Data Persur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Bulan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Masuk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Keluar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January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February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March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April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June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July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August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September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October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November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December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21" w:name="_Toc21"/>
      <w:r>
        <w:t>Data Monitoring Temuan APIP Inspektorat Jenderal</w:t>
      </w:r>
      <w:bookmarkEnd w:id="21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tbl>
      <w:tblGrid>
        <w:gridCol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Data Temuan Internal"/>
      </w:tblPr>
      <w:tr>
        <w:trPr/>
        <w:tc>
          <w:tcPr>
            <w:tcW w:w="2000" w:type="dxa"/>
            <w:vAlign w:val="center"/>
            <w:tcBorders>
              <w:bottom w:val="single" w:sz="18" w:color="0000FF"/>
            </w:tcBorders>
            <w:shd w:val="clear" w:fill="66BBFF"/>
            <w:vMerge w:val="restart"/>
          </w:tcPr>
          <w:p>
            <w:pPr/>
            <w:r>
              <w:rPr>
                <w:b w:val="1"/>
                <w:bCs w:val="1"/>
              </w:rPr>
              <w:t xml:space="preserve">Unit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Temuan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Sudah Tindak Lanjut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Belum Tindak Lanjut</w:t>
            </w:r>
          </w:p>
        </w:tc>
      </w:tr>
      <w:tr>
        <w:trPr/>
        <w:tc>
          <w:tcPr>
            <w:shd w:val="clear" w:fill="66BBFF"/>
            <w:vMerge w:val="continue"/>
          </w:tcPr>
          <w:p/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0</w:t>
            </w:r>
          </w:p>
        </w:tc>
      </w:tr>
    </w:tbl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22" w:name="_Toc22"/>
      <w:r>
        <w:t>Data Monitoring Temuan External</w:t>
      </w:r>
      <w:bookmarkEnd w:id="22"/>
    </w:p>
    <w:p>
      <w:pPr>
        <w:jc w:val="both"/>
      </w:pPr>
      <w:r>
        <w:rPr>
          <w:rStyle w:val="tStyle"/>
        </w:rPr>
        <w:t xml:space="preserve">Data Monitoring Temuan External sampai dengan bulan November tahun 2023 adalah sebagai berikut:</w:t>
      </w:r>
    </w:p>
    <w:p>
      <w:pPr>
        <w:pStyle w:val="Heading2"/>
      </w:pPr>
      <w:bookmarkStart w:id="23" w:name="_Toc23"/>
      <w:r>
        <w:t>Temuan Badan Pemeriksa Keuangan (BPK)</w:t>
      </w:r>
      <w:bookmarkEnd w:id="23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Sesuai dengan Rekomendasi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Rekomendasi dalam Proses Reviu BPK 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Sesuai/Dalam Proses Tindak Lanjut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Ditindaklanjuti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Tidak Dapat Ditindaklanjuti dengan Alasan yang Sah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Rekomendasi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</w:tcPr>
          <w:p>
            <w:pPr/>
            <w:r>
              <w:rPr/>
              <w:t xml:space="preserve">0</w:t>
            </w:r>
          </w:p>
        </w:tc>
      </w:tr>
    </w:tbl>
    <w:p>
      <w:pPr>
        <w:pStyle w:val="Heading2"/>
      </w:pPr>
      <w:bookmarkStart w:id="24" w:name="_Toc24"/>
      <w:r>
        <w:t>Temuan Badan Pengawasan Keuangan dan Pembangunan (BPKP)</w:t>
      </w:r>
      <w:bookmarkEnd w:id="24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Sudah Tuntas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Tuntas 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</w:tcPr>
          <w:p>
            <w:pPr/>
            <w:r>
              <w:rPr/>
              <w:t xml:space="preserve">0</w:t>
            </w:r>
          </w:p>
        </w:tc>
      </w:tr>
    </w:tbl>
    <w:p/>
    <w:p>
      <w:pPr>
        <w:pStyle w:val="Heading2"/>
      </w:pPr>
      <w:bookmarkStart w:id="25" w:name="_Toc25"/>
      <w:r>
        <w:t>Temuan Ombudsman Republik Indonesia (ORI)</w:t>
      </w:r>
      <w:bookmarkEnd w:id="25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Aduan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Tuntas 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Tuntas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</w:tcPr>
          <w:p>
            <w:pPr/>
            <w:r>
              <w:rPr/>
              <w:t xml:space="preserve">0</w:t>
            </w:r>
          </w:p>
        </w:tc>
      </w:tr>
    </w:tbl>
    <w:p/>
    <w:p/>
    <w:p>
      <w:pPr>
        <w:pStyle w:val="Heading1"/>
      </w:pPr>
      <w:bookmarkStart w:id="26" w:name="_Toc26"/>
      <w:r>
        <w:t>Data Pengelolaan Media</w:t>
      </w:r>
      <w:bookmarkEnd w:id="26"/>
    </w:p>
    <w:p>
      <w:pPr>
        <w:jc w:val="both"/>
      </w:pPr>
      <w:r>
        <w:rPr>
          <w:rStyle w:val="tStyle"/>
        </w:rPr>
        <w:t xml:space="preserve">Data Pengelolaan Media Inspektorat Jenderal sampai dengan bulan November tahun 2023 adalah sebagai berikut:</w:t>
      </w:r>
    </w:p>
    <w:tbl>
      <w:tblGrid>
        <w:gridCol w:w="1000" w:type="dxa"/>
        <w:gridCol w:w="3000" w:type="dxa"/>
        <w:gridCol w:w="3000" w:type="dxa"/>
      </w:tblGrid>
      <w:tblPr>
        <w:tblStyle w:val="Data Pengelolaan Media"/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Link Media</w:t>
            </w:r>
          </w:p>
        </w:tc>
      </w:tr>
    </w:tbl>
    <w:p/>
    <w:sectPr>
      <w:pgSz w:orient="portrait" w:w="11905.511811023622" w:h="16837.79527559055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931CF50C"/>
    <w:multiLevelType w:val="multilevel"/>
    <w:lvl w:ilvl="0">
      <w:start w:val="1"/>
      <w:numFmt w:val="upperLetter"/>
      <w:pStyle w:val="Heading1"/>
      <w:suff w:val="tab"/>
      <w:lvlText w:val="%1.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2."/>
      <w:pPr>
        <w:tabs>
          <w:tab w:val="num"/>
        </w:tabs>
        <w:ind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tStyle"/>
    <w:rPr>
      <w:sz w:val="22"/>
      <w:szCs w:val="22"/>
    </w:rPr>
  </w:style>
  <w:style w:type="paragraph" w:styleId="Heading1">
    <w:link w:val="Heading1Char"/>
    <w:name w:val="heading 1"/>
    <w:basedOn w:val="Normal"/>
    <w:pPr>
      <w:numPr>
        <w:numId w:val="3"/>
        <w:ilvl w:val="0"/>
      </w:numPr>
      <w:outlineLvl w:val="0"/>
    </w:pPr>
    <w:rPr>
      <w:sz w:val="22"/>
      <w:szCs w:val="22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3"/>
        <w:ilvl w:val="1"/>
      </w:numPr>
      <w:outlineLvl w:val="1"/>
    </w:pPr>
    <w:rPr>
      <w:sz w:val="22"/>
      <w:szCs w:val="22"/>
    </w:rPr>
  </w:style>
  <w:style w:type="table" w:customStyle="1" w:styleId="Data Kepangkatan">
    <w:name w:val="Data Kepangk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Jabatan">
    <w:name w:val="Data Jab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Realisasi Anggaran Per Jenis Kegiatan">
    <w:name w:val="Realisasi Anggaran Per Jenis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Realisasi Anggaran Per Jenis Belanja">
    <w:name w:val="Realisasi Anggaran Per Jenis Belanj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Utama">
    <w:name w:val="Indikator Kinerja Utam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Kegiatan">
    <w:name w:val="Indikator Kinerj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awasan">
    <w:name w:val="Data Pengawas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Kegiatan">
    <w:name w:val="Dat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rsuratan">
    <w:name w:val="Data Persur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Temuan Internal">
    <w:name w:val="Data Temuan In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Montoring Eksternal">
    <w:name w:val="Data Montoring Eks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elolaan Media">
    <w:name w:val="Data Pengelolaan Media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Chart>
        <c:varyColors val="1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Laki - Laki</c:v>
              </c:pt>
              <c:pt idx="1">
                <c:v>Perempuan</c:v>
              </c:pt>
            </c:strLit>
          </c:cat>
          <c:val>
            <c:numLit>
              <c:ptCount val="2"/>
              <c:pt idx="0">
                <c:v>7</c:v>
              </c:pt>
              <c:pt idx="1">
                <c:v>15</c:v>
              </c:pt>
            </c:numLit>
          </c:val>
        </c:ser>
        <c:overlap val="100"/>
      </c:pieChart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2023-11-18T13:47:51+00:00</dcterms:created>
  <dcterms:modified xsi:type="dcterms:W3CDTF">2023-11-18T13:47:51+00:00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