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27-November-2021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2021-2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25.000.000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 puluh lima juta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Reviu LK di Ling. Kanwil Banten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1563.EAK.001.052.C.524111 – Reviu Laporan Keuangan-Belanja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 CICI ROHAYATI, SH.MH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19740508 199803 2 001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2021-2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25.000.000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Reviu LK di Ling. Kanwil Banten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1563.EAK.001.052.C.524111 - Reviu Laporan Keuangan-Belanja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 CICI ROHAYATI, SH.MH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19740508 199803 2 001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