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02-December-2021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2021-8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800.000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delapan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Evaluasi Laporan Keuangan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1569.EAB.001.051.A.524113 – Penyusunan KPJM/JAKWAS/PK/PKPT/PKAU-Belanja Perjalanan Dinas Dalam Kota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ERIE WIJAYA, S.H.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196905061998031001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196211251989031002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RIFAI, S.H.,M.H.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196212131986031001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2021-8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02-December-2021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800.000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Evaluasi Laporan Keuangan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1569.EAB.001.051.A.524113 - Penyusunan KPJM/JAKWAS/PK/PKPT/PKAU-Belanja Perjalanan Dinas Dalam Kota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ERIE WIJAYA, S.H.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196905061998031001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BUDI, S.H.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196211251989031002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RIFAI, S.H.,M.H.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196212131986031001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 AMATUNISSA, S.H., M.H.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197003271998032001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