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633249" w:rsidRDefault="00DF2E28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0" w:name="_Toc446423918"/>
      <w:r w:rsidRPr="00633249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2016</w:t>
      </w:r>
      <w:r w:rsidR="000B0210" w:rsidRPr="00633249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年</w:t>
      </w:r>
      <w:bookmarkEnd w:id="0"/>
    </w:p>
    <w:p w:rsidR="0054227B" w:rsidRPr="00633249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1" w:name="_Toc446423919"/>
      <w:r w:rsidRPr="00633249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633249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633249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绍兴市气象局</w:t>
      </w:r>
    </w:p>
    <w:p w:rsidR="00D52264" w:rsidRPr="00633249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633249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绍兴防雷中心</w:t>
      </w:r>
    </w:p>
    <w:p w:rsidR="00743550" w:rsidRPr="00A57FA5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7032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A57FA5" w:rsidRDefault="00A57FA5" w:rsidP="00986B94">
      <w:pPr>
        <w:ind w:firstLineChars="200" w:firstLine="632"/>
        <w:rPr>
          <w:rFonts w:ascii="仿宋_GB2312"/>
        </w:rPr>
      </w:pPr>
      <w:r>
        <w:rPr>
          <w:rFonts w:ascii="仿宋_GB2312"/>
        </w:rPr>
        <w:t>2015</w:t>
      </w:r>
      <w:r>
        <w:rPr>
          <w:rFonts w:ascii="仿宋_GB2312" w:hint="eastAsia"/>
        </w:rPr>
        <w:t>年我市共发生地闪</w:t>
      </w:r>
      <w:r>
        <w:rPr>
          <w:rFonts w:ascii="仿宋_GB2312"/>
        </w:rPr>
        <w:t>9272</w:t>
      </w:r>
      <w:r>
        <w:rPr>
          <w:rFonts w:ascii="仿宋_GB2312" w:hint="eastAsia"/>
        </w:rPr>
        <w:t>次，平均地闪密度</w:t>
      </w:r>
      <w:r>
        <w:rPr>
          <w:rFonts w:ascii="仿宋_GB2312"/>
        </w:rPr>
        <w:t>1.12</w:t>
      </w:r>
      <w:r>
        <w:rPr>
          <w:rFonts w:ascii="仿宋_GB2312" w:hint="eastAsia"/>
        </w:rPr>
        <w:t>次</w:t>
      </w:r>
      <w:r>
        <w:rPr>
          <w:rFonts w:ascii="仿宋_GB2312"/>
        </w:rPr>
        <w:t>/km</w:t>
      </w:r>
      <w:r>
        <w:rPr>
          <w:rFonts w:ascii="仿宋_GB2312"/>
        </w:rPr>
        <w:t>²</w:t>
      </w:r>
      <w:r>
        <w:rPr>
          <w:rFonts w:ascii="仿宋_GB2312" w:hint="eastAsia"/>
        </w:rPr>
        <w:t>，平均雷暴日</w:t>
      </w:r>
      <w:r>
        <w:rPr>
          <w:rFonts w:ascii="仿宋_GB2312"/>
        </w:rPr>
        <w:t>40</w:t>
      </w:r>
      <w:r>
        <w:rPr>
          <w:rFonts w:ascii="仿宋_GB2312" w:hint="eastAsia"/>
        </w:rPr>
        <w:t>天（见表</w:t>
      </w:r>
      <w:r>
        <w:rPr>
          <w:rFonts w:ascii="仿宋_GB2312"/>
        </w:rPr>
        <w:t>1-1</w:t>
      </w:r>
      <w:r>
        <w:rPr>
          <w:rFonts w:ascii="仿宋_GB2312" w:hint="eastAsia"/>
        </w:rPr>
        <w:t>）。与上年的地闪</w:t>
      </w:r>
      <w:r>
        <w:rPr>
          <w:rFonts w:ascii="仿宋_GB2312"/>
        </w:rPr>
        <w:t>22122</w:t>
      </w:r>
      <w:r>
        <w:rPr>
          <w:rFonts w:ascii="仿宋_GB2312" w:hint="eastAsia"/>
        </w:rPr>
        <w:t>次相比，大幅减少。从时间分布来看，地闪主要集中在</w:t>
      </w:r>
      <w:r>
        <w:rPr>
          <w:rFonts w:ascii="仿宋_GB2312"/>
        </w:rPr>
        <w:t>6</w:t>
      </w:r>
      <w:r>
        <w:rPr>
          <w:rFonts w:ascii="仿宋_GB2312" w:hint="eastAsia"/>
        </w:rPr>
        <w:t>、</w:t>
      </w:r>
      <w:r>
        <w:rPr>
          <w:rFonts w:ascii="仿宋_GB2312"/>
        </w:rPr>
        <w:t>7</w:t>
      </w:r>
      <w:r>
        <w:rPr>
          <w:rFonts w:ascii="仿宋_GB2312" w:hint="eastAsia"/>
        </w:rPr>
        <w:t>、</w:t>
      </w:r>
      <w:r>
        <w:rPr>
          <w:rFonts w:ascii="仿宋_GB2312"/>
        </w:rPr>
        <w:t>8</w:t>
      </w:r>
      <w:r>
        <w:rPr>
          <w:rFonts w:ascii="仿宋_GB2312" w:hint="eastAsia"/>
        </w:rPr>
        <w:t>月，三个月地闪占全年总地闪次数的</w:t>
      </w:r>
      <w:r>
        <w:rPr>
          <w:rFonts w:ascii="仿宋_GB2312"/>
        </w:rPr>
        <w:t>69.62%</w:t>
      </w:r>
      <w:r>
        <w:rPr>
          <w:rFonts w:ascii="仿宋_GB2312" w:hint="eastAsia"/>
        </w:rPr>
        <w:t>。从空间分布来看，诸暨市发生地闪次数最多，越城区最少。全市地闪平均密度低于全省平均的</w:t>
      </w:r>
      <w:r>
        <w:rPr>
          <w:rFonts w:ascii="仿宋_GB2312"/>
        </w:rPr>
        <w:t>1.40</w:t>
      </w:r>
      <w:r>
        <w:rPr>
          <w:rFonts w:ascii="仿宋_GB2312" w:hint="eastAsia"/>
        </w:rPr>
        <w:t>次</w:t>
      </w:r>
      <w:r>
        <w:rPr>
          <w:rFonts w:ascii="仿宋_GB2312"/>
        </w:rPr>
        <w:t>/km</w:t>
      </w:r>
      <w:r>
        <w:rPr>
          <w:rFonts w:ascii="仿宋_GB2312"/>
        </w:rPr>
        <w:t>²</w:t>
      </w:r>
      <w:r>
        <w:rPr>
          <w:rFonts w:ascii="仿宋_GB2312" w:hint="eastAsia"/>
        </w:rPr>
        <w:t>，在全省各市中绍兴市闪次数排第</w:t>
      </w:r>
      <w:r>
        <w:rPr>
          <w:rFonts w:ascii="仿宋_GB2312"/>
        </w:rPr>
        <w:t>8</w:t>
      </w:r>
      <w:r>
        <w:rPr>
          <w:rFonts w:ascii="仿宋_GB2312" w:hint="eastAsia"/>
        </w:rPr>
        <w:t>位，地闪平均密度排第</w:t>
      </w:r>
      <w:r>
        <w:rPr>
          <w:rFonts w:ascii="仿宋_GB2312"/>
        </w:rPr>
        <w:t>5</w:t>
      </w:r>
      <w:r>
        <w:rPr>
          <w:rFonts w:ascii="仿宋_GB2312" w:hint="eastAsia"/>
        </w:rPr>
        <w:t>位（见表</w:t>
      </w:r>
      <w:r>
        <w:rPr>
          <w:rFonts w:ascii="仿宋_GB2312"/>
        </w:rPr>
        <w:t>1-2</w:t>
      </w:r>
      <w:r>
        <w:rPr>
          <w:rFonts w:ascii="仿宋_GB2312" w:hint="eastAsia"/>
        </w:rPr>
        <w:t>）。</w:t>
      </w:r>
    </w:p>
    <w:p w:rsidR="00A57FA5" w:rsidRDefault="00A57FA5" w:rsidP="00A57FA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据不完全统计，</w:t>
      </w:r>
      <w:r>
        <w:rPr>
          <w:rFonts w:ascii="宋体" w:hAnsi="宋体"/>
          <w:szCs w:val="21"/>
        </w:rPr>
        <w:t>2016</w:t>
      </w:r>
      <w:r>
        <w:rPr>
          <w:rFonts w:ascii="宋体" w:hAnsi="宋体"/>
          <w:szCs w:val="21"/>
        </w:rPr>
        <w:t>年全市因雷电引发的灾害共</w:t>
      </w:r>
      <w:r>
        <w:rPr>
          <w:rFonts w:ascii="宋体" w:hAnsi="宋体"/>
          <w:szCs w:val="21"/>
        </w:rPr>
        <w:t>148</w:t>
      </w:r>
      <w:r>
        <w:rPr>
          <w:rFonts w:ascii="宋体" w:hAnsi="宋体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7788.04</w:t>
      </w:r>
      <w:r>
        <w:rPr>
          <w:rFonts w:ascii="宋体" w:hAnsi="宋体"/>
          <w:szCs w:val="21"/>
        </w:rPr>
        <w:t>万元，间接经济损失</w:t>
      </w:r>
      <w:r>
        <w:rPr>
          <w:rFonts w:ascii="宋体" w:hAnsi="宋体"/>
          <w:szCs w:val="21"/>
        </w:rPr>
        <w:t>677.42</w:t>
      </w:r>
      <w:r>
        <w:rPr>
          <w:rFonts w:ascii="宋体" w:hAnsi="宋体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4" w:name="_Toc382318377"/>
      <w:bookmarkStart w:id="5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4"/>
      <w:bookmarkEnd w:id="5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6" w:name="_Toc382318380"/>
      <w:bookmarkStart w:id="7" w:name="_Toc447181892"/>
      <w:bookmarkStart w:id="8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6"/>
      <w:bookmarkEnd w:id="7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57FA5" w:rsidRDefault="00A57FA5" w:rsidP="00986B94">
      <w:pPr>
        <w:ind w:firstLineChars="200" w:firstLine="632"/>
        <w:rPr>
          <w:rFonts w:ascii="仿宋_GB2312" w:hAnsi="仿宋_GB2312"/>
        </w:rPr>
      </w:pPr>
      <w:r>
        <w:rPr>
          <w:rFonts w:ascii="仿宋_GB2312" w:hAnsi="仿宋_GB2312" w:hint="eastAsia"/>
        </w:rPr>
        <w:t>从地区统计来看，地区分布相对不均，诸暨市地闪次数最多，共</w:t>
      </w:r>
      <w:r>
        <w:rPr>
          <w:rFonts w:ascii="仿宋_GB2312" w:hAnsi="仿宋_GB2312"/>
        </w:rPr>
        <w:t>4788次，越城区最少，只有106次，两者分别占全市总地闪数的51.64%和1.14%。从平均密度统计来看，诸暨市密度最高，为2.07次/km</w:t>
      </w:r>
      <w:r>
        <w:rPr>
          <w:rFonts w:ascii="Calibri" w:hAnsi="Calibri" w:cs="Calibri"/>
        </w:rPr>
        <w:t>²</w:t>
      </w:r>
      <w:r>
        <w:rPr>
          <w:rFonts w:ascii="仿宋_GB2312" w:hAnsi="仿宋_GB2312" w:hint="eastAsia"/>
        </w:rPr>
        <w:t>，越城区最低，为</w:t>
      </w:r>
      <w:r>
        <w:rPr>
          <w:rFonts w:ascii="仿宋_GB2312" w:hAnsi="仿宋_GB2312"/>
        </w:rPr>
        <w:t>0.21次/km</w:t>
      </w:r>
      <w:r>
        <w:rPr>
          <w:rFonts w:ascii="Calibri" w:hAnsi="Calibri" w:cs="Calibri"/>
        </w:rPr>
        <w:t>²</w:t>
      </w:r>
      <w:r>
        <w:rPr>
          <w:rFonts w:ascii="仿宋_GB2312" w:hAnsi="仿宋_GB2312" w:hint="eastAsia"/>
        </w:rPr>
        <w:t>（见表</w:t>
      </w:r>
      <w:r>
        <w:rPr>
          <w:rFonts w:ascii="仿宋_GB2312" w:hAnsi="仿宋_GB2312"/>
        </w:rPr>
        <w:t>1-1）。</w:t>
      </w:r>
    </w:p>
    <w:p w:rsidR="00A57FA5" w:rsidRDefault="00A57FA5" w:rsidP="00A57FA5">
      <w:pPr>
        <w:ind w:firstLineChars="200" w:firstLine="632"/>
        <w:rPr>
          <w:rFonts w:ascii="宋体" w:hAnsi="宋体"/>
        </w:rPr>
      </w:pPr>
      <w:r>
        <w:rPr>
          <w:rFonts w:ascii="宋体" w:hAnsi="宋体"/>
        </w:rPr>
        <w:t>从地闪密度空间分布图上（见图</w:t>
      </w:r>
      <w:r>
        <w:rPr>
          <w:rFonts w:ascii="宋体" w:hAnsi="宋体"/>
        </w:rPr>
        <w:t>1-1</w:t>
      </w:r>
      <w:r>
        <w:rPr>
          <w:rFonts w:ascii="宋体" w:hAnsi="宋体"/>
        </w:rPr>
        <w:t>）可以看出，诸暨西北</w:t>
      </w:r>
      <w:r>
        <w:rPr>
          <w:rFonts w:ascii="宋体" w:hAnsi="宋体"/>
        </w:rPr>
        <w:lastRenderedPageBreak/>
        <w:t>部、嵊州和诸暨交界区域地闪密度较高，最高超过</w:t>
      </w:r>
      <w:r>
        <w:rPr>
          <w:rFonts w:ascii="宋体" w:hAnsi="宋体"/>
        </w:rPr>
        <w:t>5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。新昌东部有部分地区，地闪密度超过</w:t>
      </w:r>
      <w:r>
        <w:rPr>
          <w:rFonts w:ascii="宋体" w:hAnsi="宋体"/>
        </w:rPr>
        <w:t>3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，全市大部分地区地闪密度小于</w:t>
      </w:r>
      <w:r>
        <w:rPr>
          <w:rFonts w:ascii="宋体" w:hAnsi="宋体"/>
        </w:rPr>
        <w:t>2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9" w:name="_Toc382318379"/>
    </w:p>
    <w:p w:rsidR="00A57FA5" w:rsidRDefault="00A57FA5" w:rsidP="00A57FA5">
      <w:pPr>
        <w:ind w:firstLineChars="200" w:firstLine="632"/>
      </w:pPr>
      <w:bookmarkStart w:id="10" w:name="_Toc447181893"/>
      <w:r>
        <w:rPr>
          <w:rFonts w:hint="eastAsia"/>
        </w:rPr>
        <w:t>现行国家标准所引用的雷暴日指人工观测（测站周围约</w:t>
      </w:r>
      <w:r>
        <w:rPr>
          <w:rFonts w:hint="eastAsia"/>
        </w:rPr>
        <w:t>15km</w:t>
      </w:r>
      <w:r>
        <w:rPr>
          <w:rFonts w:hint="eastAsia"/>
        </w:rPr>
        <w:t>半径域面）有雷暴天数的多年平均。根据我省闪电定位监测资料推算（以</w:t>
      </w:r>
      <w:r>
        <w:rPr>
          <w:rFonts w:hint="eastAsia"/>
        </w:rPr>
        <w:t>15km</w:t>
      </w:r>
      <w:r>
        <w:rPr>
          <w:rFonts w:hint="eastAsia"/>
        </w:rPr>
        <w:t>为间隔，分别统计各点</w:t>
      </w:r>
      <w:r>
        <w:rPr>
          <w:rFonts w:hint="eastAsia"/>
        </w:rPr>
        <w:t>15km</w:t>
      </w:r>
      <w:r>
        <w:rPr>
          <w:rFonts w:hint="eastAsia"/>
        </w:rPr>
        <w:t>半径范围内的雷暴日，再插值推算），</w:t>
      </w:r>
      <w:r>
        <w:rPr>
          <w:rFonts w:hint="eastAsia"/>
        </w:rPr>
        <w:t>2016</w:t>
      </w:r>
      <w:r>
        <w:rPr>
          <w:rFonts w:hint="eastAsia"/>
        </w:rPr>
        <w:t>年全市地闪雷暴日平均</w:t>
      </w:r>
      <w:r>
        <w:rPr>
          <w:rFonts w:hint="eastAsia"/>
        </w:rPr>
        <w:t>43</w:t>
      </w:r>
      <w:r>
        <w:rPr>
          <w:rFonts w:hint="eastAsia"/>
        </w:rPr>
        <w:t>天，最低为</w:t>
      </w:r>
      <w:r>
        <w:rPr>
          <w:rFonts w:hint="eastAsia"/>
        </w:rPr>
        <w:t>29</w:t>
      </w:r>
      <w:r>
        <w:rPr>
          <w:rFonts w:hint="eastAsia"/>
        </w:rPr>
        <w:t>天，最高</w:t>
      </w:r>
      <w:r>
        <w:rPr>
          <w:rFonts w:hint="eastAsia"/>
        </w:rPr>
        <w:t>67</w:t>
      </w:r>
      <w:r>
        <w:rPr>
          <w:rFonts w:hint="eastAsia"/>
        </w:rPr>
        <w:t>天。空间分布上来看，北部平原地区雷暴日较少，西</w:t>
      </w:r>
      <w:r>
        <w:rPr>
          <w:rFonts w:hint="eastAsia"/>
        </w:rPr>
        <w:lastRenderedPageBreak/>
        <w:t>南大部和东南部分区域雷暴天数较多（见图</w:t>
      </w:r>
      <w:r>
        <w:rPr>
          <w:rFonts w:hint="eastAsia"/>
        </w:rPr>
        <w:t>1-2</w:t>
      </w:r>
      <w:r>
        <w:rPr>
          <w:rFonts w:hint="eastAsia"/>
        </w:rPr>
        <w:t>）。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9"/>
      <w:bookmarkEnd w:id="10"/>
    </w:p>
    <w:p w:rsidR="00A57FA5" w:rsidRDefault="00A57FA5" w:rsidP="00A57FA5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2015年绍兴市雷电初日为2月25日。从分月统计来看，地闪次数随月份呈现近似正态分布特征，1月和12月未监测到地闪，地闪次数峰值出现在8月，6、7、8月是雷暴高发的月份，三个月地闪次数占总数的69.62%。正、负地闪平均强度的峰值分别在3月和2月，其他月份波动平缓(见图1-3) 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A57FA5" w:rsidRDefault="00A57FA5" w:rsidP="00A57FA5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从分时段统计来看，地闪次数峰值出现在第18个时段（17:00-18:00），地闪主要集中在午后两点到晚上九点，七个时段内的地闪次数占总数的d%。地闪平均强度随时间呈波状起伏特征，但总体波动不大。正闪平均强度峰值在第7个时段（7:00-8:00），负闪平均强度峰值在第11个时段（11:00-12:00）(见图1-4)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1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8"/>
      <w:bookmarkEnd w:id="11"/>
    </w:p>
    <w:p w:rsidR="00A57FA5" w:rsidRDefault="00A57FA5" w:rsidP="00A57FA5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由正、负地闪强度分布图可见，地闪次数随地闪强度呈近似正态分布特征。正地闪主要集中在5-60kA内（见图1-5），该区间内正地闪次数约占总地闪的87.20%，负地闪主要分布在5-60kA内（见图1-6），该区间内负地闪次数约占总负地闪的91.46%。</w:t>
      </w:r>
    </w:p>
    <w:p w:rsidR="00861729" w:rsidRDefault="00861729" w:rsidP="00D3715A">
      <w:pPr>
        <w:rPr>
          <w:rFonts w:ascii="仿宋_GB2312"/>
        </w:rPr>
      </w:pPr>
      <w:r>
        <w:rPr>
          <w:noProof/>
        </w:rPr>
        <w:lastRenderedPageBreak/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B809DB" w:rsidRDefault="000D6555" w:rsidP="00B809DB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12" w:name="_Toc256686860"/>
      <w:bookmarkStart w:id="13" w:name="_Toc248380298"/>
      <w:bookmarkStart w:id="14" w:name="_Toc382318381"/>
      <w:bookmarkStart w:id="15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12"/>
      <w:bookmarkEnd w:id="13"/>
      <w:bookmarkEnd w:id="14"/>
      <w:bookmarkEnd w:id="15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16" w:name="_Toc256686861"/>
      <w:bookmarkStart w:id="17" w:name="_Toc248380299"/>
      <w:bookmarkStart w:id="18" w:name="_Toc382318382"/>
      <w:bookmarkStart w:id="19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16"/>
      <w:bookmarkEnd w:id="17"/>
      <w:bookmarkEnd w:id="18"/>
      <w:bookmarkEnd w:id="19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0" w:name="_Toc256686863"/>
      <w:bookmarkStart w:id="21" w:name="_Toc248380300"/>
      <w:bookmarkStart w:id="22" w:name="_Toc382318383"/>
      <w:bookmarkStart w:id="23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0"/>
      <w:bookmarkEnd w:id="21"/>
      <w:bookmarkEnd w:id="22"/>
      <w:bookmarkEnd w:id="23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4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24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5" w:name="_Toc256686864"/>
      <w:bookmarkStart w:id="26" w:name="_Toc248380301"/>
      <w:bookmarkStart w:id="27" w:name="_Toc382318384"/>
      <w:bookmarkStart w:id="28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25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26"/>
      <w:bookmarkEnd w:id="27"/>
      <w:bookmarkEnd w:id="28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326EB8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032" w:rsidRDefault="008E7032">
      <w:r>
        <w:separator/>
      </w:r>
    </w:p>
  </w:endnote>
  <w:endnote w:type="continuationSeparator" w:id="0">
    <w:p w:rsidR="008E7032" w:rsidRDefault="008E7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633249">
      <w:rPr>
        <w:noProof/>
        <w:kern w:val="0"/>
        <w:sz w:val="28"/>
      </w:rPr>
      <w:t>2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633249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032" w:rsidRDefault="008E7032">
      <w:r>
        <w:separator/>
      </w:r>
    </w:p>
  </w:footnote>
  <w:footnote w:type="continuationSeparator" w:id="0">
    <w:p w:rsidR="008E7032" w:rsidRDefault="008E7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7EDB25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47056F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26FCE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3889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33249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032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86B94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57FA5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09DB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0BCA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396F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D20A72AF-E8D0-4769-BE94-B5708222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616687744"/>
        <c:axId val="616687184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3624736"/>
        <c:axId val="413624176"/>
      </c:lineChart>
      <c:catAx>
        <c:axId val="6166877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6687184"/>
        <c:crosses val="autoZero"/>
        <c:auto val="1"/>
        <c:lblAlgn val="ctr"/>
        <c:lblOffset val="100"/>
        <c:noMultiLvlLbl val="0"/>
      </c:catAx>
      <c:valAx>
        <c:axId val="616687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6687744"/>
        <c:crosses val="autoZero"/>
        <c:crossBetween val="between"/>
      </c:valAx>
      <c:valAx>
        <c:axId val="41362417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3624736"/>
        <c:crosses val="max"/>
        <c:crossBetween val="between"/>
      </c:valAx>
      <c:catAx>
        <c:axId val="413624736"/>
        <c:scaling>
          <c:orientation val="minMax"/>
        </c:scaling>
        <c:delete val="1"/>
        <c:axPos val="b"/>
        <c:majorTickMark val="none"/>
        <c:minorTickMark val="none"/>
        <c:tickLblPos val="nextTo"/>
        <c:crossAx val="41362417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13692832"/>
        <c:axId val="417099296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7100416"/>
        <c:axId val="417099856"/>
      </c:lineChart>
      <c:catAx>
        <c:axId val="613692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7099296"/>
        <c:crosses val="autoZero"/>
        <c:auto val="1"/>
        <c:lblAlgn val="ctr"/>
        <c:lblOffset val="100"/>
        <c:noMultiLvlLbl val="0"/>
      </c:catAx>
      <c:valAx>
        <c:axId val="41709929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3692832"/>
        <c:crosses val="autoZero"/>
        <c:crossBetween val="between"/>
      </c:valAx>
      <c:valAx>
        <c:axId val="417099856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7100416"/>
        <c:crosses val="max"/>
        <c:crossBetween val="between"/>
      </c:valAx>
      <c:catAx>
        <c:axId val="417100416"/>
        <c:scaling>
          <c:orientation val="minMax"/>
        </c:scaling>
        <c:delete val="1"/>
        <c:axPos val="b"/>
        <c:majorTickMark val="none"/>
        <c:minorTickMark val="none"/>
        <c:tickLblPos val="nextTo"/>
        <c:crossAx val="41709985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13573488"/>
        <c:axId val="613574048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109552"/>
        <c:axId val="190108992"/>
      </c:lineChart>
      <c:catAx>
        <c:axId val="6135734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3574048"/>
        <c:crosses val="autoZero"/>
        <c:auto val="1"/>
        <c:lblAlgn val="ctr"/>
        <c:lblOffset val="100"/>
        <c:noMultiLvlLbl val="0"/>
      </c:catAx>
      <c:valAx>
        <c:axId val="61357404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3573488"/>
        <c:crosses val="autoZero"/>
        <c:crossBetween val="between"/>
      </c:valAx>
      <c:valAx>
        <c:axId val="19010899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0109552"/>
        <c:crosses val="max"/>
        <c:crossBetween val="between"/>
      </c:valAx>
      <c:catAx>
        <c:axId val="190109552"/>
        <c:scaling>
          <c:orientation val="minMax"/>
        </c:scaling>
        <c:delete val="1"/>
        <c:axPos val="b"/>
        <c:majorTickMark val="none"/>
        <c:minorTickMark val="none"/>
        <c:tickLblPos val="nextTo"/>
        <c:crossAx val="19010899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4044928"/>
        <c:axId val="274045488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4560272"/>
        <c:axId val="274046048"/>
      </c:lineChart>
      <c:catAx>
        <c:axId val="274044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045488"/>
        <c:crosses val="autoZero"/>
        <c:auto val="1"/>
        <c:lblAlgn val="ctr"/>
        <c:lblOffset val="100"/>
        <c:noMultiLvlLbl val="0"/>
      </c:catAx>
      <c:valAx>
        <c:axId val="27404548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044928"/>
        <c:crosses val="autoZero"/>
        <c:crossBetween val="between"/>
      </c:valAx>
      <c:valAx>
        <c:axId val="274046048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560272"/>
        <c:crosses val="max"/>
        <c:crossBetween val="between"/>
      </c:valAx>
      <c:catAx>
        <c:axId val="414560272"/>
        <c:scaling>
          <c:orientation val="minMax"/>
        </c:scaling>
        <c:delete val="1"/>
        <c:axPos val="b"/>
        <c:majorTickMark val="none"/>
        <c:minorTickMark val="none"/>
        <c:tickLblPos val="nextTo"/>
        <c:crossAx val="27404604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525EA-DE6E-44BE-876D-A375D0926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6</TotalTime>
  <Pages>14</Pages>
  <Words>1452</Words>
  <Characters>1671</Characters>
  <Application>Microsoft Office Word</Application>
  <DocSecurity>0</DocSecurity>
  <Lines>128</Lines>
  <Paragraphs>120</Paragraphs>
  <ScaleCrop>false</ScaleCrop>
  <Company>浙江省气象局</Company>
  <LinksUpToDate>false</LinksUpToDate>
  <CharactersWithSpaces>3003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Feng</dc:creator>
  <cp:lastModifiedBy>ZHU F</cp:lastModifiedBy>
  <cp:revision>7</cp:revision>
  <cp:lastPrinted>2011-02-23T07:21:00Z</cp:lastPrinted>
  <dcterms:created xsi:type="dcterms:W3CDTF">2016-08-02T08:58:00Z</dcterms:created>
  <dcterms:modified xsi:type="dcterms:W3CDTF">2017-02-15T01:46:00Z</dcterms:modified>
</cp:coreProperties>
</file>