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282" w:rsidRPr="00A73282" w:rsidRDefault="00A73282" w:rsidP="00A73282">
      <w:pPr>
        <w:jc w:val="center"/>
        <w:rPr>
          <w:b/>
          <w:bCs/>
          <w:smallCaps/>
          <w:sz w:val="32"/>
          <w:szCs w:val="32"/>
        </w:rPr>
      </w:pPr>
      <w:r w:rsidRPr="00A73282">
        <w:rPr>
          <w:b/>
          <w:bCs/>
          <w:smallCaps/>
          <w:sz w:val="32"/>
          <w:szCs w:val="32"/>
        </w:rPr>
        <w:t xml:space="preserve">Project </w:t>
      </w:r>
      <w:proofErr w:type="spellStart"/>
      <w:r w:rsidRPr="00A73282">
        <w:rPr>
          <w:b/>
          <w:bCs/>
          <w:smallCaps/>
          <w:sz w:val="32"/>
          <w:szCs w:val="32"/>
        </w:rPr>
        <w:t>Timer</w:t>
      </w:r>
      <w:proofErr w:type="spellEnd"/>
      <w:r w:rsidR="005F1B01">
        <w:rPr>
          <w:b/>
          <w:bCs/>
          <w:smallCaps/>
          <w:sz w:val="32"/>
          <w:szCs w:val="32"/>
        </w:rPr>
        <w:t xml:space="preserve"> 0.7.2.0</w:t>
      </w:r>
    </w:p>
    <w:p w:rsidR="001215D3" w:rsidRDefault="009652EB">
      <w:r>
        <w:t xml:space="preserve">Project </w:t>
      </w:r>
      <w:proofErr w:type="spellStart"/>
      <w:r>
        <w:t>Timer</w:t>
      </w:r>
      <w:proofErr w:type="spellEnd"/>
      <w:r>
        <w:t xml:space="preserve"> dient zur Auswertung und Erfassung von Arbeitszeiten anhand von Eventlogeinträgen. Das Windows Event</w:t>
      </w:r>
      <w:r w:rsidR="00A73282">
        <w:t xml:space="preserve"> L</w:t>
      </w:r>
      <w:r>
        <w:t xml:space="preserve">og wird nach Einträgen mit den </w:t>
      </w:r>
      <w:proofErr w:type="spellStart"/>
      <w:r>
        <w:t>ID’s</w:t>
      </w:r>
      <w:proofErr w:type="spellEnd"/>
      <w:r>
        <w:t xml:space="preserve"> 6006 und 6009 untersucht. Für jeden Tag, an dem mindestens ein Eintrag der ID 6006 oder 6009 existiert wird ein Tabelleneintrag angelegt und die Industriezeiten werden berechnet.</w:t>
      </w:r>
      <w:r w:rsidR="00033315">
        <w:t xml:space="preserve"> Ist die Option „</w:t>
      </w:r>
      <w:r w:rsidR="00033315" w:rsidRPr="005F1B01">
        <w:rPr>
          <w:b/>
        </w:rPr>
        <w:t>Zeige leere Tage</w:t>
      </w:r>
      <w:r w:rsidR="00033315">
        <w:t>“ aktiv, so werden auch Tage angezeigt, zu denen kein Event Log Eintrag erfasst wurde. Wochenenden sind hierbei grau hinterlegt.</w:t>
      </w:r>
      <w:r w:rsidR="005F1B01">
        <w:t xml:space="preserve"> Ist die Option </w:t>
      </w:r>
      <w:r w:rsidR="005F1B01" w:rsidRPr="00033315">
        <w:t>„</w:t>
      </w:r>
      <w:r w:rsidR="005F1B01" w:rsidRPr="005F1B01">
        <w:rPr>
          <w:b/>
        </w:rPr>
        <w:t>Arbeits- und Pausenzeiten evaluieren</w:t>
      </w:r>
      <w:r w:rsidR="005F1B01" w:rsidRPr="00033315">
        <w:t>“</w:t>
      </w:r>
      <w:r w:rsidR="005F1B01">
        <w:t xml:space="preserve"> aktiviert so werden aktuell gültige Arbeitszeitregelungen evaluiert.</w:t>
      </w:r>
    </w:p>
    <w:p w:rsidR="00033315" w:rsidRDefault="00033315" w:rsidP="00033315">
      <w:pPr>
        <w:ind w:left="1416" w:hanging="1416"/>
        <w:jc w:val="center"/>
        <w:rPr>
          <w:b/>
          <w:bCs/>
          <w:smallCaps/>
          <w:sz w:val="32"/>
          <w:szCs w:val="32"/>
        </w:rPr>
      </w:pPr>
      <w:r>
        <w:rPr>
          <w:b/>
          <w:bCs/>
          <w:smallCaps/>
          <w:sz w:val="32"/>
          <w:szCs w:val="32"/>
        </w:rPr>
        <w:t>Bedienung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6072"/>
      </w:tblGrid>
      <w:tr w:rsidR="00B938CE" w:rsidTr="00033315">
        <w:tc>
          <w:tcPr>
            <w:tcW w:w="1809" w:type="dxa"/>
          </w:tcPr>
          <w:p w:rsidR="00B938CE" w:rsidRDefault="00B938CE" w:rsidP="00033315">
            <w:r w:rsidRPr="00B938CE">
              <w:rPr>
                <w:b/>
                <w:noProof/>
                <w:lang w:eastAsia="de-DE"/>
              </w:rPr>
              <w:drawing>
                <wp:anchor distT="0" distB="0" distL="114300" distR="114300" simplePos="0" relativeHeight="251658240" behindDoc="0" locked="0" layoutInCell="1" allowOverlap="1" wp14:anchorId="5B72D77D" wp14:editId="5FC1B857">
                  <wp:simplePos x="0" y="0"/>
                  <wp:positionH relativeFrom="margin">
                    <wp:align>left</wp:align>
                  </wp:positionH>
                  <wp:positionV relativeFrom="margin">
                    <wp:align>center</wp:align>
                  </wp:positionV>
                  <wp:extent cx="953770" cy="38100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53770" cy="381000"/>
                          </a:xfrm>
                          <a:prstGeom prst="rect">
                            <a:avLst/>
                          </a:prstGeom>
                        </pic:spPr>
                      </pic:pic>
                    </a:graphicData>
                  </a:graphic>
                </wp:anchor>
              </w:drawing>
            </w:r>
          </w:p>
        </w:tc>
        <w:tc>
          <w:tcPr>
            <w:tcW w:w="7403" w:type="dxa"/>
          </w:tcPr>
          <w:p w:rsidR="00B938CE" w:rsidRDefault="00B938CE" w:rsidP="00B938CE">
            <w:r>
              <w:t>Holt alle Einträge aus dem Windows Event Log und legt für jeden Tag, an dem mindestens ein Eintrag mit der ID 6006 oder 6009 existiert einen Tabelleneintrag an. Das Update kann bis zu 60 Sekunden dauern. Die Eventlogeinträge werden lokal gespeichert und beim Programmstart wieder geladen, so dass ein Update nur nötig ist, um neue Eventlogeinträge aus dem Windows Event Log zu holen.</w:t>
            </w:r>
          </w:p>
          <w:p w:rsidR="00B938CE" w:rsidRDefault="00B938CE"/>
        </w:tc>
      </w:tr>
      <w:tr w:rsidR="00B938CE" w:rsidTr="00033315">
        <w:tc>
          <w:tcPr>
            <w:tcW w:w="1809" w:type="dxa"/>
          </w:tcPr>
          <w:p w:rsidR="00B938CE" w:rsidRDefault="00B938CE" w:rsidP="00033315">
            <w:r w:rsidRPr="00B938CE">
              <w:rPr>
                <w:noProof/>
                <w:lang w:eastAsia="de-DE"/>
              </w:rPr>
              <w:drawing>
                <wp:anchor distT="0" distB="0" distL="114300" distR="114300" simplePos="0" relativeHeight="251659264" behindDoc="0" locked="0" layoutInCell="1" allowOverlap="1" wp14:anchorId="62F24F2D" wp14:editId="04D4565B">
                  <wp:simplePos x="0" y="0"/>
                  <wp:positionH relativeFrom="margin">
                    <wp:align>left</wp:align>
                  </wp:positionH>
                  <wp:positionV relativeFrom="margin">
                    <wp:align>center</wp:align>
                  </wp:positionV>
                  <wp:extent cx="952500" cy="3810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52500" cy="381000"/>
                          </a:xfrm>
                          <a:prstGeom prst="rect">
                            <a:avLst/>
                          </a:prstGeom>
                        </pic:spPr>
                      </pic:pic>
                    </a:graphicData>
                  </a:graphic>
                </wp:anchor>
              </w:drawing>
            </w:r>
          </w:p>
        </w:tc>
        <w:tc>
          <w:tcPr>
            <w:tcW w:w="7403" w:type="dxa"/>
          </w:tcPr>
          <w:p w:rsidR="005F1B01" w:rsidRDefault="005F1B01" w:rsidP="005F1B01">
            <w:r>
              <w:t>Zeigt diese Hilfe an.</w:t>
            </w:r>
          </w:p>
          <w:p w:rsidR="00B938CE" w:rsidRDefault="00B938CE" w:rsidP="005F1B01"/>
          <w:p w:rsidR="005F1B01" w:rsidRDefault="005F1B01" w:rsidP="005F1B01"/>
        </w:tc>
      </w:tr>
      <w:tr w:rsidR="00B938CE" w:rsidTr="00033315">
        <w:tc>
          <w:tcPr>
            <w:tcW w:w="1809" w:type="dxa"/>
          </w:tcPr>
          <w:p w:rsidR="00B938CE" w:rsidRDefault="00B938CE" w:rsidP="00033315">
            <w:r w:rsidRPr="00B938CE">
              <w:rPr>
                <w:noProof/>
                <w:lang w:eastAsia="de-DE"/>
              </w:rPr>
              <w:drawing>
                <wp:inline distT="0" distB="0" distL="0" distR="0" wp14:anchorId="1075F642" wp14:editId="187507E3">
                  <wp:extent cx="952633" cy="381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52633" cy="381053"/>
                          </a:xfrm>
                          <a:prstGeom prst="rect">
                            <a:avLst/>
                          </a:prstGeom>
                        </pic:spPr>
                      </pic:pic>
                    </a:graphicData>
                  </a:graphic>
                </wp:inline>
              </w:drawing>
            </w:r>
          </w:p>
        </w:tc>
        <w:tc>
          <w:tcPr>
            <w:tcW w:w="7403" w:type="dxa"/>
          </w:tcPr>
          <w:p w:rsidR="005F1B01" w:rsidRDefault="005F1B01" w:rsidP="005F1B01">
            <w:r>
              <w:t xml:space="preserve">Exportiert die aktuell sichtbaren Tabelleneinträge als Microsoft Excel Datei im </w:t>
            </w:r>
            <w:proofErr w:type="spellStart"/>
            <w:r>
              <w:t>OpenXML</w:t>
            </w:r>
            <w:proofErr w:type="spellEnd"/>
            <w:r>
              <w:t xml:space="preserve"> Format. Falls auf dem Computer Excel installiert ist, wird die Datei direkt geöffnet.</w:t>
            </w:r>
          </w:p>
          <w:p w:rsidR="00033315" w:rsidRDefault="00033315"/>
        </w:tc>
      </w:tr>
      <w:tr w:rsidR="00033315" w:rsidTr="00033315">
        <w:tc>
          <w:tcPr>
            <w:tcW w:w="1809" w:type="dxa"/>
          </w:tcPr>
          <w:p w:rsidR="00033315" w:rsidRPr="00B938CE" w:rsidRDefault="00033315" w:rsidP="00033315">
            <w:r w:rsidRPr="00033315">
              <w:rPr>
                <w:noProof/>
                <w:lang w:eastAsia="de-DE"/>
              </w:rPr>
              <w:drawing>
                <wp:inline distT="0" distB="0" distL="0" distR="0" wp14:anchorId="06D44D3E" wp14:editId="19A40085">
                  <wp:extent cx="1876687" cy="247685"/>
                  <wp:effectExtent l="19050" t="19050" r="9525"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76687" cy="247685"/>
                          </a:xfrm>
                          <a:prstGeom prst="rect">
                            <a:avLst/>
                          </a:prstGeom>
                          <a:ln>
                            <a:solidFill>
                              <a:schemeClr val="tx1"/>
                            </a:solidFill>
                          </a:ln>
                        </pic:spPr>
                      </pic:pic>
                    </a:graphicData>
                  </a:graphic>
                </wp:inline>
              </w:drawing>
            </w:r>
          </w:p>
        </w:tc>
        <w:tc>
          <w:tcPr>
            <w:tcW w:w="7403" w:type="dxa"/>
          </w:tcPr>
          <w:p w:rsidR="00033315" w:rsidRDefault="00033315">
            <w:r>
              <w:t>Legt den Startzeitpunkt des zu betrachtenden Zeitraums fest.</w:t>
            </w:r>
          </w:p>
        </w:tc>
      </w:tr>
      <w:tr w:rsidR="00033315" w:rsidTr="00033315">
        <w:tc>
          <w:tcPr>
            <w:tcW w:w="1809" w:type="dxa"/>
          </w:tcPr>
          <w:p w:rsidR="00033315" w:rsidRPr="00033315" w:rsidRDefault="00033315" w:rsidP="00033315">
            <w:r w:rsidRPr="00033315">
              <w:rPr>
                <w:noProof/>
                <w:lang w:eastAsia="de-DE"/>
              </w:rPr>
              <w:drawing>
                <wp:inline distT="0" distB="0" distL="0" distR="0" wp14:anchorId="08D43614" wp14:editId="502B49FF">
                  <wp:extent cx="1781424" cy="247685"/>
                  <wp:effectExtent l="19050" t="19050" r="9525" b="190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1424" cy="247685"/>
                          </a:xfrm>
                          <a:prstGeom prst="rect">
                            <a:avLst/>
                          </a:prstGeom>
                          <a:ln>
                            <a:solidFill>
                              <a:schemeClr val="tx1"/>
                            </a:solidFill>
                          </a:ln>
                        </pic:spPr>
                      </pic:pic>
                    </a:graphicData>
                  </a:graphic>
                </wp:inline>
              </w:drawing>
            </w:r>
          </w:p>
        </w:tc>
        <w:tc>
          <w:tcPr>
            <w:tcW w:w="7403" w:type="dxa"/>
          </w:tcPr>
          <w:p w:rsidR="00033315" w:rsidRDefault="00C27173">
            <w:r>
              <w:t>Legt den Endzeitpunkt des zu betrachtenden Zeitraums fest.</w:t>
            </w:r>
          </w:p>
        </w:tc>
      </w:tr>
    </w:tbl>
    <w:p w:rsidR="00B938CE" w:rsidRDefault="00B938CE"/>
    <w:p w:rsidR="00033315" w:rsidRDefault="00033315" w:rsidP="00033315">
      <w:pPr>
        <w:ind w:left="1416" w:hanging="1416"/>
        <w:jc w:val="center"/>
        <w:rPr>
          <w:b/>
          <w:bCs/>
          <w:smallCaps/>
          <w:sz w:val="32"/>
          <w:szCs w:val="32"/>
        </w:rPr>
      </w:pPr>
      <w:r>
        <w:rPr>
          <w:b/>
          <w:bCs/>
          <w:smallCaps/>
          <w:sz w:val="32"/>
          <w:szCs w:val="32"/>
        </w:rPr>
        <w:t>Einstellungen</w:t>
      </w:r>
    </w:p>
    <w:p w:rsidR="00033315" w:rsidRDefault="00033315" w:rsidP="00033315">
      <w:pPr>
        <w:ind w:firstLine="2"/>
      </w:pPr>
      <w:r w:rsidRPr="00033315">
        <w:t>Mit „</w:t>
      </w:r>
      <w:r w:rsidRPr="005F1B01">
        <w:rPr>
          <w:b/>
        </w:rPr>
        <w:t>Zeige leere Tage</w:t>
      </w:r>
      <w:r w:rsidRPr="00033315">
        <w:t xml:space="preserve">“ können die nicht erfassten Tage des gewählten Zeitraums ein- und </w:t>
      </w:r>
      <w:r>
        <w:t>a</w:t>
      </w:r>
      <w:r w:rsidRPr="00033315">
        <w:t>usgeblendet werden. Sind die nicht Erfassten Tagen eingeblendet werden sie auch in den Excel Report aufgenommen.</w:t>
      </w:r>
    </w:p>
    <w:p w:rsidR="005F1B01" w:rsidRDefault="005F1B01" w:rsidP="005F1B01">
      <w:pPr>
        <w:ind w:firstLine="2"/>
      </w:pPr>
      <w:r w:rsidRPr="00033315">
        <w:t>Mit „</w:t>
      </w:r>
      <w:r w:rsidRPr="005F1B01">
        <w:rPr>
          <w:b/>
        </w:rPr>
        <w:t>Arbeits- und Pausenzeiten evaluieren</w:t>
      </w:r>
      <w:r w:rsidRPr="00033315">
        <w:t xml:space="preserve">“ können </w:t>
      </w:r>
      <w:r>
        <w:t>werden folgende Regeln evaluiert:</w:t>
      </w:r>
    </w:p>
    <w:p w:rsidR="005F1B01" w:rsidRDefault="005F1B01" w:rsidP="005F1B01">
      <w:pPr>
        <w:pStyle w:val="Listenabsatz"/>
        <w:numPr>
          <w:ilvl w:val="0"/>
          <w:numId w:val="2"/>
        </w:numPr>
      </w:pPr>
      <w:r>
        <w:t>Bei einer täglichen Arbeitszeit von mind. 6 und höchsten 9 Stunden beträgt die Pausenzeit mindestens 30 Minuten.</w:t>
      </w:r>
    </w:p>
    <w:p w:rsidR="005F1B01" w:rsidRDefault="005F1B01" w:rsidP="005F1B01">
      <w:pPr>
        <w:pStyle w:val="Listenabsatz"/>
        <w:numPr>
          <w:ilvl w:val="0"/>
          <w:numId w:val="2"/>
        </w:numPr>
      </w:pPr>
      <w:r>
        <w:t xml:space="preserve">Bei einer täglichen Arbeitszeit </w:t>
      </w:r>
      <w:r>
        <w:t>mehr als</w:t>
      </w:r>
      <w:r>
        <w:t xml:space="preserve"> 9 Stunden beträgt die Pausenzeit mindestens </w:t>
      </w:r>
      <w:r>
        <w:t>45</w:t>
      </w:r>
      <w:r>
        <w:t xml:space="preserve"> Minuten</w:t>
      </w:r>
      <w:r>
        <w:t>.</w:t>
      </w:r>
    </w:p>
    <w:p w:rsidR="005F1B01" w:rsidRDefault="005F1B01" w:rsidP="005F1B01">
      <w:pPr>
        <w:pStyle w:val="Listenabsatz"/>
        <w:numPr>
          <w:ilvl w:val="0"/>
          <w:numId w:val="2"/>
        </w:numPr>
      </w:pPr>
      <w:r>
        <w:t>Die tägliche Arbeitszeit abzgl. Pausenzeiten darf 10 Stunden nicht überschreiten</w:t>
      </w:r>
      <w:r>
        <w:t>.</w:t>
      </w:r>
    </w:p>
    <w:p w:rsidR="005F1B01" w:rsidRDefault="005F1B01" w:rsidP="005F1B01">
      <w:pPr>
        <w:ind w:firstLine="2"/>
      </w:pPr>
      <w:r>
        <w:t xml:space="preserve">Sollte eine der </w:t>
      </w:r>
      <w:proofErr w:type="spellStart"/>
      <w:r>
        <w:t>og</w:t>
      </w:r>
      <w:proofErr w:type="spellEnd"/>
      <w:r>
        <w:t>. Regeln verletzt werden, so wird die Zeile, in der die Regelverletzung stattfand markiert.</w:t>
      </w:r>
    </w:p>
    <w:p w:rsidR="005F1B01" w:rsidRDefault="005F1B01" w:rsidP="005F1B01">
      <w:pPr>
        <w:ind w:firstLine="2"/>
      </w:pPr>
    </w:p>
    <w:p w:rsidR="005F1B01" w:rsidRDefault="005F1B01" w:rsidP="00033315">
      <w:pPr>
        <w:ind w:firstLine="2"/>
      </w:pPr>
    </w:p>
    <w:p w:rsidR="004E22D9" w:rsidRPr="00A73282" w:rsidRDefault="00EC22F9" w:rsidP="00B938CE">
      <w:pPr>
        <w:ind w:left="1416" w:hanging="1416"/>
        <w:jc w:val="center"/>
        <w:rPr>
          <w:b/>
          <w:bCs/>
          <w:smallCaps/>
          <w:sz w:val="32"/>
          <w:szCs w:val="32"/>
        </w:rPr>
      </w:pPr>
      <w:r w:rsidRPr="00A73282">
        <w:rPr>
          <w:b/>
          <w:bCs/>
          <w:smallCaps/>
          <w:sz w:val="32"/>
          <w:szCs w:val="32"/>
        </w:rPr>
        <w:t>H</w:t>
      </w:r>
      <w:r w:rsidR="00A73282">
        <w:rPr>
          <w:b/>
          <w:bCs/>
          <w:smallCaps/>
          <w:sz w:val="32"/>
          <w:szCs w:val="32"/>
        </w:rPr>
        <w:t>inweise</w:t>
      </w:r>
    </w:p>
    <w:p w:rsidR="004E22D9" w:rsidRDefault="004E22D9" w:rsidP="004E22D9">
      <w:pPr>
        <w:pStyle w:val="Listenabsatz"/>
        <w:numPr>
          <w:ilvl w:val="0"/>
          <w:numId w:val="1"/>
        </w:numPr>
      </w:pPr>
      <w:r>
        <w:t xml:space="preserve">Es werden nur Tage erfasst, bei denen mindestens ein Eintrag der ID 6006 oder 6009 im </w:t>
      </w:r>
      <w:r w:rsidR="00A73282">
        <w:t xml:space="preserve">Windows </w:t>
      </w:r>
      <w:r>
        <w:t>Event</w:t>
      </w:r>
      <w:r w:rsidR="00A73282">
        <w:t xml:space="preserve"> L</w:t>
      </w:r>
      <w:r>
        <w:t>og existiert.</w:t>
      </w:r>
      <w:r w:rsidR="00EC22F9">
        <w:t xml:space="preserve"> Eine manuelle </w:t>
      </w:r>
      <w:proofErr w:type="spellStart"/>
      <w:r w:rsidR="00EC22F9">
        <w:t>Nacherfasssung</w:t>
      </w:r>
      <w:proofErr w:type="spellEnd"/>
      <w:r w:rsidR="00EC22F9">
        <w:t xml:space="preserve"> ganzer Tage ist nicht möglich.</w:t>
      </w:r>
    </w:p>
    <w:p w:rsidR="004E22D9" w:rsidRDefault="004E22D9" w:rsidP="004E22D9">
      <w:pPr>
        <w:pStyle w:val="Listenabsatz"/>
        <w:numPr>
          <w:ilvl w:val="0"/>
          <w:numId w:val="1"/>
        </w:numPr>
      </w:pPr>
      <w:r>
        <w:t xml:space="preserve">Für die Berechnung </w:t>
      </w:r>
      <w:proofErr w:type="gramStart"/>
      <w:r>
        <w:t>zählt</w:t>
      </w:r>
      <w:proofErr w:type="gramEnd"/>
      <w:r>
        <w:t xml:space="preserve"> jeweils nur der erste Eintrag mit der ID 6009 und der letzte Eintrag mit der ID 6006. Neustarts oder Pausen zwischen dem ersten und dem letzten Eintrag werden ignoriert.</w:t>
      </w:r>
    </w:p>
    <w:p w:rsidR="004E22D9" w:rsidRDefault="00EC22F9" w:rsidP="004E22D9">
      <w:pPr>
        <w:pStyle w:val="Listenabsatz"/>
        <w:numPr>
          <w:ilvl w:val="0"/>
          <w:numId w:val="1"/>
        </w:numPr>
      </w:pPr>
      <w:r>
        <w:t xml:space="preserve">Wurde kein Eintrag mit der ID 6009 für den Tag erfasst, kann die Zeit </w:t>
      </w:r>
      <w:r w:rsidRPr="00D52730">
        <w:rPr>
          <w:b/>
        </w:rPr>
        <w:t>BEGINN (BERATER)</w:t>
      </w:r>
      <w:r>
        <w:t xml:space="preserve"> manuell erfasst werden.</w:t>
      </w:r>
    </w:p>
    <w:p w:rsidR="00EC22F9" w:rsidRPr="009652EB" w:rsidRDefault="00EC22F9" w:rsidP="00EC22F9">
      <w:pPr>
        <w:pStyle w:val="Listenabsatz"/>
        <w:numPr>
          <w:ilvl w:val="0"/>
          <w:numId w:val="1"/>
        </w:numPr>
      </w:pPr>
      <w:r>
        <w:t xml:space="preserve">Wurde kein Eintrag mit der ID 6006 für den Tag erfasst, kann die Zeit </w:t>
      </w:r>
      <w:r w:rsidRPr="00D52730">
        <w:rPr>
          <w:b/>
        </w:rPr>
        <w:t xml:space="preserve">ENDE (BERATER) </w:t>
      </w:r>
      <w:r>
        <w:t>manuell erfasst werden.</w:t>
      </w:r>
    </w:p>
    <w:p w:rsidR="00EC22F9" w:rsidRDefault="00EC22F9" w:rsidP="004E22D9">
      <w:pPr>
        <w:pStyle w:val="Listenabsatz"/>
        <w:numPr>
          <w:ilvl w:val="0"/>
          <w:numId w:val="1"/>
        </w:numPr>
      </w:pPr>
      <w:r>
        <w:t>Die Pausenzeiten werden automatisch mit 45 Minuten erfasst, können jedoch manuell geändert werden.</w:t>
      </w:r>
    </w:p>
    <w:p w:rsidR="00EC22F9" w:rsidRDefault="00EC22F9" w:rsidP="004E22D9">
      <w:pPr>
        <w:pStyle w:val="Listenabsatz"/>
        <w:numPr>
          <w:ilvl w:val="0"/>
          <w:numId w:val="1"/>
        </w:numPr>
      </w:pPr>
      <w:r>
        <w:t>Manuell erfasste Zeiten werden auf jeweils 15 Minuten gerundet.</w:t>
      </w:r>
    </w:p>
    <w:p w:rsidR="00EC22F9" w:rsidRDefault="00D52730" w:rsidP="004E22D9">
      <w:pPr>
        <w:pStyle w:val="Listenabsatz"/>
        <w:numPr>
          <w:ilvl w:val="0"/>
          <w:numId w:val="1"/>
        </w:numPr>
      </w:pPr>
      <w:r>
        <w:t xml:space="preserve">Bitte beachten Sie, dass der Einsatz von Project </w:t>
      </w:r>
      <w:proofErr w:type="spellStart"/>
      <w:r>
        <w:t>Timer</w:t>
      </w:r>
      <w:proofErr w:type="spellEnd"/>
      <w:r>
        <w:t xml:space="preserve"> zur Erfassung von Computerzeiten an anderen als selbstgenutzten Computern der Zustimmung aller Nutzer der jeweiligen Computer bedarf. Die Auswertung von Computerzeiten anderer Benutzer kann ein Verstoß gegen datenschutzrechtliche Bestimmungen sein.</w:t>
      </w:r>
    </w:p>
    <w:p w:rsidR="00C27173" w:rsidRDefault="00C27173" w:rsidP="00C27173">
      <w:pPr>
        <w:pStyle w:val="Listenabsatz"/>
      </w:pPr>
    </w:p>
    <w:p w:rsidR="00C27173" w:rsidRPr="00A73282" w:rsidRDefault="00C27173" w:rsidP="00C27173">
      <w:pPr>
        <w:ind w:left="1416" w:hanging="1416"/>
        <w:jc w:val="center"/>
        <w:rPr>
          <w:b/>
          <w:bCs/>
          <w:smallCaps/>
          <w:sz w:val="32"/>
          <w:szCs w:val="32"/>
        </w:rPr>
      </w:pPr>
      <w:r>
        <w:rPr>
          <w:b/>
          <w:bCs/>
          <w:smallCaps/>
          <w:sz w:val="32"/>
          <w:szCs w:val="32"/>
        </w:rPr>
        <w:t>Disclaimer</w:t>
      </w:r>
    </w:p>
    <w:p w:rsidR="00D52730" w:rsidRDefault="00EC22F9" w:rsidP="00D52730">
      <w:r>
        <w:t>Diese Software wird ohne jede Gewähr auf Richtigkeit und Vollständigkeit zur Verfügung gestellt.</w:t>
      </w:r>
      <w:r w:rsidR="00D52730">
        <w:t xml:space="preserve"> Der Autor haftet weder für mittelbare noch für unmittelbare Schäden und Datenverluste, welche durch die Installation und Nutzung von Project </w:t>
      </w:r>
      <w:proofErr w:type="spellStart"/>
      <w:r w:rsidR="00D52730">
        <w:t>Timer</w:t>
      </w:r>
      <w:proofErr w:type="spellEnd"/>
      <w:r w:rsidR="00D52730">
        <w:t xml:space="preserve"> entstehen. Die Weitergabe der erfassten Daten bedarf die Zustimmung aller beteiligten Nutzer. Eine kommerzielle Nutzung sowie die Weitergabe und der Verkauf </w:t>
      </w:r>
      <w:r w:rsidR="00A73282">
        <w:t>sind</w:t>
      </w:r>
      <w:r w:rsidR="00D52730">
        <w:t xml:space="preserve"> ohne vorherige Zustimmung des Autors nicht gestattet. Durch die Nutzung der Software erwirbt der Nutzer keinerlei Ansprüche auf aktualisierte Versionen oder Fehlerbehebungen.</w:t>
      </w:r>
    </w:p>
    <w:p w:rsidR="00A73282" w:rsidRDefault="00A73282" w:rsidP="00A73282">
      <w:pPr>
        <w:jc w:val="right"/>
      </w:pPr>
    </w:p>
    <w:p w:rsidR="00A73282" w:rsidRPr="00A73282" w:rsidRDefault="00A73282" w:rsidP="00A73282">
      <w:pPr>
        <w:jc w:val="right"/>
        <w:rPr>
          <w:i/>
        </w:rPr>
      </w:pPr>
      <w:r w:rsidRPr="00A73282">
        <w:rPr>
          <w:i/>
        </w:rPr>
        <w:t xml:space="preserve">Bad Homburg, den </w:t>
      </w:r>
      <w:r w:rsidR="005F1B01">
        <w:rPr>
          <w:i/>
        </w:rPr>
        <w:t>26</w:t>
      </w:r>
      <w:r w:rsidRPr="00A73282">
        <w:rPr>
          <w:i/>
        </w:rPr>
        <w:t>.</w:t>
      </w:r>
      <w:r w:rsidR="005F1B01">
        <w:rPr>
          <w:i/>
        </w:rPr>
        <w:t>08</w:t>
      </w:r>
      <w:bookmarkStart w:id="0" w:name="_GoBack"/>
      <w:bookmarkEnd w:id="0"/>
      <w:r w:rsidRPr="00A73282">
        <w:rPr>
          <w:i/>
        </w:rPr>
        <w:t>.2018</w:t>
      </w:r>
    </w:p>
    <w:sectPr w:rsidR="00A73282" w:rsidRPr="00A732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CAD"/>
    <w:multiLevelType w:val="hybridMultilevel"/>
    <w:tmpl w:val="90F2F8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640131A"/>
    <w:multiLevelType w:val="hybridMultilevel"/>
    <w:tmpl w:val="00B6AA68"/>
    <w:lvl w:ilvl="0" w:tplc="04070001">
      <w:start w:val="1"/>
      <w:numFmt w:val="bullet"/>
      <w:lvlText w:val=""/>
      <w:lvlJc w:val="left"/>
      <w:pPr>
        <w:ind w:left="722" w:hanging="360"/>
      </w:pPr>
      <w:rPr>
        <w:rFonts w:ascii="Symbol" w:hAnsi="Symbol" w:hint="default"/>
      </w:rPr>
    </w:lvl>
    <w:lvl w:ilvl="1" w:tplc="04070003" w:tentative="1">
      <w:start w:val="1"/>
      <w:numFmt w:val="bullet"/>
      <w:lvlText w:val="o"/>
      <w:lvlJc w:val="left"/>
      <w:pPr>
        <w:ind w:left="1442" w:hanging="360"/>
      </w:pPr>
      <w:rPr>
        <w:rFonts w:ascii="Courier New" w:hAnsi="Courier New" w:cs="Courier New" w:hint="default"/>
      </w:rPr>
    </w:lvl>
    <w:lvl w:ilvl="2" w:tplc="04070005" w:tentative="1">
      <w:start w:val="1"/>
      <w:numFmt w:val="bullet"/>
      <w:lvlText w:val=""/>
      <w:lvlJc w:val="left"/>
      <w:pPr>
        <w:ind w:left="2162" w:hanging="360"/>
      </w:pPr>
      <w:rPr>
        <w:rFonts w:ascii="Wingdings" w:hAnsi="Wingdings" w:hint="default"/>
      </w:rPr>
    </w:lvl>
    <w:lvl w:ilvl="3" w:tplc="04070001" w:tentative="1">
      <w:start w:val="1"/>
      <w:numFmt w:val="bullet"/>
      <w:lvlText w:val=""/>
      <w:lvlJc w:val="left"/>
      <w:pPr>
        <w:ind w:left="2882" w:hanging="360"/>
      </w:pPr>
      <w:rPr>
        <w:rFonts w:ascii="Symbol" w:hAnsi="Symbol" w:hint="default"/>
      </w:rPr>
    </w:lvl>
    <w:lvl w:ilvl="4" w:tplc="04070003" w:tentative="1">
      <w:start w:val="1"/>
      <w:numFmt w:val="bullet"/>
      <w:lvlText w:val="o"/>
      <w:lvlJc w:val="left"/>
      <w:pPr>
        <w:ind w:left="3602" w:hanging="360"/>
      </w:pPr>
      <w:rPr>
        <w:rFonts w:ascii="Courier New" w:hAnsi="Courier New" w:cs="Courier New" w:hint="default"/>
      </w:rPr>
    </w:lvl>
    <w:lvl w:ilvl="5" w:tplc="04070005" w:tentative="1">
      <w:start w:val="1"/>
      <w:numFmt w:val="bullet"/>
      <w:lvlText w:val=""/>
      <w:lvlJc w:val="left"/>
      <w:pPr>
        <w:ind w:left="4322" w:hanging="360"/>
      </w:pPr>
      <w:rPr>
        <w:rFonts w:ascii="Wingdings" w:hAnsi="Wingdings" w:hint="default"/>
      </w:rPr>
    </w:lvl>
    <w:lvl w:ilvl="6" w:tplc="04070001" w:tentative="1">
      <w:start w:val="1"/>
      <w:numFmt w:val="bullet"/>
      <w:lvlText w:val=""/>
      <w:lvlJc w:val="left"/>
      <w:pPr>
        <w:ind w:left="5042" w:hanging="360"/>
      </w:pPr>
      <w:rPr>
        <w:rFonts w:ascii="Symbol" w:hAnsi="Symbol" w:hint="default"/>
      </w:rPr>
    </w:lvl>
    <w:lvl w:ilvl="7" w:tplc="04070003" w:tentative="1">
      <w:start w:val="1"/>
      <w:numFmt w:val="bullet"/>
      <w:lvlText w:val="o"/>
      <w:lvlJc w:val="left"/>
      <w:pPr>
        <w:ind w:left="5762" w:hanging="360"/>
      </w:pPr>
      <w:rPr>
        <w:rFonts w:ascii="Courier New" w:hAnsi="Courier New" w:cs="Courier New" w:hint="default"/>
      </w:rPr>
    </w:lvl>
    <w:lvl w:ilvl="8" w:tplc="04070005" w:tentative="1">
      <w:start w:val="1"/>
      <w:numFmt w:val="bullet"/>
      <w:lvlText w:val=""/>
      <w:lvlJc w:val="left"/>
      <w:pPr>
        <w:ind w:left="648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EB"/>
    <w:rsid w:val="00033315"/>
    <w:rsid w:val="000734D8"/>
    <w:rsid w:val="00221D3D"/>
    <w:rsid w:val="002B1D2F"/>
    <w:rsid w:val="004E22D9"/>
    <w:rsid w:val="005F1B01"/>
    <w:rsid w:val="009652EB"/>
    <w:rsid w:val="00A73282"/>
    <w:rsid w:val="00B938CE"/>
    <w:rsid w:val="00C27173"/>
    <w:rsid w:val="00D52730"/>
    <w:rsid w:val="00D926F9"/>
    <w:rsid w:val="00EC22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65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2E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E22D9"/>
    <w:pPr>
      <w:ind w:left="720"/>
      <w:contextualSpacing/>
    </w:pPr>
  </w:style>
  <w:style w:type="paragraph" w:styleId="Titel">
    <w:name w:val="Title"/>
    <w:basedOn w:val="Standard"/>
    <w:next w:val="Standard"/>
    <w:link w:val="TitelZchn"/>
    <w:uiPriority w:val="10"/>
    <w:qFormat/>
    <w:rsid w:val="00A73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3282"/>
    <w:rPr>
      <w:rFonts w:asciiTheme="majorHAnsi" w:eastAsiaTheme="majorEastAsia" w:hAnsiTheme="majorHAnsi" w:cstheme="majorBidi"/>
      <w:color w:val="17365D" w:themeColor="text2" w:themeShade="BF"/>
      <w:spacing w:val="5"/>
      <w:kern w:val="28"/>
      <w:sz w:val="52"/>
      <w:szCs w:val="52"/>
    </w:rPr>
  </w:style>
  <w:style w:type="character" w:styleId="Buchtitel">
    <w:name w:val="Book Title"/>
    <w:basedOn w:val="Absatz-Standardschriftart"/>
    <w:uiPriority w:val="33"/>
    <w:qFormat/>
    <w:rsid w:val="00A73282"/>
    <w:rPr>
      <w:b/>
      <w:bCs/>
      <w:smallCaps/>
      <w:spacing w:val="5"/>
    </w:rPr>
  </w:style>
  <w:style w:type="paragraph" w:styleId="Sprechblasentext">
    <w:name w:val="Balloon Text"/>
    <w:basedOn w:val="Standard"/>
    <w:link w:val="SprechblasentextZchn"/>
    <w:uiPriority w:val="99"/>
    <w:semiHidden/>
    <w:unhideWhenUsed/>
    <w:rsid w:val="00B938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38CE"/>
    <w:rPr>
      <w:rFonts w:ascii="Tahoma" w:hAnsi="Tahoma" w:cs="Tahoma"/>
      <w:sz w:val="16"/>
      <w:szCs w:val="16"/>
    </w:rPr>
  </w:style>
  <w:style w:type="table" w:styleId="Tabellenraster">
    <w:name w:val="Table Grid"/>
    <w:basedOn w:val="NormaleTabelle"/>
    <w:uiPriority w:val="59"/>
    <w:rsid w:val="00B9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65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2E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4E22D9"/>
    <w:pPr>
      <w:ind w:left="720"/>
      <w:contextualSpacing/>
    </w:pPr>
  </w:style>
  <w:style w:type="paragraph" w:styleId="Titel">
    <w:name w:val="Title"/>
    <w:basedOn w:val="Standard"/>
    <w:next w:val="Standard"/>
    <w:link w:val="TitelZchn"/>
    <w:uiPriority w:val="10"/>
    <w:qFormat/>
    <w:rsid w:val="00A732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3282"/>
    <w:rPr>
      <w:rFonts w:asciiTheme="majorHAnsi" w:eastAsiaTheme="majorEastAsia" w:hAnsiTheme="majorHAnsi" w:cstheme="majorBidi"/>
      <w:color w:val="17365D" w:themeColor="text2" w:themeShade="BF"/>
      <w:spacing w:val="5"/>
      <w:kern w:val="28"/>
      <w:sz w:val="52"/>
      <w:szCs w:val="52"/>
    </w:rPr>
  </w:style>
  <w:style w:type="character" w:styleId="Buchtitel">
    <w:name w:val="Book Title"/>
    <w:basedOn w:val="Absatz-Standardschriftart"/>
    <w:uiPriority w:val="33"/>
    <w:qFormat/>
    <w:rsid w:val="00A73282"/>
    <w:rPr>
      <w:b/>
      <w:bCs/>
      <w:smallCaps/>
      <w:spacing w:val="5"/>
    </w:rPr>
  </w:style>
  <w:style w:type="paragraph" w:styleId="Sprechblasentext">
    <w:name w:val="Balloon Text"/>
    <w:basedOn w:val="Standard"/>
    <w:link w:val="SprechblasentextZchn"/>
    <w:uiPriority w:val="99"/>
    <w:semiHidden/>
    <w:unhideWhenUsed/>
    <w:rsid w:val="00B938C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938CE"/>
    <w:rPr>
      <w:rFonts w:ascii="Tahoma" w:hAnsi="Tahoma" w:cs="Tahoma"/>
      <w:sz w:val="16"/>
      <w:szCs w:val="16"/>
    </w:rPr>
  </w:style>
  <w:style w:type="table" w:styleId="Tabellenraster">
    <w:name w:val="Table Grid"/>
    <w:basedOn w:val="NormaleTabelle"/>
    <w:uiPriority w:val="59"/>
    <w:rsid w:val="00B9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1E0405B5.dotm</Template>
  <TotalTime>0</TotalTime>
  <Pages>2</Pages>
  <Words>514</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Zweites Deutsches Fernsehen</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Winkler, Daniel (extern)</dc:creator>
  <cp:lastModifiedBy>Winkler, Daniel (extern)</cp:lastModifiedBy>
  <cp:revision>5</cp:revision>
  <dcterms:created xsi:type="dcterms:W3CDTF">2018-02-27T12:36:00Z</dcterms:created>
  <dcterms:modified xsi:type="dcterms:W3CDTF">2018-08-29T11:05:00Z</dcterms:modified>
</cp:coreProperties>
</file>