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 1. Pre-registered tests of H1 and H2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H1: ΔSWB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H1: ΔSWB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H2: Allocation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H2: Allocation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Similarity measure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Same gender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Age gap (z)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Same gender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Age gap (z)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Negative shock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-2.873***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-2.820***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(0.058)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(0.042)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Similarity (main)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-0.953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(0.063)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(0.031)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(1.967)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(0.977)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Similarity × Negative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0.108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-0.064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(0.084)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(0.041)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Shock-severity dummies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Observations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7,575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7,575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3,787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3,787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Participants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947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947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947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947</w:t>
            </w:r>
          </w:p>
        </w:tc>
      </w:tr>
    </w:tbl>
    <w:p>
      <w:r>
        <w:rPr>
          <w:rFonts w:ascii="Times New Roman" w:hAnsi="Times New Roman"/>
          <w:i/>
          <w:sz w:val="16"/>
        </w:rPr>
        <w:t>Notes: Columns 1–2 estimate H1 on judged life satisfaction (dependent variable ΔSWB); the coefficient of interest is Similarity × Negative. Columns 3–4 estimate H2 on the support allocation (dependent variable = amount of $100 to the target). Both H1 columns and both H2 columns use a common estimation sample. Cluster-robust standard errors (by participant) in parentheses. * p&lt;0.05, ** p&lt;0.01, *** p&lt;0.001.</w:t>
      </w:r>
    </w:p>
    <w:p>
      <w:r>
        <w:br w:type="page"/>
      </w:r>
    </w:p>
    <w:p>
      <w:r>
        <w:rPr>
          <w:rFonts w:ascii="Times New Roman" w:hAnsi="Times New Roman"/>
          <w:b/>
          <w:sz w:val="22"/>
        </w:rPr>
        <w:t>Table A2. Pre-registered test of H3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Similarity measure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Contextual-profile fixation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Shock-text fixation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Same gender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0.104 (0.095)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0.026 (0.117)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 gap (z)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-0.021 (0.048)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0.011 (0.060)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Observations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7,599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7,599</w:t>
            </w:r>
          </w:p>
        </w:tc>
      </w:tr>
    </w:tbl>
    <w:p>
      <w:r>
        <w:rPr>
          <w:rFonts w:ascii="Times New Roman" w:hAnsi="Times New Roman"/>
          <w:i/>
          <w:sz w:val="16"/>
        </w:rPr>
        <w:t>Notes: Each cell is the coefficient on the similarity measure from a regression of log fixation duration on the negative-shock indicator and the similarity measure; cluster-robust standard errors in parentheses. * p&lt;0.05, ** p&lt;0.01, *** p&lt;0.001.</w:t>
      </w:r>
    </w:p>
    <w:p>
      <w:r>
        <w:br w:type="page"/>
      </w:r>
    </w:p>
    <w:p>
      <w:r>
        <w:rPr>
          <w:rFonts w:ascii="Times New Roman" w:hAnsi="Times New Roman"/>
          <w:b/>
          <w:sz w:val="22"/>
        </w:rPr>
        <w:t>Table A3. Pre-registered test of H4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Same gender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Age gap (z)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Negative shock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-2.106***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-2.082***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(0.062)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(0.046)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Similarity (main)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(0.068)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(0.034)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Severe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0.618***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0.583***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(0.047)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(0.033)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Similarity × Negative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-0.042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(0.092)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(0.043)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Negative × Severe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-1.315***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-1.301***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(0.067)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(0.049)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Similarity × Severe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(0.065)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(0.032)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Similarity × Negative × Severe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(0.098)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(0.049)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Observations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3,787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3,787</w:t>
            </w:r>
          </w:p>
        </w:tc>
      </w:tr>
    </w:tbl>
    <w:p>
      <w:r>
        <w:rPr>
          <w:rFonts w:ascii="Times New Roman" w:hAnsi="Times New Roman"/>
          <w:i/>
          <w:sz w:val="16"/>
        </w:rPr>
        <w:t>Notes: Estimated on the four income shocks (10% and 20% salary cut/raise). Severe = 20% change; moderate = 10% change. The coefficient of interest for H4 is Similarity × Negative × Severe. Cluster-robust standard errors in parentheses. * p&lt;0.05, ** p&lt;0.01, *** p&lt;0.001.</w:t>
      </w:r>
    </w:p>
    <w:p>
      <w:r>
        <w:br w:type="page"/>
      </w:r>
    </w:p>
    <w:p>
      <w:r>
        <w:rPr>
          <w:rFonts w:ascii="Times New Roman" w:hAnsi="Times New Roman"/>
          <w:b/>
          <w:sz w:val="22"/>
        </w:rPr>
        <w:t>Table A4. Multiple-comparison correction and Bayesian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Test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FDR-adjusted 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BF01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H1 same-gender × neg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0.198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0.733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12.0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H1 age-gap × neg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0.733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8.0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H2 same-gender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0.628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0.941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24.3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H2 age-gap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0.954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0.954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27.3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H3 same-gender (ctx)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0.275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0.733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H3 age-gap (ctx)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0.658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0.941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H4 same-gender triple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0.771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0.941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H4 age-gap triple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0.941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</w:tr>
    </w:tbl>
    <w:p>
      <w:r>
        <w:rPr>
          <w:rFonts w:ascii="Times New Roman" w:hAnsi="Times New Roman"/>
          <w:i/>
          <w:sz w:val="16"/>
        </w:rPr>
        <w:t>Notes: FDR-adjusted p-values use the Benjamini–Hochberg procedure across the eight primary H1–H4 tests. BF01 is the JZS Bayes factor (Cauchy prior, r = 0.707) quantifying evidence for the null relative to the alternative; values above 3 and 10 denote moderate and strong evidence for the null.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