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2"/>
        </w:rPr>
        <w:t>Table 2. Perceived similarity and the negativity bias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Dependent variable: ΔSWB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(1)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(2)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(3)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(4)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(5)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Negative shock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-2.818***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-3.003***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-2.818***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-2.818***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-2.818***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(0.042)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(0.081)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(0.042)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(0.042)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(0.042)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Perceived similarity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-0.024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-0.062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-0.019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(0.013)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(0.034)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(0.037)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Negative × Perceived similarity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0.048**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0.126**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0.126**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0.126**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(0.017)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(0.044)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(0.044)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(0.044)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Evaluator controls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Evaluator fixed effects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Yes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Observations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7,599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7,599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7,599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7,599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7,599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R²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0.532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0.533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0.533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0.540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0.657</w:t>
            </w:r>
          </w:p>
        </w:tc>
      </w:tr>
    </w:tbl>
    <w:p>
      <w:r>
        <w:rPr>
          <w:rFonts w:ascii="Times New Roman" w:hAnsi="Times New Roman"/>
          <w:i/>
          <w:sz w:val="16"/>
        </w:rPr>
        <w:t>Notes: Dependent variable is the change in the target’s judged life satisfaction (ΔSWB). The unit of observation is the evaluator × shock (8 shocks per evaluator). Cluster-robust standard errors (clustered by participant) in parentheses. Column 2 uses the raw 0–10 similarity scale; columns 3–5 standardize similarity to mean 0, SD 1, so the interaction is the change in the negativity bias per standard deviation of perceived similarity. Column 4 adds evaluator controls (gender, marital status, log individual income and a missing-income indicator, age, education, a non-white indicator, and own life satisfaction). Column 5 includes evaluator fixed effects. * p&lt;0.05, ** p&lt;0.01, *** p&lt;0.001.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