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A5. Does judged loss explain the similarity allocation premium?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Dependent variable: amount allocated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(1)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(2)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(4)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(5)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(6)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Perceived similarity (z)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3.888***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4.001***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3.856***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4.001***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4.569***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4.475***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(0.957)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(0.953)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(1.050)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(0.953)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(0.972)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(0.980)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Judged loss (ΔSWB)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-1.704**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-1.591**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(0.593)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(0.580)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Absolute judged loss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1.704**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(0.593)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Post-shock life satisfaction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-1.702**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-2.132***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(0.517)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(0.609)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Baseline life satisfaction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(0.778)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Shock fixed effects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Evaluator covariates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Observations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3,798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3,798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3,798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3,798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3,798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0.032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0.033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Participants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950</w:t>
            </w:r>
          </w:p>
        </w:tc>
      </w:tr>
    </w:tbl>
    <w:p>
      <w:r>
        <w:rPr>
          <w:rFonts w:ascii="Times New Roman" w:hAnsi="Times New Roman"/>
          <w:i/>
          <w:sz w:val="16"/>
        </w:rPr>
        <w:t>Notes: OLS on the allocation panel (four negative shocks per participant). The dependent variable is the percentage of $100 allocated to the target. Perceived similarity is standardized. Judged loss (ΔSWB) is the participant’s shock-specific change in the target’s judged life satisfaction (post-shock minus baseline; more negative = larger perceived harm), matched to the same shock in the allocation task. Column 4 replaces signed loss with its absolute value; columns 5–6 use the post-shock life-satisfaction level (and, in column 6, the baseline level) in place of the change. All columns include shock fixed effects (worsened back pain omitted); column 3 adds evaluator covariates (gender, marital status, log household income and a missing-income indicator, age, education, a non-white indicator, and own life satisfaction). Cluster-robust standard errors (by participant) in parentheses. * p&lt;0.05, ** p&lt;0.01, *** p&lt;0.001.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