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2"/>
        </w:rPr>
        <w:t>Table A6. Attention and perceived similarity, evaluator fixed-effects estimates</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b/>
                <w:i w:val="0"/>
                <w:sz w:val="18"/>
              </w:rPr>
            </w:r>
          </w:p>
        </w:tc>
        <w:tc>
          <w:tcPr>
            <w:tcW w:type="dxa" w:w="2160"/>
          </w:tcPr>
          <w:p>
            <w:pPr>
              <w:jc w:val="center"/>
            </w:pPr>
            <w:r/>
            <w:r>
              <w:rPr>
                <w:rFonts w:ascii="Times New Roman" w:hAnsi="Times New Roman"/>
                <w:b/>
                <w:i w:val="0"/>
                <w:sz w:val="18"/>
              </w:rPr>
              <w:t>Total</w:t>
            </w:r>
          </w:p>
        </w:tc>
        <w:tc>
          <w:tcPr>
            <w:tcW w:type="dxa" w:w="2160"/>
          </w:tcPr>
          <w:p>
            <w:pPr>
              <w:jc w:val="center"/>
            </w:pPr>
            <w:r/>
            <w:r>
              <w:rPr>
                <w:rFonts w:ascii="Times New Roman" w:hAnsi="Times New Roman"/>
                <w:b/>
                <w:i w:val="0"/>
                <w:sz w:val="18"/>
              </w:rPr>
              <w:t>Contextual profile</w:t>
            </w:r>
          </w:p>
        </w:tc>
        <w:tc>
          <w:tcPr>
            <w:tcW w:type="dxa" w:w="2160"/>
          </w:tcPr>
          <w:p>
            <w:pPr>
              <w:jc w:val="center"/>
            </w:pPr>
            <w:r/>
            <w:r>
              <w:rPr>
                <w:rFonts w:ascii="Times New Roman" w:hAnsi="Times New Roman"/>
                <w:b/>
                <w:i w:val="0"/>
                <w:sz w:val="18"/>
              </w:rPr>
              <w:t>Shock text</w:t>
            </w:r>
          </w:p>
        </w:tc>
      </w:tr>
      <w:tr>
        <w:tc>
          <w:tcPr>
            <w:tcW w:type="dxa" w:w="2160"/>
          </w:tcPr>
          <w:p>
            <w:pPr>
              <w:jc w:val="left"/>
            </w:pPr>
            <w:r/>
            <w:r>
              <w:rPr>
                <w:rFonts w:ascii="Times New Roman" w:hAnsi="Times New Roman"/>
                <w:b w:val="0"/>
                <w:i w:val="0"/>
                <w:sz w:val="18"/>
              </w:rPr>
              <w:t>Negative shock</w:t>
            </w:r>
          </w:p>
        </w:tc>
        <w:tc>
          <w:tcPr>
            <w:tcW w:type="dxa" w:w="2160"/>
          </w:tcPr>
          <w:p>
            <w:pPr>
              <w:jc w:val="center"/>
            </w:pPr>
            <w:r/>
            <w:r>
              <w:rPr>
                <w:rFonts w:ascii="Times New Roman" w:hAnsi="Times New Roman"/>
                <w:b w:val="0"/>
                <w:i w:val="0"/>
                <w:sz w:val="18"/>
              </w:rPr>
              <w:t>0.015</w:t>
            </w:r>
          </w:p>
        </w:tc>
        <w:tc>
          <w:tcPr>
            <w:tcW w:type="dxa" w:w="2160"/>
          </w:tcPr>
          <w:p>
            <w:pPr>
              <w:jc w:val="center"/>
            </w:pPr>
            <w:r/>
            <w:r>
              <w:rPr>
                <w:rFonts w:ascii="Times New Roman" w:hAnsi="Times New Roman"/>
                <w:b w:val="0"/>
                <w:i w:val="0"/>
                <w:sz w:val="18"/>
              </w:rPr>
              <w:t>-0.093*</w:t>
            </w:r>
          </w:p>
        </w:tc>
        <w:tc>
          <w:tcPr>
            <w:tcW w:type="dxa" w:w="2160"/>
          </w:tcPr>
          <w:p>
            <w:pPr>
              <w:jc w:val="center"/>
            </w:pPr>
            <w:r/>
            <w:r>
              <w:rPr>
                <w:rFonts w:ascii="Times New Roman" w:hAnsi="Times New Roman"/>
                <w:b w:val="0"/>
                <w:i w:val="0"/>
                <w:sz w:val="18"/>
              </w:rPr>
              <w:t>0.148*</w:t>
            </w:r>
          </w:p>
        </w:tc>
      </w:tr>
      <w:tr>
        <w:tc>
          <w:tcPr>
            <w:tcW w:type="dxa" w:w="2160"/>
          </w:tcPr>
          <w:p>
            <w:pPr>
              <w:jc w:val="left"/>
            </w:pPr>
            <w:r/>
            <w:r>
              <w:rPr>
                <w:rFonts w:ascii="Times New Roman" w:hAnsi="Times New Roman"/>
                <w:b w:val="0"/>
                <w:i w:val="0"/>
                <w:sz w:val="18"/>
              </w:rPr>
            </w:r>
          </w:p>
        </w:tc>
        <w:tc>
          <w:tcPr>
            <w:tcW w:type="dxa" w:w="2160"/>
          </w:tcPr>
          <w:p>
            <w:pPr>
              <w:jc w:val="center"/>
            </w:pPr>
            <w:r/>
            <w:r>
              <w:rPr>
                <w:rFonts w:ascii="Times New Roman" w:hAnsi="Times New Roman"/>
                <w:b w:val="0"/>
                <w:i w:val="0"/>
                <w:sz w:val="16"/>
              </w:rPr>
              <w:t>(0.016)</w:t>
            </w:r>
          </w:p>
        </w:tc>
        <w:tc>
          <w:tcPr>
            <w:tcW w:type="dxa" w:w="2160"/>
          </w:tcPr>
          <w:p>
            <w:pPr>
              <w:jc w:val="center"/>
            </w:pPr>
            <w:r/>
            <w:r>
              <w:rPr>
                <w:rFonts w:ascii="Times New Roman" w:hAnsi="Times New Roman"/>
                <w:b w:val="0"/>
                <w:i w:val="0"/>
                <w:sz w:val="16"/>
              </w:rPr>
              <w:t>(0.045)</w:t>
            </w:r>
          </w:p>
        </w:tc>
        <w:tc>
          <w:tcPr>
            <w:tcW w:type="dxa" w:w="2160"/>
          </w:tcPr>
          <w:p>
            <w:pPr>
              <w:jc w:val="center"/>
            </w:pPr>
            <w:r/>
            <w:r>
              <w:rPr>
                <w:rFonts w:ascii="Times New Roman" w:hAnsi="Times New Roman"/>
                <w:b w:val="0"/>
                <w:i w:val="0"/>
                <w:sz w:val="16"/>
              </w:rPr>
              <w:t>(0.061)</w:t>
            </w:r>
          </w:p>
        </w:tc>
      </w:tr>
      <w:tr>
        <w:tc>
          <w:tcPr>
            <w:tcW w:type="dxa" w:w="2160"/>
          </w:tcPr>
          <w:p>
            <w:pPr>
              <w:jc w:val="left"/>
            </w:pPr>
            <w:r/>
            <w:r>
              <w:rPr>
                <w:rFonts w:ascii="Times New Roman" w:hAnsi="Times New Roman"/>
                <w:b w:val="0"/>
                <w:i w:val="0"/>
                <w:sz w:val="18"/>
              </w:rPr>
              <w:t>Negative × Perceived similarity</w:t>
            </w:r>
          </w:p>
        </w:tc>
        <w:tc>
          <w:tcPr>
            <w:tcW w:type="dxa" w:w="2160"/>
          </w:tcPr>
          <w:p>
            <w:pPr>
              <w:jc w:val="center"/>
            </w:pPr>
            <w:r/>
            <w:r>
              <w:rPr>
                <w:rFonts w:ascii="Times New Roman" w:hAnsi="Times New Roman"/>
                <w:b w:val="0"/>
                <w:i w:val="0"/>
                <w:sz w:val="18"/>
              </w:rPr>
              <w:t>-0.000</w:t>
            </w:r>
          </w:p>
        </w:tc>
        <w:tc>
          <w:tcPr>
            <w:tcW w:type="dxa" w:w="2160"/>
          </w:tcPr>
          <w:p>
            <w:pPr>
              <w:jc w:val="center"/>
            </w:pPr>
            <w:r/>
            <w:r>
              <w:rPr>
                <w:rFonts w:ascii="Times New Roman" w:hAnsi="Times New Roman"/>
                <w:b w:val="0"/>
                <w:i w:val="0"/>
                <w:sz w:val="18"/>
              </w:rPr>
              <w:t>-0.053</w:t>
            </w:r>
          </w:p>
        </w:tc>
        <w:tc>
          <w:tcPr>
            <w:tcW w:type="dxa" w:w="2160"/>
          </w:tcPr>
          <w:p>
            <w:pPr>
              <w:jc w:val="center"/>
            </w:pPr>
            <w:r/>
            <w:r>
              <w:rPr>
                <w:rFonts w:ascii="Times New Roman" w:hAnsi="Times New Roman"/>
                <w:b w:val="0"/>
                <w:i w:val="0"/>
                <w:sz w:val="18"/>
              </w:rPr>
              <w:t>-0.054</w:t>
            </w:r>
          </w:p>
        </w:tc>
      </w:tr>
      <w:tr>
        <w:tc>
          <w:tcPr>
            <w:tcW w:type="dxa" w:w="2160"/>
          </w:tcPr>
          <w:p>
            <w:pPr>
              <w:jc w:val="left"/>
            </w:pPr>
            <w:r/>
            <w:r>
              <w:rPr>
                <w:rFonts w:ascii="Times New Roman" w:hAnsi="Times New Roman"/>
                <w:b w:val="0"/>
                <w:i w:val="0"/>
                <w:sz w:val="18"/>
              </w:rPr>
            </w:r>
          </w:p>
        </w:tc>
        <w:tc>
          <w:tcPr>
            <w:tcW w:type="dxa" w:w="2160"/>
          </w:tcPr>
          <w:p>
            <w:pPr>
              <w:jc w:val="center"/>
            </w:pPr>
            <w:r/>
            <w:r>
              <w:rPr>
                <w:rFonts w:ascii="Times New Roman" w:hAnsi="Times New Roman"/>
                <w:b w:val="0"/>
                <w:i w:val="0"/>
                <w:sz w:val="16"/>
              </w:rPr>
              <w:t>(0.015)</w:t>
            </w:r>
          </w:p>
        </w:tc>
        <w:tc>
          <w:tcPr>
            <w:tcW w:type="dxa" w:w="2160"/>
          </w:tcPr>
          <w:p>
            <w:pPr>
              <w:jc w:val="center"/>
            </w:pPr>
            <w:r/>
            <w:r>
              <w:rPr>
                <w:rFonts w:ascii="Times New Roman" w:hAnsi="Times New Roman"/>
                <w:b w:val="0"/>
                <w:i w:val="0"/>
                <w:sz w:val="16"/>
              </w:rPr>
              <w:t>(0.044)</w:t>
            </w:r>
          </w:p>
        </w:tc>
        <w:tc>
          <w:tcPr>
            <w:tcW w:type="dxa" w:w="2160"/>
          </w:tcPr>
          <w:p>
            <w:pPr>
              <w:jc w:val="center"/>
            </w:pPr>
            <w:r/>
            <w:r>
              <w:rPr>
                <w:rFonts w:ascii="Times New Roman" w:hAnsi="Times New Roman"/>
                <w:b w:val="0"/>
                <w:i w:val="0"/>
                <w:sz w:val="16"/>
              </w:rPr>
              <w:t>(0.061)</w:t>
            </w:r>
          </w:p>
        </w:tc>
      </w:tr>
      <w:tr>
        <w:tc>
          <w:tcPr>
            <w:tcW w:type="dxa" w:w="2160"/>
          </w:tcPr>
          <w:p>
            <w:pPr>
              <w:jc w:val="left"/>
            </w:pPr>
            <w:r/>
            <w:r>
              <w:rPr>
                <w:rFonts w:ascii="Times New Roman" w:hAnsi="Times New Roman"/>
                <w:b w:val="0"/>
                <w:i w:val="0"/>
                <w:sz w:val="16"/>
              </w:rPr>
              <w:t>Evaluator fixed effects</w:t>
            </w:r>
          </w:p>
        </w:tc>
        <w:tc>
          <w:tcPr>
            <w:tcW w:type="dxa" w:w="2160"/>
          </w:tcPr>
          <w:p>
            <w:pPr>
              <w:jc w:val="center"/>
            </w:pPr>
            <w:r/>
            <w:r>
              <w:rPr>
                <w:rFonts w:ascii="Times New Roman" w:hAnsi="Times New Roman"/>
                <w:b w:val="0"/>
                <w:i w:val="0"/>
                <w:sz w:val="16"/>
              </w:rPr>
              <w:t>Yes</w:t>
            </w:r>
          </w:p>
        </w:tc>
        <w:tc>
          <w:tcPr>
            <w:tcW w:type="dxa" w:w="2160"/>
          </w:tcPr>
          <w:p>
            <w:pPr>
              <w:jc w:val="center"/>
            </w:pPr>
            <w:r/>
            <w:r>
              <w:rPr>
                <w:rFonts w:ascii="Times New Roman" w:hAnsi="Times New Roman"/>
                <w:b w:val="0"/>
                <w:i w:val="0"/>
                <w:sz w:val="16"/>
              </w:rPr>
              <w:t>Yes</w:t>
            </w:r>
          </w:p>
        </w:tc>
        <w:tc>
          <w:tcPr>
            <w:tcW w:type="dxa" w:w="2160"/>
          </w:tcPr>
          <w:p>
            <w:pPr>
              <w:jc w:val="center"/>
            </w:pPr>
            <w:r/>
            <w:r>
              <w:rPr>
                <w:rFonts w:ascii="Times New Roman" w:hAnsi="Times New Roman"/>
                <w:b w:val="0"/>
                <w:i w:val="0"/>
                <w:sz w:val="16"/>
              </w:rPr>
              <w:t>Yes</w:t>
            </w:r>
          </w:p>
        </w:tc>
      </w:tr>
      <w:tr>
        <w:tc>
          <w:tcPr>
            <w:tcW w:type="dxa" w:w="2160"/>
          </w:tcPr>
          <w:p>
            <w:pPr>
              <w:jc w:val="left"/>
            </w:pPr>
            <w:r/>
            <w:r>
              <w:rPr>
                <w:rFonts w:ascii="Times New Roman" w:hAnsi="Times New Roman"/>
                <w:b w:val="0"/>
                <w:i w:val="0"/>
                <w:sz w:val="16"/>
              </w:rPr>
              <w:t>Observations</w:t>
            </w:r>
          </w:p>
        </w:tc>
        <w:tc>
          <w:tcPr>
            <w:tcW w:type="dxa" w:w="2160"/>
          </w:tcPr>
          <w:p>
            <w:pPr>
              <w:jc w:val="center"/>
            </w:pPr>
            <w:r/>
            <w:r>
              <w:rPr>
                <w:rFonts w:ascii="Times New Roman" w:hAnsi="Times New Roman"/>
                <w:b w:val="0"/>
                <w:i w:val="0"/>
                <w:sz w:val="16"/>
              </w:rPr>
              <w:t>7,599</w:t>
            </w:r>
          </w:p>
        </w:tc>
        <w:tc>
          <w:tcPr>
            <w:tcW w:type="dxa" w:w="2160"/>
          </w:tcPr>
          <w:p>
            <w:pPr>
              <w:jc w:val="center"/>
            </w:pPr>
            <w:r/>
            <w:r>
              <w:rPr>
                <w:rFonts w:ascii="Times New Roman" w:hAnsi="Times New Roman"/>
                <w:b w:val="0"/>
                <w:i w:val="0"/>
                <w:sz w:val="16"/>
              </w:rPr>
              <w:t>7,599</w:t>
            </w:r>
          </w:p>
        </w:tc>
        <w:tc>
          <w:tcPr>
            <w:tcW w:type="dxa" w:w="2160"/>
          </w:tcPr>
          <w:p>
            <w:pPr>
              <w:jc w:val="center"/>
            </w:pPr>
            <w:r/>
            <w:r>
              <w:rPr>
                <w:rFonts w:ascii="Times New Roman" w:hAnsi="Times New Roman"/>
                <w:b w:val="0"/>
                <w:i w:val="0"/>
                <w:sz w:val="16"/>
              </w:rPr>
              <w:t>7,599</w:t>
            </w:r>
          </w:p>
        </w:tc>
      </w:tr>
      <w:tr>
        <w:tc>
          <w:tcPr>
            <w:tcW w:type="dxa" w:w="2160"/>
          </w:tcPr>
          <w:p>
            <w:pPr>
              <w:jc w:val="left"/>
            </w:pPr>
            <w:r/>
            <w:r>
              <w:rPr>
                <w:rFonts w:ascii="Times New Roman" w:hAnsi="Times New Roman"/>
                <w:b w:val="0"/>
                <w:i w:val="0"/>
                <w:sz w:val="16"/>
              </w:rPr>
              <w:t>Evaluators</w:t>
            </w:r>
          </w:p>
        </w:tc>
        <w:tc>
          <w:tcPr>
            <w:tcW w:type="dxa" w:w="2160"/>
          </w:tcPr>
          <w:p>
            <w:pPr>
              <w:jc w:val="center"/>
            </w:pPr>
            <w:r/>
            <w:r>
              <w:rPr>
                <w:rFonts w:ascii="Times New Roman" w:hAnsi="Times New Roman"/>
                <w:b w:val="0"/>
                <w:i w:val="0"/>
                <w:sz w:val="16"/>
              </w:rPr>
              <w:t>950</w:t>
            </w:r>
          </w:p>
        </w:tc>
        <w:tc>
          <w:tcPr>
            <w:tcW w:type="dxa" w:w="2160"/>
          </w:tcPr>
          <w:p>
            <w:pPr>
              <w:jc w:val="center"/>
            </w:pPr>
            <w:r/>
            <w:r>
              <w:rPr>
                <w:rFonts w:ascii="Times New Roman" w:hAnsi="Times New Roman"/>
                <w:b w:val="0"/>
                <w:i w:val="0"/>
                <w:sz w:val="16"/>
              </w:rPr>
              <w:t>950</w:t>
            </w:r>
          </w:p>
        </w:tc>
        <w:tc>
          <w:tcPr>
            <w:tcW w:type="dxa" w:w="2160"/>
          </w:tcPr>
          <w:p>
            <w:pPr>
              <w:jc w:val="center"/>
            </w:pPr>
            <w:r/>
            <w:r>
              <w:rPr>
                <w:rFonts w:ascii="Times New Roman" w:hAnsi="Times New Roman"/>
                <w:b w:val="0"/>
                <w:i w:val="0"/>
                <w:sz w:val="16"/>
              </w:rPr>
              <w:t>950</w:t>
            </w:r>
          </w:p>
        </w:tc>
      </w:tr>
    </w:tbl>
    <w:p>
      <w:r>
        <w:rPr>
          <w:rFonts w:ascii="Times New Roman" w:hAnsi="Times New Roman"/>
          <w:i/>
          <w:sz w:val="16"/>
        </w:rPr>
        <w:t>Notes: Evaluator fixed-effects estimates on the judgment-task eye-tracking panel. The dependent variable in Column (1) is total fixation duration across all areas of interest; Column (2) uses fixation duration on the target’s contextual profile; and Column (3) uses fixation duration on the focal shock text. Each fixation outcome is measured in log milliseconds (natural log of one plus total fixation duration). Perceived similarity is standardized and constant within evaluator. Cluster-robust standard errors (by evaluator) in parentheses. * p&lt;0.05, ** p&lt;0.01, *** p&lt;0.001.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