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BD2" w:rsidRDefault="005E1BD2"/>
    <w:p w:rsidR="005E1BD2" w:rsidRDefault="005E1BD2" w:rsidP="005E1BD2">
      <w:pPr>
        <w:jc w:val="right"/>
      </w:pPr>
      <w:r>
        <w:t>Kelli Rawlinson</w:t>
      </w:r>
    </w:p>
    <w:p w:rsidR="005E1BD2" w:rsidRDefault="005E1BD2"/>
    <w:tbl>
      <w:tblPr>
        <w:tblStyle w:val="GridTable1Light"/>
        <w:tblpPr w:leftFromText="180" w:rightFromText="180" w:tblpY="142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90"/>
        <w:gridCol w:w="2975"/>
        <w:gridCol w:w="3416"/>
      </w:tblGrid>
      <w:tr w:rsidR="005E1BD2" w:rsidTr="00091753">
        <w:trPr>
          <w:cnfStyle w:val="100000000000" w:firstRow="1" w:lastRow="0" w:firstColumn="0" w:lastColumn="0" w:oddVBand="0" w:evenVBand="0" w:oddHBand="0"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2690" w:type="dxa"/>
            <w:tcBorders>
              <w:bottom w:val="none" w:sz="0" w:space="0" w:color="auto"/>
            </w:tcBorders>
          </w:tcPr>
          <w:p w:rsidR="005E1BD2" w:rsidRDefault="005E1BD2" w:rsidP="005E1BD2">
            <w:pPr>
              <w:jc w:val="center"/>
              <w:rPr>
                <w:b w:val="0"/>
                <w:bCs w:val="0"/>
              </w:rPr>
            </w:pPr>
          </w:p>
          <w:p w:rsidR="005E1BD2" w:rsidRDefault="005E1BD2" w:rsidP="005E1BD2">
            <w:pPr>
              <w:jc w:val="center"/>
              <w:rPr>
                <w:b w:val="0"/>
                <w:bCs w:val="0"/>
              </w:rPr>
            </w:pPr>
          </w:p>
          <w:p w:rsidR="005E1BD2" w:rsidRPr="00D93F9F" w:rsidRDefault="005E1BD2" w:rsidP="005E1BD2">
            <w:pPr>
              <w:jc w:val="center"/>
              <w:rPr>
                <w:sz w:val="22"/>
                <w:szCs w:val="22"/>
              </w:rPr>
            </w:pPr>
            <w:r w:rsidRPr="00D93F9F">
              <w:rPr>
                <w:sz w:val="22"/>
                <w:szCs w:val="22"/>
              </w:rPr>
              <w:t>Statutory Elements</w:t>
            </w:r>
          </w:p>
        </w:tc>
        <w:tc>
          <w:tcPr>
            <w:tcW w:w="2975" w:type="dxa"/>
            <w:tcBorders>
              <w:bottom w:val="none" w:sz="0" w:space="0" w:color="auto"/>
            </w:tcBorders>
          </w:tcPr>
          <w:p w:rsidR="005E1BD2" w:rsidRDefault="005E1BD2" w:rsidP="005E1BD2">
            <w:pPr>
              <w:jc w:val="center"/>
              <w:cnfStyle w:val="100000000000" w:firstRow="1" w:lastRow="0" w:firstColumn="0" w:lastColumn="0" w:oddVBand="0" w:evenVBand="0" w:oddHBand="0" w:evenHBand="0" w:firstRowFirstColumn="0" w:firstRowLastColumn="0" w:lastRowFirstColumn="0" w:lastRowLastColumn="0"/>
              <w:rPr>
                <w:b w:val="0"/>
                <w:bCs w:val="0"/>
              </w:rPr>
            </w:pPr>
          </w:p>
          <w:p w:rsidR="005E1BD2" w:rsidRDefault="005E1BD2" w:rsidP="005E1BD2">
            <w:pPr>
              <w:jc w:val="center"/>
              <w:cnfStyle w:val="100000000000" w:firstRow="1" w:lastRow="0" w:firstColumn="0" w:lastColumn="0" w:oddVBand="0" w:evenVBand="0" w:oddHBand="0" w:evenHBand="0" w:firstRowFirstColumn="0" w:firstRowLastColumn="0" w:lastRowFirstColumn="0" w:lastRowLastColumn="0"/>
              <w:rPr>
                <w:b w:val="0"/>
                <w:bCs w:val="0"/>
              </w:rPr>
            </w:pPr>
          </w:p>
          <w:p w:rsidR="005E1BD2" w:rsidRPr="00D93F9F" w:rsidRDefault="005E1BD2" w:rsidP="005E1BD2">
            <w:pPr>
              <w:jc w:val="center"/>
              <w:cnfStyle w:val="100000000000" w:firstRow="1" w:lastRow="0" w:firstColumn="0" w:lastColumn="0" w:oddVBand="0" w:evenVBand="0" w:oddHBand="0" w:evenHBand="0" w:firstRowFirstColumn="0" w:firstRowLastColumn="0" w:lastRowFirstColumn="0" w:lastRowLastColumn="0"/>
              <w:rPr>
                <w:sz w:val="22"/>
                <w:szCs w:val="22"/>
              </w:rPr>
            </w:pPr>
            <w:r w:rsidRPr="00D93F9F">
              <w:rPr>
                <w:sz w:val="22"/>
                <w:szCs w:val="22"/>
              </w:rPr>
              <w:t>Relevant Facts</w:t>
            </w:r>
          </w:p>
        </w:tc>
        <w:tc>
          <w:tcPr>
            <w:tcW w:w="3416" w:type="dxa"/>
            <w:tcBorders>
              <w:bottom w:val="none" w:sz="0" w:space="0" w:color="auto"/>
            </w:tcBorders>
          </w:tcPr>
          <w:p w:rsidR="00A00B3C" w:rsidRDefault="00A00B3C" w:rsidP="005E1BD2">
            <w:pPr>
              <w:cnfStyle w:val="100000000000" w:firstRow="1" w:lastRow="0" w:firstColumn="0" w:lastColumn="0" w:oddVBand="0" w:evenVBand="0" w:oddHBand="0" w:evenHBand="0" w:firstRowFirstColumn="0" w:firstRowLastColumn="0" w:lastRowFirstColumn="0" w:lastRowLastColumn="0"/>
              <w:rPr>
                <w:b w:val="0"/>
                <w:bCs w:val="0"/>
              </w:rPr>
            </w:pPr>
          </w:p>
          <w:p w:rsidR="005E1BD2" w:rsidRPr="00D93F9F" w:rsidRDefault="005E1BD2" w:rsidP="005E1BD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93F9F">
              <w:rPr>
                <w:sz w:val="22"/>
                <w:szCs w:val="22"/>
              </w:rPr>
              <w:t>Element Satisfied?</w:t>
            </w:r>
          </w:p>
          <w:p w:rsidR="005E1BD2" w:rsidRPr="00D93F9F" w:rsidRDefault="005E1BD2" w:rsidP="005E1BD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93F9F">
              <w:rPr>
                <w:sz w:val="22"/>
                <w:szCs w:val="22"/>
              </w:rPr>
              <w:t>Additional Facts Needed?</w:t>
            </w:r>
          </w:p>
          <w:p w:rsidR="005E1BD2" w:rsidRDefault="005E1BD2" w:rsidP="005E1BD2">
            <w:pPr>
              <w:cnfStyle w:val="100000000000" w:firstRow="1" w:lastRow="0" w:firstColumn="0" w:lastColumn="0" w:oddVBand="0" w:evenVBand="0" w:oddHBand="0" w:evenHBand="0" w:firstRowFirstColumn="0" w:firstRowLastColumn="0" w:lastRowFirstColumn="0" w:lastRowLastColumn="0"/>
            </w:pPr>
            <w:r w:rsidRPr="00D93F9F">
              <w:rPr>
                <w:sz w:val="22"/>
                <w:szCs w:val="22"/>
              </w:rPr>
              <w:t>Additional Research Needed?</w:t>
            </w:r>
          </w:p>
        </w:tc>
      </w:tr>
      <w:tr w:rsidR="005E1BD2" w:rsidTr="00091753">
        <w:trPr>
          <w:trHeight w:val="181"/>
        </w:trPr>
        <w:tc>
          <w:tcPr>
            <w:cnfStyle w:val="001000000000" w:firstRow="0" w:lastRow="0" w:firstColumn="1" w:lastColumn="0" w:oddVBand="0" w:evenVBand="0" w:oddHBand="0" w:evenHBand="0" w:firstRowFirstColumn="0" w:firstRowLastColumn="0" w:lastRowFirstColumn="0" w:lastRowLastColumn="0"/>
            <w:tcW w:w="2690" w:type="dxa"/>
          </w:tcPr>
          <w:p w:rsidR="00124A51" w:rsidRPr="00D93F9F" w:rsidRDefault="00124A51" w:rsidP="005E1BD2">
            <w:pPr>
              <w:rPr>
                <w:b w:val="0"/>
                <w:bCs w:val="0"/>
                <w:sz w:val="22"/>
                <w:szCs w:val="22"/>
              </w:rPr>
            </w:pPr>
            <w:r w:rsidRPr="00D93F9F">
              <w:rPr>
                <w:sz w:val="22"/>
                <w:szCs w:val="22"/>
              </w:rPr>
              <w:t xml:space="preserve"> </w:t>
            </w:r>
          </w:p>
          <w:p w:rsidR="00124A51" w:rsidRPr="00D93F9F" w:rsidRDefault="00091753" w:rsidP="00091753">
            <w:pPr>
              <w:pStyle w:val="ListParagraph"/>
              <w:numPr>
                <w:ilvl w:val="0"/>
                <w:numId w:val="4"/>
              </w:numPr>
              <w:rPr>
                <w:b w:val="0"/>
                <w:sz w:val="22"/>
                <w:szCs w:val="22"/>
              </w:rPr>
            </w:pPr>
            <w:r w:rsidRPr="00D93F9F">
              <w:rPr>
                <w:b w:val="0"/>
                <w:sz w:val="22"/>
                <w:szCs w:val="22"/>
              </w:rPr>
              <w:t>∏ exercised rights listed under N.C.G.S § 95-241(a)</w:t>
            </w:r>
          </w:p>
          <w:p w:rsidR="00124A51" w:rsidRPr="00124A51" w:rsidRDefault="00124A51" w:rsidP="005E1BD2">
            <w:pPr>
              <w:rPr>
                <w:b w:val="0"/>
                <w:bCs w:val="0"/>
              </w:rPr>
            </w:pPr>
          </w:p>
        </w:tc>
        <w:tc>
          <w:tcPr>
            <w:tcW w:w="2975" w:type="dxa"/>
          </w:tcPr>
          <w:p w:rsidR="005E1BD2" w:rsidRPr="00364506" w:rsidRDefault="005E1BD2" w:rsidP="005E1BD2">
            <w:pPr>
              <w:cnfStyle w:val="000000000000" w:firstRow="0" w:lastRow="0" w:firstColumn="0" w:lastColumn="0" w:oddVBand="0" w:evenVBand="0" w:oddHBand="0" w:evenHBand="0" w:firstRowFirstColumn="0" w:firstRowLastColumn="0" w:lastRowFirstColumn="0" w:lastRowLastColumn="0"/>
              <w:rPr>
                <w:sz w:val="22"/>
                <w:szCs w:val="22"/>
              </w:rPr>
            </w:pPr>
          </w:p>
          <w:p w:rsidR="00233EB3" w:rsidRPr="00364506" w:rsidRDefault="00233EB3" w:rsidP="005E1BD2">
            <w:pPr>
              <w:cnfStyle w:val="000000000000" w:firstRow="0" w:lastRow="0" w:firstColumn="0" w:lastColumn="0" w:oddVBand="0" w:evenVBand="0" w:oddHBand="0" w:evenHBand="0" w:firstRowFirstColumn="0" w:firstRowLastColumn="0" w:lastRowFirstColumn="0" w:lastRowLastColumn="0"/>
              <w:rPr>
                <w:sz w:val="22"/>
                <w:szCs w:val="22"/>
              </w:rPr>
            </w:pPr>
            <w:r w:rsidRPr="00364506">
              <w:rPr>
                <w:sz w:val="22"/>
                <w:szCs w:val="22"/>
              </w:rPr>
              <w:t>Kinglsey exercised right by filing an internal complaint about Brett Bosworth.</w:t>
            </w:r>
          </w:p>
          <w:p w:rsidR="00364506" w:rsidRDefault="00364506" w:rsidP="0036450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2"/>
                <w:szCs w:val="22"/>
              </w:rPr>
            </w:pPr>
            <w:r w:rsidRPr="00364506">
              <w:rPr>
                <w:sz w:val="22"/>
                <w:szCs w:val="22"/>
              </w:rPr>
              <w:t xml:space="preserve">claim: Brett was unethical in handling of IPO account </w:t>
            </w:r>
          </w:p>
          <w:p w:rsidR="00364506" w:rsidRPr="00364506" w:rsidRDefault="00364506" w:rsidP="0036450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Refusing to “fudge” the books for Brett</w:t>
            </w:r>
          </w:p>
          <w:p w:rsidR="00364506" w:rsidRPr="00364506" w:rsidRDefault="00364506" w:rsidP="00364506">
            <w:pPr>
              <w:pStyle w:val="ListParagraph"/>
              <w:cnfStyle w:val="000000000000" w:firstRow="0" w:lastRow="0" w:firstColumn="0" w:lastColumn="0" w:oddVBand="0" w:evenVBand="0" w:oddHBand="0" w:evenHBand="0" w:firstRowFirstColumn="0" w:firstRowLastColumn="0" w:lastRowFirstColumn="0" w:lastRowLastColumn="0"/>
              <w:rPr>
                <w:sz w:val="22"/>
                <w:szCs w:val="22"/>
              </w:rPr>
            </w:pPr>
          </w:p>
        </w:tc>
        <w:tc>
          <w:tcPr>
            <w:tcW w:w="3416" w:type="dxa"/>
          </w:tcPr>
          <w:p w:rsidR="00233EB3" w:rsidRDefault="00233EB3" w:rsidP="005E1BD2">
            <w:pPr>
              <w:cnfStyle w:val="000000000000" w:firstRow="0" w:lastRow="0" w:firstColumn="0" w:lastColumn="0" w:oddVBand="0" w:evenVBand="0" w:oddHBand="0" w:evenHBand="0" w:firstRowFirstColumn="0" w:firstRowLastColumn="0" w:lastRowFirstColumn="0" w:lastRowLastColumn="0"/>
            </w:pPr>
          </w:p>
          <w:p w:rsidR="00233EB3" w:rsidRPr="00364506" w:rsidRDefault="00233EB3" w:rsidP="005E1BD2">
            <w:pPr>
              <w:cnfStyle w:val="000000000000" w:firstRow="0" w:lastRow="0" w:firstColumn="0" w:lastColumn="0" w:oddVBand="0" w:evenVBand="0" w:oddHBand="0" w:evenHBand="0" w:firstRowFirstColumn="0" w:firstRowLastColumn="0" w:lastRowFirstColumn="0" w:lastRowLastColumn="0"/>
              <w:rPr>
                <w:sz w:val="22"/>
                <w:szCs w:val="22"/>
              </w:rPr>
            </w:pPr>
            <w:r w:rsidRPr="00364506">
              <w:rPr>
                <w:sz w:val="22"/>
                <w:szCs w:val="22"/>
              </w:rPr>
              <w:t xml:space="preserve">Satisfied, this internal compliant satisfies NCGS &amp; the securities </w:t>
            </w:r>
            <w:r w:rsidR="00F66B8D" w:rsidRPr="00364506">
              <w:rPr>
                <w:sz w:val="22"/>
                <w:szCs w:val="22"/>
              </w:rPr>
              <w:t>law requirement.</w:t>
            </w:r>
          </w:p>
        </w:tc>
      </w:tr>
      <w:tr w:rsidR="005E1BD2" w:rsidTr="00091753">
        <w:trPr>
          <w:trHeight w:val="181"/>
        </w:trPr>
        <w:tc>
          <w:tcPr>
            <w:cnfStyle w:val="001000000000" w:firstRow="0" w:lastRow="0" w:firstColumn="1" w:lastColumn="0" w:oddVBand="0" w:evenVBand="0" w:oddHBand="0" w:evenHBand="0" w:firstRowFirstColumn="0" w:firstRowLastColumn="0" w:lastRowFirstColumn="0" w:lastRowLastColumn="0"/>
            <w:tcW w:w="2690" w:type="dxa"/>
          </w:tcPr>
          <w:p w:rsidR="00124A51" w:rsidRDefault="00124A51" w:rsidP="005E1BD2"/>
          <w:p w:rsidR="00091753" w:rsidRPr="00D93F9F" w:rsidRDefault="00091753" w:rsidP="00091753">
            <w:pPr>
              <w:pStyle w:val="ListParagraph"/>
              <w:numPr>
                <w:ilvl w:val="0"/>
                <w:numId w:val="4"/>
              </w:numPr>
              <w:rPr>
                <w:b w:val="0"/>
                <w:sz w:val="22"/>
                <w:szCs w:val="22"/>
              </w:rPr>
            </w:pPr>
            <w:r w:rsidRPr="00D93F9F">
              <w:rPr>
                <w:b w:val="0"/>
                <w:sz w:val="22"/>
                <w:szCs w:val="22"/>
              </w:rPr>
              <w:t xml:space="preserve">∏ suffered an adverse employment action </w:t>
            </w:r>
          </w:p>
          <w:p w:rsidR="00124A51" w:rsidRPr="00D93F9F" w:rsidRDefault="00124A51" w:rsidP="005E1BD2">
            <w:pPr>
              <w:rPr>
                <w:b w:val="0"/>
                <w:bCs w:val="0"/>
                <w:sz w:val="22"/>
                <w:szCs w:val="22"/>
              </w:rPr>
            </w:pPr>
          </w:p>
          <w:p w:rsidR="00124A51" w:rsidRPr="00364506" w:rsidRDefault="00364506" w:rsidP="00364506">
            <w:pPr>
              <w:jc w:val="center"/>
              <w:rPr>
                <w:b w:val="0"/>
                <w:sz w:val="20"/>
                <w:szCs w:val="20"/>
              </w:rPr>
            </w:pPr>
            <w:r w:rsidRPr="00364506">
              <w:rPr>
                <w:b w:val="0"/>
                <w:sz w:val="20"/>
                <w:szCs w:val="20"/>
              </w:rPr>
              <w:t xml:space="preserve">(discharge, suspension, </w:t>
            </w:r>
            <w:proofErr w:type="spellStart"/>
            <w:r w:rsidRPr="00364506">
              <w:rPr>
                <w:b w:val="0"/>
                <w:sz w:val="20"/>
                <w:szCs w:val="20"/>
              </w:rPr>
              <w:t>demotin</w:t>
            </w:r>
            <w:proofErr w:type="spellEnd"/>
            <w:r w:rsidRPr="00364506">
              <w:rPr>
                <w:b w:val="0"/>
                <w:sz w:val="20"/>
                <w:szCs w:val="20"/>
              </w:rPr>
              <w:t>, retaliatory relocation, etc.)</w:t>
            </w:r>
          </w:p>
        </w:tc>
        <w:tc>
          <w:tcPr>
            <w:tcW w:w="2975" w:type="dxa"/>
          </w:tcPr>
          <w:p w:rsidR="002159AB" w:rsidRDefault="002159AB" w:rsidP="002159AB">
            <w:pPr>
              <w:pStyle w:val="ListParagraph"/>
              <w:cnfStyle w:val="000000000000" w:firstRow="0" w:lastRow="0" w:firstColumn="0" w:lastColumn="0" w:oddVBand="0" w:evenVBand="0" w:oddHBand="0" w:evenHBand="0" w:firstRowFirstColumn="0" w:firstRowLastColumn="0" w:lastRowFirstColumn="0" w:lastRowLastColumn="0"/>
              <w:rPr>
                <w:sz w:val="22"/>
                <w:szCs w:val="22"/>
              </w:rPr>
            </w:pPr>
          </w:p>
          <w:p w:rsidR="00364506" w:rsidRPr="00364506" w:rsidRDefault="00364506" w:rsidP="0036450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szCs w:val="22"/>
              </w:rPr>
            </w:pPr>
            <w:r w:rsidRPr="00364506">
              <w:rPr>
                <w:sz w:val="22"/>
                <w:szCs w:val="22"/>
              </w:rPr>
              <w:t>Unfairly taken off Smart-</w:t>
            </w:r>
            <w:proofErr w:type="spellStart"/>
            <w:r w:rsidRPr="00364506">
              <w:rPr>
                <w:sz w:val="22"/>
                <w:szCs w:val="22"/>
              </w:rPr>
              <w:t>Tek</w:t>
            </w:r>
            <w:proofErr w:type="spellEnd"/>
            <w:r w:rsidRPr="00364506">
              <w:rPr>
                <w:sz w:val="22"/>
                <w:szCs w:val="22"/>
              </w:rPr>
              <w:t xml:space="preserve"> IPO</w:t>
            </w:r>
          </w:p>
          <w:p w:rsidR="00364506" w:rsidRPr="00364506" w:rsidRDefault="00364506" w:rsidP="0036450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szCs w:val="22"/>
              </w:rPr>
            </w:pPr>
            <w:r w:rsidRPr="00364506">
              <w:rPr>
                <w:sz w:val="22"/>
                <w:szCs w:val="22"/>
              </w:rPr>
              <w:t>File was taking (including prelims and research)</w:t>
            </w:r>
          </w:p>
          <w:p w:rsidR="00364506" w:rsidRDefault="00364506" w:rsidP="0036450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szCs w:val="22"/>
              </w:rPr>
            </w:pPr>
            <w:r w:rsidRPr="00364506">
              <w:rPr>
                <w:sz w:val="22"/>
                <w:szCs w:val="22"/>
              </w:rPr>
              <w:t>Relocated to a basement office (for the rest of the month – 25 more days)</w:t>
            </w:r>
          </w:p>
          <w:p w:rsidR="00364506" w:rsidRDefault="00364506" w:rsidP="0036450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szCs w:val="22"/>
              </w:rPr>
            </w:pPr>
            <w:r w:rsidRPr="00872173">
              <w:rPr>
                <w:sz w:val="22"/>
                <w:szCs w:val="22"/>
              </w:rPr>
              <w:t xml:space="preserve">Told to “grow a pair” </w:t>
            </w:r>
            <w:r w:rsidR="00872173" w:rsidRPr="00872173">
              <w:rPr>
                <w:sz w:val="22"/>
                <w:szCs w:val="22"/>
              </w:rPr>
              <w:t>by Brett</w:t>
            </w:r>
          </w:p>
          <w:p w:rsidR="002159AB" w:rsidRPr="00872173" w:rsidRDefault="002159AB" w:rsidP="0036450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szCs w:val="22"/>
              </w:rPr>
            </w:pPr>
          </w:p>
        </w:tc>
        <w:tc>
          <w:tcPr>
            <w:tcW w:w="3416" w:type="dxa"/>
          </w:tcPr>
          <w:p w:rsidR="002159AB" w:rsidRDefault="002159AB" w:rsidP="005E1BD2">
            <w:pPr>
              <w:cnfStyle w:val="000000000000" w:firstRow="0" w:lastRow="0" w:firstColumn="0" w:lastColumn="0" w:oddVBand="0" w:evenVBand="0" w:oddHBand="0" w:evenHBand="0" w:firstRowFirstColumn="0" w:firstRowLastColumn="0" w:lastRowFirstColumn="0" w:lastRowLastColumn="0"/>
              <w:rPr>
                <w:sz w:val="22"/>
                <w:szCs w:val="22"/>
              </w:rPr>
            </w:pPr>
          </w:p>
          <w:p w:rsidR="00364506" w:rsidRPr="00364506" w:rsidRDefault="00364506" w:rsidP="005E1BD2">
            <w:pPr>
              <w:cnfStyle w:val="000000000000" w:firstRow="0" w:lastRow="0" w:firstColumn="0" w:lastColumn="0" w:oddVBand="0" w:evenVBand="0" w:oddHBand="0" w:evenHBand="0" w:firstRowFirstColumn="0" w:firstRowLastColumn="0" w:lastRowFirstColumn="0" w:lastRowLastColumn="0"/>
              <w:rPr>
                <w:sz w:val="22"/>
                <w:szCs w:val="22"/>
              </w:rPr>
            </w:pPr>
            <w:r w:rsidRPr="00364506">
              <w:rPr>
                <w:sz w:val="22"/>
                <w:szCs w:val="22"/>
              </w:rPr>
              <w:t xml:space="preserve">Satisfied by: taking Kingsley off IPO, and what seemed to be retaliatory relocation to basement. This could be challenged by PCM b/c it was only temporary to accommodate Austrian team. </w:t>
            </w:r>
          </w:p>
        </w:tc>
      </w:tr>
      <w:tr w:rsidR="005E1BD2" w:rsidTr="00091753">
        <w:trPr>
          <w:trHeight w:val="181"/>
        </w:trPr>
        <w:tc>
          <w:tcPr>
            <w:cnfStyle w:val="001000000000" w:firstRow="0" w:lastRow="0" w:firstColumn="1" w:lastColumn="0" w:oddVBand="0" w:evenVBand="0" w:oddHBand="0" w:evenHBand="0" w:firstRowFirstColumn="0" w:firstRowLastColumn="0" w:lastRowFirstColumn="0" w:lastRowLastColumn="0"/>
            <w:tcW w:w="2690" w:type="dxa"/>
          </w:tcPr>
          <w:p w:rsidR="00124A51" w:rsidRDefault="00124A51" w:rsidP="005E1BD2">
            <w:pPr>
              <w:rPr>
                <w:b w:val="0"/>
                <w:bCs w:val="0"/>
              </w:rPr>
            </w:pPr>
          </w:p>
          <w:p w:rsidR="00091753" w:rsidRPr="00D93F9F" w:rsidRDefault="00091753" w:rsidP="00091753">
            <w:pPr>
              <w:pStyle w:val="ListParagraph"/>
              <w:numPr>
                <w:ilvl w:val="0"/>
                <w:numId w:val="4"/>
              </w:numPr>
              <w:rPr>
                <w:b w:val="0"/>
                <w:sz w:val="22"/>
                <w:szCs w:val="22"/>
              </w:rPr>
            </w:pPr>
            <w:r w:rsidRPr="00D93F9F">
              <w:rPr>
                <w:b w:val="0"/>
                <w:sz w:val="22"/>
                <w:szCs w:val="22"/>
              </w:rPr>
              <w:t>the alleged retaliatory action was taken because the employee exercised his rights under  N.C.G.S § 95-241(a)</w:t>
            </w:r>
          </w:p>
          <w:p w:rsidR="00124A51" w:rsidRPr="00124A51" w:rsidRDefault="00124A51" w:rsidP="005E1BD2">
            <w:pPr>
              <w:rPr>
                <w:b w:val="0"/>
                <w:bCs w:val="0"/>
              </w:rPr>
            </w:pPr>
          </w:p>
        </w:tc>
        <w:tc>
          <w:tcPr>
            <w:tcW w:w="2975" w:type="dxa"/>
          </w:tcPr>
          <w:p w:rsidR="005E1BD2" w:rsidRDefault="005E1BD2" w:rsidP="002159AB">
            <w:pPr>
              <w:pStyle w:val="ListParagraph"/>
              <w:cnfStyle w:val="000000000000" w:firstRow="0" w:lastRow="0" w:firstColumn="0" w:lastColumn="0" w:oddVBand="0" w:evenVBand="0" w:oddHBand="0" w:evenHBand="0" w:firstRowFirstColumn="0" w:firstRowLastColumn="0" w:lastRowFirstColumn="0" w:lastRowLastColumn="0"/>
            </w:pPr>
          </w:p>
          <w:p w:rsidR="002159AB" w:rsidRPr="002159AB" w:rsidRDefault="002159AB" w:rsidP="002159A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2"/>
                <w:szCs w:val="22"/>
              </w:rPr>
            </w:pPr>
            <w:r w:rsidRPr="002159AB">
              <w:rPr>
                <w:sz w:val="22"/>
                <w:szCs w:val="22"/>
              </w:rPr>
              <w:t xml:space="preserve">Happened w/in a few days of telling Brett of unethical handling </w:t>
            </w:r>
          </w:p>
          <w:p w:rsidR="00364506" w:rsidRPr="002159AB" w:rsidRDefault="00872173" w:rsidP="002159A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2"/>
                <w:szCs w:val="22"/>
              </w:rPr>
            </w:pPr>
            <w:r w:rsidRPr="002159AB">
              <w:rPr>
                <w:sz w:val="22"/>
                <w:szCs w:val="22"/>
              </w:rPr>
              <w:t xml:space="preserve">Brett told Kinglsey that if Kingsley could not build the book he would do it. </w:t>
            </w:r>
          </w:p>
        </w:tc>
        <w:tc>
          <w:tcPr>
            <w:tcW w:w="3416" w:type="dxa"/>
          </w:tcPr>
          <w:p w:rsidR="005E1BD2" w:rsidRDefault="005E1BD2" w:rsidP="005E1BD2">
            <w:pPr>
              <w:cnfStyle w:val="000000000000" w:firstRow="0" w:lastRow="0" w:firstColumn="0" w:lastColumn="0" w:oddVBand="0" w:evenVBand="0" w:oddHBand="0" w:evenHBand="0" w:firstRowFirstColumn="0" w:firstRowLastColumn="0" w:lastRowFirstColumn="0" w:lastRowLastColumn="0"/>
            </w:pPr>
          </w:p>
          <w:p w:rsidR="00364506" w:rsidRDefault="00364506" w:rsidP="005E1BD2">
            <w:pPr>
              <w:cnfStyle w:val="000000000000" w:firstRow="0" w:lastRow="0" w:firstColumn="0" w:lastColumn="0" w:oddVBand="0" w:evenVBand="0" w:oddHBand="0" w:evenHBand="0" w:firstRowFirstColumn="0" w:firstRowLastColumn="0" w:lastRowFirstColumn="0" w:lastRowLastColumn="0"/>
              <w:rPr>
                <w:sz w:val="22"/>
                <w:szCs w:val="22"/>
              </w:rPr>
            </w:pPr>
            <w:r w:rsidRPr="00364506">
              <w:rPr>
                <w:sz w:val="22"/>
                <w:szCs w:val="22"/>
              </w:rPr>
              <w:t>Facts needed to show that relocation was based on that. But, Brett saying that Kingsley could turn in file  and not worry about it anymore</w:t>
            </w:r>
            <w:r w:rsidR="00872173">
              <w:rPr>
                <w:sz w:val="22"/>
                <w:szCs w:val="22"/>
              </w:rPr>
              <w:t xml:space="preserve">, and the threat about taking over if Kinglsey couldn’t  build the book </w:t>
            </w:r>
            <w:r w:rsidR="002159AB">
              <w:rPr>
                <w:sz w:val="22"/>
                <w:szCs w:val="22"/>
              </w:rPr>
              <w:t>could satisfy.</w:t>
            </w:r>
          </w:p>
          <w:p w:rsidR="002159AB" w:rsidRPr="00364506" w:rsidRDefault="002159AB" w:rsidP="005E1BD2">
            <w:pPr>
              <w:cnfStyle w:val="000000000000" w:firstRow="0" w:lastRow="0" w:firstColumn="0" w:lastColumn="0" w:oddVBand="0" w:evenVBand="0" w:oddHBand="0" w:evenHBand="0" w:firstRowFirstColumn="0" w:firstRowLastColumn="0" w:lastRowFirstColumn="0" w:lastRowLastColumn="0"/>
              <w:rPr>
                <w:sz w:val="22"/>
                <w:szCs w:val="22"/>
              </w:rPr>
            </w:pPr>
          </w:p>
        </w:tc>
      </w:tr>
    </w:tbl>
    <w:p w:rsidR="00BB2C8F" w:rsidRDefault="005E1BD2" w:rsidP="00BB2C8F">
      <w:pPr>
        <w:jc w:val="center"/>
        <w:rPr>
          <w:b/>
          <w:u w:val="single"/>
        </w:rPr>
      </w:pPr>
      <w:r w:rsidRPr="005E1BD2">
        <w:rPr>
          <w:b/>
          <w:u w:val="single"/>
        </w:rPr>
        <w:t>Statutory Elements Chart</w:t>
      </w:r>
      <w:r w:rsidR="00BB2C8F">
        <w:rPr>
          <w:b/>
          <w:u w:val="single"/>
        </w:rPr>
        <w:t xml:space="preserve"> – Retaliation Claim </w:t>
      </w:r>
    </w:p>
    <w:p w:rsidR="00BB2C8F" w:rsidRDefault="00BB2C8F" w:rsidP="00BB2C8F">
      <w:pPr>
        <w:jc w:val="center"/>
        <w:rPr>
          <w:b/>
          <w:u w:val="single"/>
        </w:rPr>
      </w:pPr>
    </w:p>
    <w:p w:rsidR="00BB2C8F" w:rsidRDefault="00BB2C8F" w:rsidP="00BB2C8F">
      <w:pPr>
        <w:jc w:val="center"/>
        <w:rPr>
          <w:b/>
          <w:u w:val="single"/>
        </w:rPr>
      </w:pPr>
    </w:p>
    <w:p w:rsidR="00BB2C8F" w:rsidRDefault="00BB2C8F" w:rsidP="00BB2C8F">
      <w:pPr>
        <w:rPr>
          <w:b/>
          <w:u w:val="single"/>
        </w:rPr>
      </w:pPr>
    </w:p>
    <w:p w:rsidR="00124A51" w:rsidRDefault="00124A51" w:rsidP="00BB2C8F">
      <w:pPr>
        <w:rPr>
          <w:b/>
          <w:u w:val="single"/>
        </w:rPr>
      </w:pPr>
    </w:p>
    <w:p w:rsidR="00124A51" w:rsidRDefault="00124A51" w:rsidP="00BB2C8F">
      <w:pPr>
        <w:rPr>
          <w:b/>
          <w:u w:val="single"/>
        </w:rPr>
      </w:pPr>
    </w:p>
    <w:p w:rsidR="00124A51" w:rsidRDefault="00124A51" w:rsidP="00BB2C8F">
      <w:pPr>
        <w:rPr>
          <w:b/>
          <w:u w:val="single"/>
        </w:rPr>
      </w:pPr>
    </w:p>
    <w:p w:rsidR="00124A51" w:rsidRDefault="00124A51" w:rsidP="00BB2C8F">
      <w:pPr>
        <w:rPr>
          <w:b/>
          <w:u w:val="single"/>
        </w:rPr>
      </w:pPr>
    </w:p>
    <w:p w:rsidR="002159AB" w:rsidRDefault="002159AB" w:rsidP="002159AB">
      <w:pPr>
        <w:jc w:val="center"/>
        <w:rPr>
          <w:b/>
          <w:u w:val="single"/>
        </w:rPr>
      </w:pPr>
      <w:r>
        <w:rPr>
          <w:b/>
          <w:u w:val="single"/>
        </w:rPr>
        <w:lastRenderedPageBreak/>
        <w:t>Statutory Elements Chart - Public Policy Tort (Wrongful Discharge)</w:t>
      </w:r>
    </w:p>
    <w:p w:rsidR="00124A51" w:rsidRDefault="00124A51" w:rsidP="00BB2C8F">
      <w:pPr>
        <w:rPr>
          <w:b/>
          <w:u w:val="single"/>
        </w:rPr>
      </w:pPr>
    </w:p>
    <w:p w:rsidR="00091753" w:rsidRDefault="00091753" w:rsidP="00BB2C8F">
      <w:pPr>
        <w:rPr>
          <w:b/>
          <w:u w:val="single"/>
        </w:rPr>
      </w:pPr>
    </w:p>
    <w:p w:rsidR="00091753" w:rsidRDefault="00091753" w:rsidP="00BB2C8F">
      <w:pPr>
        <w:rPr>
          <w:b/>
          <w:u w:val="single"/>
        </w:rPr>
      </w:pPr>
    </w:p>
    <w:p w:rsidR="00091753" w:rsidRDefault="00091753" w:rsidP="00BB2C8F">
      <w:pPr>
        <w:rPr>
          <w:b/>
          <w:u w:val="single"/>
        </w:rPr>
      </w:pPr>
    </w:p>
    <w:p w:rsidR="00091753" w:rsidRDefault="00091753" w:rsidP="00BB2C8F">
      <w:pPr>
        <w:rPr>
          <w:b/>
          <w:u w:val="single"/>
        </w:rPr>
      </w:pPr>
    </w:p>
    <w:p w:rsidR="00872173" w:rsidRDefault="00872173" w:rsidP="00BB2C8F">
      <w:pPr>
        <w:rPr>
          <w:b/>
          <w:u w:val="single"/>
        </w:rPr>
      </w:pPr>
    </w:p>
    <w:p w:rsidR="00872173" w:rsidRDefault="00872173" w:rsidP="00BB2C8F">
      <w:pPr>
        <w:rPr>
          <w:b/>
          <w:u w:val="single"/>
        </w:rPr>
      </w:pPr>
    </w:p>
    <w:p w:rsidR="00FE51FE" w:rsidRDefault="00FE51FE" w:rsidP="00BB2C8F">
      <w:pPr>
        <w:rPr>
          <w:b/>
          <w:u w:val="single"/>
        </w:rPr>
      </w:pPr>
    </w:p>
    <w:p w:rsidR="00FE51FE" w:rsidRDefault="00FE51FE" w:rsidP="00BB2C8F">
      <w:pPr>
        <w:rPr>
          <w:b/>
          <w:u w:val="single"/>
        </w:rPr>
      </w:pPr>
    </w:p>
    <w:p w:rsidR="00FE51FE" w:rsidRDefault="00FE51FE" w:rsidP="00BB2C8F">
      <w:pPr>
        <w:rPr>
          <w:b/>
          <w:u w:val="single"/>
        </w:rPr>
      </w:pPr>
    </w:p>
    <w:p w:rsidR="00FE51FE" w:rsidRDefault="00FE51FE" w:rsidP="00BB2C8F">
      <w:pPr>
        <w:rPr>
          <w:b/>
          <w:u w:val="single"/>
        </w:rPr>
      </w:pPr>
    </w:p>
    <w:p w:rsidR="00FE51FE" w:rsidRDefault="00FE51FE" w:rsidP="00BB2C8F">
      <w:pPr>
        <w:rPr>
          <w:b/>
          <w:u w:val="single"/>
        </w:rPr>
      </w:pPr>
    </w:p>
    <w:p w:rsidR="00FE51FE" w:rsidRDefault="00FE51FE" w:rsidP="00BB2C8F">
      <w:pPr>
        <w:rPr>
          <w:b/>
          <w:u w:val="single"/>
        </w:rPr>
      </w:pPr>
    </w:p>
    <w:p w:rsidR="00091753" w:rsidRDefault="00091753" w:rsidP="00BB2C8F">
      <w:pPr>
        <w:rPr>
          <w:b/>
          <w:u w:val="single"/>
        </w:rPr>
      </w:pPr>
    </w:p>
    <w:p w:rsidR="00091753" w:rsidRDefault="00091753" w:rsidP="00BB2C8F">
      <w:pPr>
        <w:rPr>
          <w:b/>
          <w:u w:val="single"/>
        </w:rPr>
      </w:pPr>
    </w:p>
    <w:p w:rsidR="00091753" w:rsidRDefault="00091753" w:rsidP="00BB2C8F">
      <w:pPr>
        <w:rPr>
          <w:b/>
          <w:u w:val="single"/>
        </w:rPr>
      </w:pPr>
    </w:p>
    <w:p w:rsidR="00124A51" w:rsidRDefault="00124A51" w:rsidP="00124A51">
      <w:pPr>
        <w:rPr>
          <w:b/>
          <w:u w:val="single"/>
        </w:rPr>
      </w:pPr>
    </w:p>
    <w:tbl>
      <w:tblPr>
        <w:tblStyle w:val="GridTable1Light"/>
        <w:tblpPr w:leftFromText="180" w:rightFromText="180" w:vertAnchor="page" w:horzAnchor="margin" w:tblpY="2081"/>
        <w:tblW w:w="90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10"/>
        <w:gridCol w:w="3155"/>
        <w:gridCol w:w="3415"/>
      </w:tblGrid>
      <w:tr w:rsidR="00091753" w:rsidTr="00CD0780">
        <w:trPr>
          <w:cnfStyle w:val="100000000000" w:firstRow="1" w:lastRow="0" w:firstColumn="0" w:lastColumn="0" w:oddVBand="0" w:evenVBand="0" w:oddHBand="0"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2510" w:type="dxa"/>
            <w:tcBorders>
              <w:bottom w:val="none" w:sz="0" w:space="0" w:color="auto"/>
            </w:tcBorders>
          </w:tcPr>
          <w:p w:rsidR="00091753" w:rsidRPr="00FE51FE" w:rsidRDefault="00091753" w:rsidP="00091753">
            <w:pPr>
              <w:jc w:val="center"/>
              <w:rPr>
                <w:b w:val="0"/>
                <w:bCs w:val="0"/>
                <w:sz w:val="22"/>
                <w:szCs w:val="22"/>
              </w:rPr>
            </w:pPr>
          </w:p>
          <w:p w:rsidR="00091753" w:rsidRPr="00FE51FE" w:rsidRDefault="00091753" w:rsidP="00091753">
            <w:pPr>
              <w:jc w:val="center"/>
              <w:rPr>
                <w:b w:val="0"/>
                <w:bCs w:val="0"/>
                <w:sz w:val="22"/>
                <w:szCs w:val="22"/>
              </w:rPr>
            </w:pPr>
          </w:p>
          <w:p w:rsidR="00091753" w:rsidRPr="00FE51FE" w:rsidRDefault="00091753" w:rsidP="00091753">
            <w:pPr>
              <w:jc w:val="center"/>
              <w:rPr>
                <w:sz w:val="22"/>
                <w:szCs w:val="22"/>
              </w:rPr>
            </w:pPr>
            <w:r w:rsidRPr="00FE51FE">
              <w:rPr>
                <w:sz w:val="22"/>
                <w:szCs w:val="22"/>
              </w:rPr>
              <w:t>Statutory Elements</w:t>
            </w:r>
          </w:p>
        </w:tc>
        <w:tc>
          <w:tcPr>
            <w:tcW w:w="3155" w:type="dxa"/>
            <w:tcBorders>
              <w:bottom w:val="none" w:sz="0" w:space="0" w:color="auto"/>
            </w:tcBorders>
          </w:tcPr>
          <w:p w:rsidR="00091753" w:rsidRPr="00FE51FE" w:rsidRDefault="00091753" w:rsidP="00091753">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
          <w:p w:rsidR="00091753" w:rsidRPr="00FE51FE" w:rsidRDefault="00091753" w:rsidP="00091753">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
          <w:p w:rsidR="00091753" w:rsidRPr="00FE51FE" w:rsidRDefault="00091753" w:rsidP="000917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FE51FE">
              <w:rPr>
                <w:sz w:val="22"/>
                <w:szCs w:val="22"/>
              </w:rPr>
              <w:t>Relevant Facts</w:t>
            </w:r>
          </w:p>
        </w:tc>
        <w:tc>
          <w:tcPr>
            <w:tcW w:w="3415" w:type="dxa"/>
            <w:tcBorders>
              <w:bottom w:val="none" w:sz="0" w:space="0" w:color="auto"/>
            </w:tcBorders>
          </w:tcPr>
          <w:p w:rsidR="00091753" w:rsidRPr="00FE51FE" w:rsidRDefault="00091753" w:rsidP="00091753">
            <w:pPr>
              <w:cnfStyle w:val="100000000000" w:firstRow="1" w:lastRow="0" w:firstColumn="0" w:lastColumn="0" w:oddVBand="0" w:evenVBand="0" w:oddHBand="0" w:evenHBand="0" w:firstRowFirstColumn="0" w:firstRowLastColumn="0" w:lastRowFirstColumn="0" w:lastRowLastColumn="0"/>
              <w:rPr>
                <w:b w:val="0"/>
                <w:bCs w:val="0"/>
                <w:sz w:val="22"/>
                <w:szCs w:val="22"/>
              </w:rPr>
            </w:pPr>
          </w:p>
          <w:p w:rsidR="00091753" w:rsidRPr="00FE51FE" w:rsidRDefault="00091753" w:rsidP="0009175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E51FE">
              <w:rPr>
                <w:sz w:val="22"/>
                <w:szCs w:val="22"/>
              </w:rPr>
              <w:t>Element Satisfied?</w:t>
            </w:r>
          </w:p>
          <w:p w:rsidR="00091753" w:rsidRPr="00FE51FE" w:rsidRDefault="00091753" w:rsidP="0009175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E51FE">
              <w:rPr>
                <w:sz w:val="22"/>
                <w:szCs w:val="22"/>
              </w:rPr>
              <w:t>Additional Facts Needed?</w:t>
            </w:r>
          </w:p>
          <w:p w:rsidR="00091753" w:rsidRPr="00FE51FE" w:rsidRDefault="00091753" w:rsidP="00091753">
            <w:pPr>
              <w:cnfStyle w:val="100000000000" w:firstRow="1" w:lastRow="0" w:firstColumn="0" w:lastColumn="0" w:oddVBand="0" w:evenVBand="0" w:oddHBand="0" w:evenHBand="0" w:firstRowFirstColumn="0" w:firstRowLastColumn="0" w:lastRowFirstColumn="0" w:lastRowLastColumn="0"/>
              <w:rPr>
                <w:sz w:val="22"/>
                <w:szCs w:val="22"/>
              </w:rPr>
            </w:pPr>
            <w:r w:rsidRPr="00FE51FE">
              <w:rPr>
                <w:sz w:val="22"/>
                <w:szCs w:val="22"/>
              </w:rPr>
              <w:t>Additional Research Needed?</w:t>
            </w:r>
          </w:p>
        </w:tc>
      </w:tr>
      <w:tr w:rsidR="00091753" w:rsidTr="00CD0780">
        <w:trPr>
          <w:trHeight w:val="181"/>
        </w:trPr>
        <w:tc>
          <w:tcPr>
            <w:cnfStyle w:val="001000000000" w:firstRow="0" w:lastRow="0" w:firstColumn="1" w:lastColumn="0" w:oddVBand="0" w:evenVBand="0" w:oddHBand="0" w:evenHBand="0" w:firstRowFirstColumn="0" w:firstRowLastColumn="0" w:lastRowFirstColumn="0" w:lastRowLastColumn="0"/>
            <w:tcW w:w="2510" w:type="dxa"/>
          </w:tcPr>
          <w:p w:rsidR="00091753" w:rsidRPr="00CD0780" w:rsidRDefault="00091753" w:rsidP="00091753">
            <w:pPr>
              <w:rPr>
                <w:b w:val="0"/>
                <w:bCs w:val="0"/>
                <w:sz w:val="22"/>
                <w:szCs w:val="22"/>
              </w:rPr>
            </w:pPr>
          </w:p>
          <w:p w:rsidR="00091753" w:rsidRPr="00CD0780" w:rsidRDefault="00FE51FE" w:rsidP="00091753">
            <w:pPr>
              <w:rPr>
                <w:b w:val="0"/>
                <w:sz w:val="22"/>
                <w:szCs w:val="22"/>
              </w:rPr>
            </w:pPr>
            <w:r w:rsidRPr="00CD0780">
              <w:rPr>
                <w:b w:val="0"/>
                <w:sz w:val="22"/>
                <w:szCs w:val="22"/>
              </w:rPr>
              <w:t>Wrongful discharge if:</w:t>
            </w:r>
          </w:p>
          <w:p w:rsidR="00091753" w:rsidRPr="00CD0780" w:rsidRDefault="00091753" w:rsidP="00091753">
            <w:pPr>
              <w:rPr>
                <w:b w:val="0"/>
                <w:sz w:val="22"/>
                <w:szCs w:val="22"/>
              </w:rPr>
            </w:pPr>
          </w:p>
          <w:p w:rsidR="00091753" w:rsidRPr="00CD0780" w:rsidRDefault="00091753" w:rsidP="00091753">
            <w:pPr>
              <w:rPr>
                <w:b w:val="0"/>
                <w:bCs w:val="0"/>
                <w:sz w:val="22"/>
                <w:szCs w:val="22"/>
              </w:rPr>
            </w:pPr>
          </w:p>
        </w:tc>
        <w:tc>
          <w:tcPr>
            <w:tcW w:w="3155" w:type="dxa"/>
          </w:tcPr>
          <w:p w:rsidR="00091753" w:rsidRPr="00CD0780" w:rsidRDefault="00091753" w:rsidP="00091753">
            <w:pPr>
              <w:cnfStyle w:val="000000000000" w:firstRow="0" w:lastRow="0" w:firstColumn="0" w:lastColumn="0" w:oddVBand="0" w:evenVBand="0" w:oddHBand="0" w:evenHBand="0" w:firstRowFirstColumn="0" w:firstRowLastColumn="0" w:lastRowFirstColumn="0" w:lastRowLastColumn="0"/>
              <w:rPr>
                <w:sz w:val="22"/>
                <w:szCs w:val="22"/>
              </w:rPr>
            </w:pPr>
          </w:p>
          <w:p w:rsidR="00CD0780" w:rsidRPr="00CD0780" w:rsidRDefault="00CD0780" w:rsidP="00091753">
            <w:pPr>
              <w:cnfStyle w:val="000000000000" w:firstRow="0" w:lastRow="0" w:firstColumn="0" w:lastColumn="0" w:oddVBand="0" w:evenVBand="0" w:oddHBand="0" w:evenHBand="0" w:firstRowFirstColumn="0" w:firstRowLastColumn="0" w:lastRowFirstColumn="0" w:lastRowLastColumn="0"/>
              <w:rPr>
                <w:sz w:val="22"/>
                <w:szCs w:val="22"/>
              </w:rPr>
            </w:pPr>
          </w:p>
        </w:tc>
        <w:tc>
          <w:tcPr>
            <w:tcW w:w="3415" w:type="dxa"/>
          </w:tcPr>
          <w:p w:rsidR="00CD0780" w:rsidRPr="00CD0780" w:rsidRDefault="00CD0780" w:rsidP="00091753">
            <w:pPr>
              <w:cnfStyle w:val="000000000000" w:firstRow="0" w:lastRow="0" w:firstColumn="0" w:lastColumn="0" w:oddVBand="0" w:evenVBand="0" w:oddHBand="0" w:evenHBand="0" w:firstRowFirstColumn="0" w:firstRowLastColumn="0" w:lastRowFirstColumn="0" w:lastRowLastColumn="0"/>
              <w:rPr>
                <w:sz w:val="22"/>
                <w:szCs w:val="22"/>
              </w:rPr>
            </w:pPr>
          </w:p>
          <w:p w:rsidR="00091753" w:rsidRPr="00CD0780" w:rsidRDefault="00091753" w:rsidP="00091753">
            <w:pPr>
              <w:cnfStyle w:val="000000000000" w:firstRow="0" w:lastRow="0" w:firstColumn="0" w:lastColumn="0" w:oddVBand="0" w:evenVBand="0" w:oddHBand="0" w:evenHBand="0" w:firstRowFirstColumn="0" w:firstRowLastColumn="0" w:lastRowFirstColumn="0" w:lastRowLastColumn="0"/>
              <w:rPr>
                <w:sz w:val="22"/>
                <w:szCs w:val="22"/>
              </w:rPr>
            </w:pPr>
          </w:p>
        </w:tc>
      </w:tr>
      <w:tr w:rsidR="00091753" w:rsidTr="00CD0780">
        <w:trPr>
          <w:trHeight w:val="181"/>
        </w:trPr>
        <w:tc>
          <w:tcPr>
            <w:cnfStyle w:val="001000000000" w:firstRow="0" w:lastRow="0" w:firstColumn="1" w:lastColumn="0" w:oddVBand="0" w:evenVBand="0" w:oddHBand="0" w:evenHBand="0" w:firstRowFirstColumn="0" w:firstRowLastColumn="0" w:lastRowFirstColumn="0" w:lastRowLastColumn="0"/>
            <w:tcW w:w="2510" w:type="dxa"/>
          </w:tcPr>
          <w:p w:rsidR="00091753" w:rsidRPr="00CD0780" w:rsidRDefault="00091753" w:rsidP="00091753">
            <w:pPr>
              <w:rPr>
                <w:b w:val="0"/>
                <w:bCs w:val="0"/>
                <w:sz w:val="22"/>
                <w:szCs w:val="22"/>
              </w:rPr>
            </w:pPr>
          </w:p>
          <w:p w:rsidR="00091753" w:rsidRPr="00CD0780" w:rsidRDefault="00FE51FE" w:rsidP="00FE51FE">
            <w:pPr>
              <w:pStyle w:val="ListParagraph"/>
              <w:numPr>
                <w:ilvl w:val="0"/>
                <w:numId w:val="5"/>
              </w:numPr>
              <w:rPr>
                <w:b w:val="0"/>
                <w:sz w:val="22"/>
                <w:szCs w:val="22"/>
              </w:rPr>
            </w:pPr>
            <w:r w:rsidRPr="00CD0780">
              <w:rPr>
                <w:b w:val="0"/>
                <w:sz w:val="22"/>
                <w:szCs w:val="22"/>
              </w:rPr>
              <w:t>at-will employee</w:t>
            </w:r>
          </w:p>
          <w:p w:rsidR="00091753" w:rsidRPr="00CD0780" w:rsidRDefault="00091753" w:rsidP="00091753">
            <w:pPr>
              <w:rPr>
                <w:b w:val="0"/>
                <w:bCs w:val="0"/>
                <w:sz w:val="22"/>
                <w:szCs w:val="22"/>
              </w:rPr>
            </w:pPr>
          </w:p>
          <w:p w:rsidR="00091753" w:rsidRPr="00CD0780" w:rsidRDefault="00091753" w:rsidP="00091753">
            <w:pPr>
              <w:rPr>
                <w:b w:val="0"/>
                <w:sz w:val="22"/>
                <w:szCs w:val="22"/>
              </w:rPr>
            </w:pPr>
          </w:p>
        </w:tc>
        <w:tc>
          <w:tcPr>
            <w:tcW w:w="3155" w:type="dxa"/>
          </w:tcPr>
          <w:p w:rsidR="00091753" w:rsidRPr="00CD0780" w:rsidRDefault="00CD0780" w:rsidP="00091753">
            <w:pPr>
              <w:cnfStyle w:val="000000000000" w:firstRow="0" w:lastRow="0" w:firstColumn="0" w:lastColumn="0" w:oddVBand="0" w:evenVBand="0" w:oddHBand="0" w:evenHBand="0" w:firstRowFirstColumn="0" w:firstRowLastColumn="0" w:lastRowFirstColumn="0" w:lastRowLastColumn="0"/>
              <w:rPr>
                <w:sz w:val="22"/>
                <w:szCs w:val="22"/>
              </w:rPr>
            </w:pPr>
            <w:r w:rsidRPr="00CD0780">
              <w:rPr>
                <w:sz w:val="22"/>
                <w:szCs w:val="22"/>
              </w:rPr>
              <w:t xml:space="preserve">Kinglsey is a junior SP at PCM, (assuming) in NC, an at-will employment state. </w:t>
            </w:r>
          </w:p>
        </w:tc>
        <w:tc>
          <w:tcPr>
            <w:tcW w:w="3415" w:type="dxa"/>
          </w:tcPr>
          <w:p w:rsidR="00424F45" w:rsidRDefault="00424F45" w:rsidP="00091753">
            <w:pPr>
              <w:cnfStyle w:val="000000000000" w:firstRow="0" w:lastRow="0" w:firstColumn="0" w:lastColumn="0" w:oddVBand="0" w:evenVBand="0" w:oddHBand="0" w:evenHBand="0" w:firstRowFirstColumn="0" w:firstRowLastColumn="0" w:lastRowFirstColumn="0" w:lastRowLastColumn="0"/>
              <w:rPr>
                <w:sz w:val="22"/>
                <w:szCs w:val="22"/>
              </w:rPr>
            </w:pPr>
          </w:p>
          <w:p w:rsidR="00091753" w:rsidRPr="00CD0780" w:rsidRDefault="00CD0780" w:rsidP="00091753">
            <w:pPr>
              <w:cnfStyle w:val="000000000000" w:firstRow="0" w:lastRow="0" w:firstColumn="0" w:lastColumn="0" w:oddVBand="0" w:evenVBand="0" w:oddHBand="0" w:evenHBand="0" w:firstRowFirstColumn="0" w:firstRowLastColumn="0" w:lastRowFirstColumn="0" w:lastRowLastColumn="0"/>
              <w:rPr>
                <w:sz w:val="22"/>
                <w:szCs w:val="22"/>
              </w:rPr>
            </w:pPr>
            <w:r w:rsidRPr="00CD0780">
              <w:rPr>
                <w:sz w:val="22"/>
                <w:szCs w:val="22"/>
              </w:rPr>
              <w:t xml:space="preserve">Satisfied. </w:t>
            </w:r>
          </w:p>
        </w:tc>
      </w:tr>
      <w:tr w:rsidR="00091753" w:rsidTr="00CD0780">
        <w:trPr>
          <w:trHeight w:val="181"/>
        </w:trPr>
        <w:tc>
          <w:tcPr>
            <w:cnfStyle w:val="001000000000" w:firstRow="0" w:lastRow="0" w:firstColumn="1" w:lastColumn="0" w:oddVBand="0" w:evenVBand="0" w:oddHBand="0" w:evenHBand="0" w:firstRowFirstColumn="0" w:firstRowLastColumn="0" w:lastRowFirstColumn="0" w:lastRowLastColumn="0"/>
            <w:tcW w:w="2510" w:type="dxa"/>
          </w:tcPr>
          <w:p w:rsidR="00091753" w:rsidRPr="00CD0780" w:rsidRDefault="00091753" w:rsidP="00091753">
            <w:pPr>
              <w:rPr>
                <w:b w:val="0"/>
                <w:bCs w:val="0"/>
                <w:sz w:val="22"/>
                <w:szCs w:val="22"/>
              </w:rPr>
            </w:pPr>
          </w:p>
          <w:p w:rsidR="00091753" w:rsidRPr="00CD0780" w:rsidRDefault="00FE51FE" w:rsidP="00FE51FE">
            <w:pPr>
              <w:pStyle w:val="ListParagraph"/>
              <w:numPr>
                <w:ilvl w:val="0"/>
                <w:numId w:val="5"/>
              </w:numPr>
              <w:rPr>
                <w:b w:val="0"/>
                <w:sz w:val="22"/>
                <w:szCs w:val="22"/>
              </w:rPr>
            </w:pPr>
            <w:r w:rsidRPr="00CD0780">
              <w:rPr>
                <w:b w:val="0"/>
                <w:sz w:val="22"/>
                <w:szCs w:val="22"/>
              </w:rPr>
              <w:t xml:space="preserve">termination for: </w:t>
            </w:r>
          </w:p>
          <w:p w:rsidR="00091753" w:rsidRPr="00CD0780" w:rsidRDefault="00091753" w:rsidP="00091753">
            <w:pPr>
              <w:rPr>
                <w:b w:val="0"/>
                <w:bCs w:val="0"/>
                <w:sz w:val="22"/>
                <w:szCs w:val="22"/>
              </w:rPr>
            </w:pPr>
          </w:p>
          <w:p w:rsidR="00091753" w:rsidRPr="00CD0780" w:rsidRDefault="00091753" w:rsidP="00091753">
            <w:pPr>
              <w:rPr>
                <w:b w:val="0"/>
                <w:sz w:val="22"/>
                <w:szCs w:val="22"/>
              </w:rPr>
            </w:pPr>
          </w:p>
        </w:tc>
        <w:tc>
          <w:tcPr>
            <w:tcW w:w="3155" w:type="dxa"/>
          </w:tcPr>
          <w:p w:rsidR="00CD0780" w:rsidRPr="00CD0780" w:rsidRDefault="00CD0780" w:rsidP="00091753">
            <w:pPr>
              <w:cnfStyle w:val="000000000000" w:firstRow="0" w:lastRow="0" w:firstColumn="0" w:lastColumn="0" w:oddVBand="0" w:evenVBand="0" w:oddHBand="0" w:evenHBand="0" w:firstRowFirstColumn="0" w:firstRowLastColumn="0" w:lastRowFirstColumn="0" w:lastRowLastColumn="0"/>
              <w:rPr>
                <w:sz w:val="22"/>
                <w:szCs w:val="22"/>
              </w:rPr>
            </w:pPr>
          </w:p>
          <w:p w:rsidR="00091753" w:rsidRPr="00CD0780" w:rsidRDefault="00CD0780" w:rsidP="00091753">
            <w:pPr>
              <w:cnfStyle w:val="000000000000" w:firstRow="0" w:lastRow="0" w:firstColumn="0" w:lastColumn="0" w:oddVBand="0" w:evenVBand="0" w:oddHBand="0" w:evenHBand="0" w:firstRowFirstColumn="0" w:firstRowLastColumn="0" w:lastRowFirstColumn="0" w:lastRowLastColumn="0"/>
              <w:rPr>
                <w:sz w:val="22"/>
                <w:szCs w:val="22"/>
              </w:rPr>
            </w:pPr>
            <w:r w:rsidRPr="00CD0780">
              <w:rPr>
                <w:sz w:val="22"/>
                <w:szCs w:val="22"/>
              </w:rPr>
              <w:t>Kingsley was not discharged, simply had file taken and relocated.</w:t>
            </w:r>
          </w:p>
          <w:p w:rsidR="00CD0780" w:rsidRPr="00CD0780" w:rsidRDefault="00CD0780" w:rsidP="00091753">
            <w:pPr>
              <w:cnfStyle w:val="000000000000" w:firstRow="0" w:lastRow="0" w:firstColumn="0" w:lastColumn="0" w:oddVBand="0" w:evenVBand="0" w:oddHBand="0" w:evenHBand="0" w:firstRowFirstColumn="0" w:firstRowLastColumn="0" w:lastRowFirstColumn="0" w:lastRowLastColumn="0"/>
              <w:rPr>
                <w:sz w:val="22"/>
                <w:szCs w:val="22"/>
              </w:rPr>
            </w:pPr>
          </w:p>
        </w:tc>
        <w:tc>
          <w:tcPr>
            <w:tcW w:w="3415" w:type="dxa"/>
          </w:tcPr>
          <w:p w:rsidR="00424F45" w:rsidRDefault="00424F45" w:rsidP="00091753">
            <w:pPr>
              <w:cnfStyle w:val="000000000000" w:firstRow="0" w:lastRow="0" w:firstColumn="0" w:lastColumn="0" w:oddVBand="0" w:evenVBand="0" w:oddHBand="0" w:evenHBand="0" w:firstRowFirstColumn="0" w:firstRowLastColumn="0" w:lastRowFirstColumn="0" w:lastRowLastColumn="0"/>
              <w:rPr>
                <w:sz w:val="22"/>
                <w:szCs w:val="22"/>
              </w:rPr>
            </w:pPr>
          </w:p>
          <w:p w:rsidR="00091753" w:rsidRPr="00CD0780" w:rsidRDefault="00CD0780" w:rsidP="00091753">
            <w:pPr>
              <w:cnfStyle w:val="000000000000" w:firstRow="0" w:lastRow="0" w:firstColumn="0" w:lastColumn="0" w:oddVBand="0" w:evenVBand="0" w:oddHBand="0" w:evenHBand="0" w:firstRowFirstColumn="0" w:firstRowLastColumn="0" w:lastRowFirstColumn="0" w:lastRowLastColumn="0"/>
              <w:rPr>
                <w:sz w:val="22"/>
                <w:szCs w:val="22"/>
              </w:rPr>
            </w:pPr>
            <w:r w:rsidRPr="00CD0780">
              <w:rPr>
                <w:sz w:val="22"/>
                <w:szCs w:val="22"/>
              </w:rPr>
              <w:t xml:space="preserve">Not satisfied. </w:t>
            </w:r>
          </w:p>
        </w:tc>
      </w:tr>
      <w:tr w:rsidR="00091753" w:rsidTr="00CD0780">
        <w:trPr>
          <w:trHeight w:val="181"/>
        </w:trPr>
        <w:tc>
          <w:tcPr>
            <w:cnfStyle w:val="001000000000" w:firstRow="0" w:lastRow="0" w:firstColumn="1" w:lastColumn="0" w:oddVBand="0" w:evenVBand="0" w:oddHBand="0" w:evenHBand="0" w:firstRowFirstColumn="0" w:firstRowLastColumn="0" w:lastRowFirstColumn="0" w:lastRowLastColumn="0"/>
            <w:tcW w:w="2510" w:type="dxa"/>
          </w:tcPr>
          <w:p w:rsidR="00091753" w:rsidRPr="00CD0780" w:rsidRDefault="00091753" w:rsidP="00091753">
            <w:pPr>
              <w:rPr>
                <w:b w:val="0"/>
                <w:bCs w:val="0"/>
                <w:sz w:val="22"/>
                <w:szCs w:val="22"/>
              </w:rPr>
            </w:pPr>
          </w:p>
          <w:p w:rsidR="00091753" w:rsidRPr="00CD0780" w:rsidRDefault="00FE51FE" w:rsidP="00FE51FE">
            <w:pPr>
              <w:pStyle w:val="ListParagraph"/>
              <w:numPr>
                <w:ilvl w:val="0"/>
                <w:numId w:val="6"/>
              </w:numPr>
              <w:rPr>
                <w:b w:val="0"/>
                <w:sz w:val="22"/>
                <w:szCs w:val="22"/>
              </w:rPr>
            </w:pPr>
            <w:r w:rsidRPr="00CD0780">
              <w:rPr>
                <w:b w:val="0"/>
                <w:sz w:val="22"/>
                <w:szCs w:val="22"/>
              </w:rPr>
              <w:t xml:space="preserve">unlawful purpose or reason; </w:t>
            </w:r>
          </w:p>
          <w:p w:rsidR="00091753" w:rsidRPr="00CD0780" w:rsidRDefault="00091753" w:rsidP="00091753">
            <w:pPr>
              <w:rPr>
                <w:b w:val="0"/>
                <w:bCs w:val="0"/>
                <w:sz w:val="22"/>
                <w:szCs w:val="22"/>
              </w:rPr>
            </w:pPr>
          </w:p>
        </w:tc>
        <w:tc>
          <w:tcPr>
            <w:tcW w:w="3155" w:type="dxa"/>
          </w:tcPr>
          <w:p w:rsidR="00091753" w:rsidRPr="00CD0780" w:rsidRDefault="00CD0780" w:rsidP="00CD078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szCs w:val="22"/>
              </w:rPr>
            </w:pPr>
            <w:r w:rsidRPr="00CD0780">
              <w:rPr>
                <w:sz w:val="22"/>
                <w:szCs w:val="22"/>
              </w:rPr>
              <w:t>B</w:t>
            </w:r>
            <w:r w:rsidR="008F40F8">
              <w:rPr>
                <w:sz w:val="22"/>
                <w:szCs w:val="22"/>
              </w:rPr>
              <w:t>osworth</w:t>
            </w:r>
            <w:r w:rsidRPr="00CD0780">
              <w:rPr>
                <w:sz w:val="22"/>
                <w:szCs w:val="22"/>
              </w:rPr>
              <w:t xml:space="preserve"> told Kingsley relocated temporarily (until end of month) to accommodate Austrian team </w:t>
            </w:r>
          </w:p>
          <w:p w:rsidR="00CD0780" w:rsidRPr="00CD0780" w:rsidRDefault="00CD0780" w:rsidP="00CD078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szCs w:val="22"/>
              </w:rPr>
            </w:pPr>
            <w:r w:rsidRPr="00CD0780">
              <w:rPr>
                <w:sz w:val="22"/>
                <w:szCs w:val="22"/>
              </w:rPr>
              <w:t>B</w:t>
            </w:r>
            <w:r w:rsidR="008F40F8">
              <w:rPr>
                <w:sz w:val="22"/>
                <w:szCs w:val="22"/>
              </w:rPr>
              <w:t>osworth</w:t>
            </w:r>
            <w:r w:rsidRPr="00CD0780">
              <w:rPr>
                <w:sz w:val="22"/>
                <w:szCs w:val="22"/>
              </w:rPr>
              <w:t xml:space="preserve"> (manager) took file from Kinglsey (junior SP)</w:t>
            </w:r>
          </w:p>
        </w:tc>
        <w:tc>
          <w:tcPr>
            <w:tcW w:w="3415" w:type="dxa"/>
          </w:tcPr>
          <w:p w:rsidR="00424F45" w:rsidRDefault="00424F45" w:rsidP="00091753">
            <w:pPr>
              <w:cnfStyle w:val="000000000000" w:firstRow="0" w:lastRow="0" w:firstColumn="0" w:lastColumn="0" w:oddVBand="0" w:evenVBand="0" w:oddHBand="0" w:evenHBand="0" w:firstRowFirstColumn="0" w:firstRowLastColumn="0" w:lastRowFirstColumn="0" w:lastRowLastColumn="0"/>
              <w:rPr>
                <w:sz w:val="22"/>
                <w:szCs w:val="22"/>
              </w:rPr>
            </w:pPr>
          </w:p>
          <w:p w:rsidR="00091753" w:rsidRPr="00CD0780" w:rsidRDefault="00424F45" w:rsidP="0009175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Not satisfied. </w:t>
            </w:r>
            <w:r w:rsidR="00CD0780">
              <w:rPr>
                <w:sz w:val="22"/>
                <w:szCs w:val="22"/>
              </w:rPr>
              <w:t>Not unlawful acts by B</w:t>
            </w:r>
            <w:r w:rsidR="008F40F8">
              <w:rPr>
                <w:sz w:val="22"/>
                <w:szCs w:val="22"/>
              </w:rPr>
              <w:t>oswor</w:t>
            </w:r>
            <w:r w:rsidR="00CD0780">
              <w:rPr>
                <w:sz w:val="22"/>
                <w:szCs w:val="22"/>
              </w:rPr>
              <w:t>t</w:t>
            </w:r>
            <w:r w:rsidR="008F40F8">
              <w:rPr>
                <w:sz w:val="22"/>
                <w:szCs w:val="22"/>
              </w:rPr>
              <w:t>h</w:t>
            </w:r>
            <w:r w:rsidR="00CD0780">
              <w:rPr>
                <w:sz w:val="22"/>
                <w:szCs w:val="22"/>
              </w:rPr>
              <w:t xml:space="preserve"> to take  a file from a subordinate or temporarily relocate to accommodate </w:t>
            </w:r>
            <w:r>
              <w:rPr>
                <w:sz w:val="22"/>
                <w:szCs w:val="22"/>
              </w:rPr>
              <w:t>visiting team.</w:t>
            </w:r>
          </w:p>
        </w:tc>
      </w:tr>
      <w:tr w:rsidR="00091753" w:rsidTr="00CD0780">
        <w:trPr>
          <w:trHeight w:val="181"/>
        </w:trPr>
        <w:tc>
          <w:tcPr>
            <w:cnfStyle w:val="001000000000" w:firstRow="0" w:lastRow="0" w:firstColumn="1" w:lastColumn="0" w:oddVBand="0" w:evenVBand="0" w:oddHBand="0" w:evenHBand="0" w:firstRowFirstColumn="0" w:firstRowLastColumn="0" w:lastRowFirstColumn="0" w:lastRowLastColumn="0"/>
            <w:tcW w:w="2510" w:type="dxa"/>
          </w:tcPr>
          <w:p w:rsidR="00091753" w:rsidRPr="00CD0780" w:rsidRDefault="00091753" w:rsidP="00091753">
            <w:pPr>
              <w:rPr>
                <w:b w:val="0"/>
                <w:bCs w:val="0"/>
                <w:sz w:val="22"/>
                <w:szCs w:val="22"/>
              </w:rPr>
            </w:pPr>
          </w:p>
          <w:p w:rsidR="00091753" w:rsidRPr="00CD0780" w:rsidRDefault="00FE51FE" w:rsidP="00FE51FE">
            <w:pPr>
              <w:pStyle w:val="ListParagraph"/>
              <w:numPr>
                <w:ilvl w:val="0"/>
                <w:numId w:val="6"/>
              </w:numPr>
              <w:rPr>
                <w:b w:val="0"/>
                <w:sz w:val="22"/>
                <w:szCs w:val="22"/>
              </w:rPr>
            </w:pPr>
            <w:r w:rsidRPr="00CD0780">
              <w:rPr>
                <w:b w:val="0"/>
                <w:sz w:val="22"/>
                <w:szCs w:val="22"/>
              </w:rPr>
              <w:t xml:space="preserve">that contravenes public policy </w:t>
            </w:r>
          </w:p>
          <w:p w:rsidR="00091753" w:rsidRPr="00CD0780" w:rsidRDefault="00091753" w:rsidP="00091753">
            <w:pPr>
              <w:rPr>
                <w:b w:val="0"/>
                <w:bCs w:val="0"/>
                <w:sz w:val="22"/>
                <w:szCs w:val="22"/>
              </w:rPr>
            </w:pPr>
          </w:p>
        </w:tc>
        <w:tc>
          <w:tcPr>
            <w:tcW w:w="3155" w:type="dxa"/>
          </w:tcPr>
          <w:p w:rsidR="00091753" w:rsidRDefault="00091753" w:rsidP="00091753">
            <w:pPr>
              <w:cnfStyle w:val="000000000000" w:firstRow="0" w:lastRow="0" w:firstColumn="0" w:lastColumn="0" w:oddVBand="0" w:evenVBand="0" w:oddHBand="0" w:evenHBand="0" w:firstRowFirstColumn="0" w:firstRowLastColumn="0" w:lastRowFirstColumn="0" w:lastRowLastColumn="0"/>
              <w:rPr>
                <w:sz w:val="22"/>
                <w:szCs w:val="22"/>
              </w:rPr>
            </w:pPr>
          </w:p>
          <w:p w:rsidR="00424F45" w:rsidRPr="00424F45" w:rsidRDefault="00424F45" w:rsidP="00424F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Fudging lists </w:t>
            </w:r>
          </w:p>
        </w:tc>
        <w:tc>
          <w:tcPr>
            <w:tcW w:w="3415" w:type="dxa"/>
          </w:tcPr>
          <w:p w:rsidR="00424F45" w:rsidRDefault="00424F45" w:rsidP="00091753">
            <w:pPr>
              <w:cnfStyle w:val="000000000000" w:firstRow="0" w:lastRow="0" w:firstColumn="0" w:lastColumn="0" w:oddVBand="0" w:evenVBand="0" w:oddHBand="0" w:evenHBand="0" w:firstRowFirstColumn="0" w:firstRowLastColumn="0" w:lastRowFirstColumn="0" w:lastRowLastColumn="0"/>
              <w:rPr>
                <w:sz w:val="22"/>
                <w:szCs w:val="22"/>
              </w:rPr>
            </w:pPr>
          </w:p>
          <w:p w:rsidR="00091753" w:rsidRPr="00CD0780" w:rsidRDefault="00424F45" w:rsidP="0009175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Satisfied. Public policy: Prevention of fudging books.</w:t>
            </w:r>
          </w:p>
        </w:tc>
      </w:tr>
    </w:tbl>
    <w:p w:rsidR="00BB2C8F" w:rsidRDefault="00BB2C8F" w:rsidP="006C44F7">
      <w:pPr>
        <w:jc w:val="center"/>
        <w:rPr>
          <w:b/>
          <w:u w:val="single"/>
        </w:rPr>
      </w:pPr>
      <w:r>
        <w:rPr>
          <w:b/>
          <w:u w:val="single"/>
        </w:rPr>
        <w:lastRenderedPageBreak/>
        <w:t>Whistleblower Analysis</w:t>
      </w:r>
    </w:p>
    <w:p w:rsidR="00BB2C8F" w:rsidRDefault="00BB2C8F" w:rsidP="0076064D">
      <w:pPr>
        <w:spacing w:line="360" w:lineRule="auto"/>
      </w:pPr>
    </w:p>
    <w:p w:rsidR="00BB2C8F" w:rsidRPr="00FE51FE" w:rsidRDefault="00BB2C8F" w:rsidP="0076064D">
      <w:pPr>
        <w:pStyle w:val="ListParagraph"/>
        <w:numPr>
          <w:ilvl w:val="0"/>
          <w:numId w:val="2"/>
        </w:numPr>
        <w:spacing w:line="360" w:lineRule="auto"/>
        <w:rPr>
          <w:b/>
        </w:rPr>
      </w:pPr>
      <w:r w:rsidRPr="00FE51FE">
        <w:rPr>
          <w:b/>
          <w:u w:val="single"/>
        </w:rPr>
        <w:t>Retaliation</w:t>
      </w:r>
      <w:r w:rsidRPr="00FE51FE">
        <w:rPr>
          <w:b/>
        </w:rPr>
        <w:t xml:space="preserve">. </w:t>
      </w:r>
    </w:p>
    <w:p w:rsidR="00EF2443" w:rsidRDefault="00F43CFC" w:rsidP="0076064D">
      <w:pPr>
        <w:spacing w:line="360" w:lineRule="auto"/>
        <w:ind w:firstLine="360"/>
        <w:jc w:val="both"/>
      </w:pPr>
      <w:r>
        <w:t xml:space="preserve">The applicable statute that applies to this jurisdiction is </w:t>
      </w:r>
      <w:r w:rsidR="00217634">
        <w:t>the North Carolina Retaliatory Discrimination Act</w:t>
      </w:r>
      <w:r w:rsidR="00F72E95">
        <w:t xml:space="preserve"> (REDA).</w:t>
      </w:r>
      <w:r>
        <w:t xml:space="preserve"> </w:t>
      </w:r>
      <w:r w:rsidR="007E5403">
        <w:t xml:space="preserve">REDA is a source of protection for whistleblowers in the form of statutory state law. </w:t>
      </w:r>
      <w:r>
        <w:t>This</w:t>
      </w:r>
      <w:r w:rsidR="00217634">
        <w:t xml:space="preserve"> governs potential liability for whistleblower retaliations</w:t>
      </w:r>
      <w:r w:rsidR="00141279">
        <w:t xml:space="preserve">. </w:t>
      </w:r>
      <w:r w:rsidR="00217634">
        <w:t>North Carolina’s Retaliatory Discrimination Act states: “</w:t>
      </w:r>
      <w:r w:rsidR="00EF2443">
        <w:t>[n]o person shall discriminate or take any retaliatory action against an employee because the employee in good faith does or threatens to … [f]</w:t>
      </w:r>
      <w:proofErr w:type="spellStart"/>
      <w:r w:rsidR="00EF2443">
        <w:t>ile</w:t>
      </w:r>
      <w:proofErr w:type="spellEnd"/>
      <w:r w:rsidR="00EF2443">
        <w:t xml:space="preserve"> a claim or complaint, initiate  any inquiry, investigation, inspection, proceeding or other action, or testify or provide information to any </w:t>
      </w:r>
      <w:r w:rsidR="00F72E95">
        <w:t>person</w:t>
      </w:r>
      <w:r w:rsidR="00EF2443">
        <w:t xml:space="preserve"> with respect to . . . Article 16 of this Chapter</w:t>
      </w:r>
      <w:r w:rsidR="00F72E95">
        <w:t xml:space="preserve">. </w:t>
      </w:r>
      <w:r w:rsidR="007E5403">
        <w:t xml:space="preserve">Since North Carolina recognizes a whistleblower protection, the state also recognizes an overlapping tort for wrongful discharge. </w:t>
      </w:r>
    </w:p>
    <w:p w:rsidR="00F72E95" w:rsidRDefault="00F72E95" w:rsidP="0076064D">
      <w:pPr>
        <w:spacing w:line="360" w:lineRule="auto"/>
        <w:ind w:firstLine="360"/>
        <w:jc w:val="both"/>
      </w:pPr>
      <w:r>
        <w:t xml:space="preserve">In </w:t>
      </w:r>
      <w:r w:rsidRPr="007E338D">
        <w:rPr>
          <w:i/>
        </w:rPr>
        <w:t>Pierce v. Atlantic Group, Inc</w:t>
      </w:r>
      <w:r>
        <w:t xml:space="preserve">., 724 S.E. 2d 68 (N.C. App. 2012), </w:t>
      </w:r>
      <w:r w:rsidR="00124A51">
        <w:t xml:space="preserve">the court found that the plaintiff in that case who called an ethics hotline to report retaliatory treatment he had been receiving following his suggestion regarding concern about occupational health and safety in the context of his employment with Atlantic Group did not satisfy an initiation of inquiry. </w:t>
      </w:r>
      <w:r>
        <w:t xml:space="preserve">The </w:t>
      </w:r>
      <w:r w:rsidR="00124A51">
        <w:t>elements applied here are</w:t>
      </w:r>
      <w:r>
        <w:t xml:space="preserve"> that in order to state a claim under REDA, a plaintiff must show (1) that he exercised his rights as listed under N.C.G.S § 95-241(a), (2) that he suffered an adverse employment action, and (3) that the alleged retaliatory action was taken because the employee exercised his rights under N.C.G.S. § 95-241(a). </w:t>
      </w:r>
    </w:p>
    <w:p w:rsidR="00F72E95" w:rsidRDefault="00F72E95" w:rsidP="0076064D">
      <w:pPr>
        <w:spacing w:line="360" w:lineRule="auto"/>
        <w:ind w:firstLine="360"/>
        <w:jc w:val="both"/>
      </w:pPr>
      <w:r>
        <w:t xml:space="preserve">Here, Taylor Kinglsey believes Brett </w:t>
      </w:r>
      <w:r w:rsidR="008F40F8">
        <w:t xml:space="preserve"> Bosworth “Brett”, </w:t>
      </w:r>
      <w:r w:rsidR="007F5908">
        <w:t xml:space="preserve">and in return </w:t>
      </w:r>
      <w:r>
        <w:t xml:space="preserve">has </w:t>
      </w:r>
      <w:r w:rsidR="007F5908">
        <w:t xml:space="preserve">file a claim that he </w:t>
      </w:r>
      <w:r>
        <w:t>retaliated against him/her by: taking Kinglsey off of the Smart-</w:t>
      </w:r>
      <w:proofErr w:type="spellStart"/>
      <w:r>
        <w:t>Tek</w:t>
      </w:r>
      <w:proofErr w:type="spellEnd"/>
      <w:r>
        <w:t xml:space="preserve"> IPO</w:t>
      </w:r>
      <w:r w:rsidR="00AF4ED0">
        <w:t>, taking the file of research and prelims,</w:t>
      </w:r>
      <w:r>
        <w:t xml:space="preserve"> and moving Kinglsey to a basement in the office for rest of the month. Kingsley’s belief for this is telling Brett this his handling of the account was unethical.</w:t>
      </w:r>
      <w:r w:rsidR="00124A51">
        <w:t xml:space="preserve"> In applying the same elements at Pierce, </w:t>
      </w:r>
      <w:r w:rsidR="00AF4ED0">
        <w:t>Kinglsey has a right to assert a claim and he did that internally when he/she alleged retaliation by Brett for crit</w:t>
      </w:r>
      <w:r w:rsidR="004D47A1">
        <w:t>ici</w:t>
      </w:r>
      <w:r w:rsidR="00AF4ED0">
        <w:t xml:space="preserve">zing </w:t>
      </w:r>
      <w:r w:rsidR="004D47A1">
        <w:t xml:space="preserve">Brett’s handling of an IPO as unethical and deceptive. Second, Kingsley experienced adverse employment by being relocated to the basemen and  having file of prelims and research taken by Brett. Brett may challenge this by saying that the relocation is temporary for the remainder of the short month of February, and it was only to accommodate the visiting Austrian team. Brett may further assert that in his position as a manager, it is not adverse treatment to take an junior SP off of an assignment and take it over. </w:t>
      </w:r>
      <w:r w:rsidR="007F5908">
        <w:t>Finally,</w:t>
      </w:r>
      <w:r w:rsidR="004D47A1">
        <w:t xml:space="preserve"> since Brett </w:t>
      </w:r>
      <w:r w:rsidR="004D47A1">
        <w:lastRenderedPageBreak/>
        <w:t xml:space="preserve">previously encouraged Kinglsey to “fudge” the books and even “grow  a pair” in doing so, coupled with the threat that he would take it over, this is likely enough to show that this was retaliatory action. </w:t>
      </w:r>
    </w:p>
    <w:p w:rsidR="00040F94" w:rsidRDefault="00AF4ED0" w:rsidP="00F05706">
      <w:pPr>
        <w:spacing w:line="360" w:lineRule="auto"/>
        <w:ind w:firstLine="360"/>
        <w:jc w:val="both"/>
      </w:pPr>
      <w:r>
        <w:t xml:space="preserve">Thus, it is likely that Brett has retaliated against Kingsley. </w:t>
      </w:r>
    </w:p>
    <w:p w:rsidR="00EF2443" w:rsidRPr="00FE51FE" w:rsidRDefault="00EF2443" w:rsidP="0076064D">
      <w:pPr>
        <w:pStyle w:val="ListParagraph"/>
        <w:numPr>
          <w:ilvl w:val="0"/>
          <w:numId w:val="3"/>
        </w:numPr>
        <w:spacing w:line="360" w:lineRule="auto"/>
        <w:jc w:val="both"/>
        <w:rPr>
          <w:b/>
          <w:u w:val="single"/>
        </w:rPr>
      </w:pPr>
      <w:r w:rsidRPr="00FE51FE">
        <w:rPr>
          <w:b/>
          <w:u w:val="single"/>
        </w:rPr>
        <w:t xml:space="preserve">Securities law violation.  </w:t>
      </w:r>
    </w:p>
    <w:p w:rsidR="009B280A" w:rsidRDefault="00EF2443" w:rsidP="00F05706">
      <w:pPr>
        <w:spacing w:line="360" w:lineRule="auto"/>
        <w:ind w:firstLine="360"/>
        <w:jc w:val="both"/>
      </w:pPr>
      <w:r>
        <w:t>C</w:t>
      </w:r>
      <w:r w:rsidR="00217634">
        <w:t xml:space="preserve">onsidering that the manager’s conduct would violate federal securities law, it is important to note that federal law prohibits employees from retaliating against employees for internally or externally reporting information about securities law violations. </w:t>
      </w:r>
      <w:r w:rsidR="00FE51FE">
        <w:t>Here, Kingsley internally reported his complaint stating Brett was unethical and deceptive in handling the IPO. Thus, Brett could not retaliate against Kinglsey, as it would further be in violation of securities law.</w:t>
      </w:r>
      <w:r w:rsidR="001340CC">
        <w:t xml:space="preserve"> </w:t>
      </w:r>
      <w:r w:rsidR="00F66B8D">
        <w:t xml:space="preserve">Although a </w:t>
      </w:r>
      <w:r w:rsidR="001340CC">
        <w:t>member of an employment practice group of a large f</w:t>
      </w:r>
      <w:r w:rsidR="00F66B8D">
        <w:t>ir</w:t>
      </w:r>
      <w:r w:rsidR="001340CC">
        <w:t>m</w:t>
      </w:r>
      <w:r w:rsidR="00F66B8D">
        <w:t>- where I do not practice securities law</w:t>
      </w:r>
      <w:r w:rsidR="001340CC">
        <w:t xml:space="preserve">, Sarbanes-Oxley Act required </w:t>
      </w:r>
      <w:r w:rsidR="007E5403">
        <w:t xml:space="preserve">attorneys practicing before the SEC to report evidence of a material violation of securities law up the corporate ladder. The Sarbanes-Oxley act prohibits publicly traded companies from retaliating against employees who provide information or assist in an investigation of fraud or violation of federal securities law. In handling this matter, I </w:t>
      </w:r>
      <w:r w:rsidR="00F66B8D">
        <w:t>would not be required</w:t>
      </w:r>
      <w:r w:rsidR="007E5403">
        <w:t xml:space="preserve"> to report such violation by Prestige Capital Management if it found that Brett committed securities frau</w:t>
      </w:r>
      <w:r w:rsidR="00195D23">
        <w:t>d</w:t>
      </w:r>
      <w:r w:rsidR="00F66B8D">
        <w:t>.</w:t>
      </w:r>
      <w:r w:rsidR="007E5403">
        <w:t xml:space="preserve"> </w:t>
      </w:r>
      <w:r w:rsidR="00FE51FE">
        <w:t xml:space="preserve"> </w:t>
      </w:r>
      <w:r w:rsidR="00F66B8D">
        <w:t>However</w:t>
      </w:r>
      <w:r w:rsidR="007E5403">
        <w:t>, e</w:t>
      </w:r>
      <w:r w:rsidR="00FE51FE">
        <w:t>mployee</w:t>
      </w:r>
      <w:r w:rsidR="00217634">
        <w:t xml:space="preserve"> Kingsley wil</w:t>
      </w:r>
      <w:r w:rsidR="00FE51FE">
        <w:t xml:space="preserve">l likely </w:t>
      </w:r>
      <w:r w:rsidR="00217634">
        <w:t xml:space="preserve">be able to rely on provisions of federal securities law to support the statutory and tort claims under North Carolina law. </w:t>
      </w:r>
    </w:p>
    <w:p w:rsidR="00217634" w:rsidRPr="00FE51FE" w:rsidRDefault="00BB2C8F" w:rsidP="0076064D">
      <w:pPr>
        <w:pStyle w:val="ListParagraph"/>
        <w:numPr>
          <w:ilvl w:val="0"/>
          <w:numId w:val="2"/>
        </w:numPr>
        <w:spacing w:line="360" w:lineRule="auto"/>
        <w:rPr>
          <w:b/>
        </w:rPr>
      </w:pPr>
      <w:r w:rsidRPr="00FE51FE">
        <w:rPr>
          <w:b/>
          <w:u w:val="single"/>
        </w:rPr>
        <w:t>Wrongful Discharge</w:t>
      </w:r>
      <w:r w:rsidRPr="00FE51FE">
        <w:rPr>
          <w:b/>
        </w:rPr>
        <w:t xml:space="preserve">. </w:t>
      </w:r>
    </w:p>
    <w:p w:rsidR="00FE51FE" w:rsidRDefault="007E5403" w:rsidP="0076064D">
      <w:pPr>
        <w:spacing w:line="360" w:lineRule="auto"/>
        <w:ind w:firstLine="360"/>
        <w:jc w:val="both"/>
      </w:pPr>
      <w:r>
        <w:t xml:space="preserve">Laws protecting whistleblowers from employer retaliation can derive form the tort of wrongful discharge in violation of public policy. </w:t>
      </w:r>
      <w:r w:rsidR="007E338D">
        <w:t xml:space="preserve">Tort claims in employment law are often asserted because the remedies are usually more generous compared to contract remedies and they can be asserted against employers, and against supervisors in individualized capacities. </w:t>
      </w:r>
      <w:r w:rsidR="00C50880">
        <w:t xml:space="preserve">Many instances of employment deal with at-will employment. North Carolina is an at-will employment state. However may courts have eroded the at-will rule by applying contract or tort principles to restrict employer’s ability to fire employees. Courts are more likely to apply tort doctrines like wrongful discharge in violation of public policy. This allows </w:t>
      </w:r>
      <w:r w:rsidR="007E338D">
        <w:t xml:space="preserve">an employee to serve the public interest notwithstanding the employer’s displeasure. Successful claims for wrongful discharge in violation of public policy fall into </w:t>
      </w:r>
      <w:r w:rsidR="00F43CFC">
        <w:t>one</w:t>
      </w:r>
      <w:r w:rsidR="007E338D">
        <w:t xml:space="preserve"> of four </w:t>
      </w:r>
      <w:r w:rsidR="00F43CFC">
        <w:t>categories</w:t>
      </w:r>
      <w:r w:rsidR="007E338D">
        <w:t xml:space="preserve">: refusing to commit an unlawful act, exercising a statutory right, fulfilling a public obligation, or whistleblowing. As with </w:t>
      </w:r>
      <w:r w:rsidR="00F43CFC">
        <w:t xml:space="preserve">employee Taylor Kinglsey, the issue here is one of whistleblowing. </w:t>
      </w:r>
    </w:p>
    <w:p w:rsidR="007E338D" w:rsidRDefault="007E338D" w:rsidP="0076064D">
      <w:pPr>
        <w:spacing w:line="360" w:lineRule="auto"/>
        <w:ind w:firstLine="360"/>
        <w:jc w:val="both"/>
      </w:pPr>
      <w:r>
        <w:lastRenderedPageBreak/>
        <w:t xml:space="preserve">In </w:t>
      </w:r>
      <w:proofErr w:type="spellStart"/>
      <w:r w:rsidRPr="007E338D">
        <w:rPr>
          <w:i/>
        </w:rPr>
        <w:t>Coman</w:t>
      </w:r>
      <w:proofErr w:type="spellEnd"/>
      <w:r w:rsidRPr="007E338D">
        <w:rPr>
          <w:i/>
        </w:rPr>
        <w:t xml:space="preserve"> v. Thomas </w:t>
      </w:r>
      <w:proofErr w:type="spellStart"/>
      <w:r w:rsidRPr="007E338D">
        <w:rPr>
          <w:i/>
        </w:rPr>
        <w:t>Mfg</w:t>
      </w:r>
      <w:proofErr w:type="spellEnd"/>
      <w:r w:rsidRPr="007E338D">
        <w:rPr>
          <w:i/>
        </w:rPr>
        <w:t xml:space="preserve"> Co</w:t>
      </w:r>
      <w:r>
        <w:t xml:space="preserve">., 325 N.C. 172 (1989), </w:t>
      </w:r>
      <w:r w:rsidR="006D242F">
        <w:t xml:space="preserve">a </w:t>
      </w:r>
      <w:r w:rsidR="00C14871">
        <w:t xml:space="preserve">whistleblowing </w:t>
      </w:r>
      <w:r w:rsidR="006D242F">
        <w:t xml:space="preserve"> truck driver’s employer</w:t>
      </w:r>
      <w:r w:rsidR="00FE51FE">
        <w:t xml:space="preserve"> </w:t>
      </w:r>
      <w:r w:rsidR="006D242F">
        <w:t xml:space="preserve">required him to violate Department of </w:t>
      </w:r>
      <w:r w:rsidR="00FE51FE">
        <w:t>Transportation</w:t>
      </w:r>
      <w:r w:rsidR="006D242F">
        <w:t xml:space="preserve"> regulations </w:t>
      </w:r>
      <w:r w:rsidR="00FE51FE">
        <w:t xml:space="preserve">and when he refused to do so, his pay was reduced by half. This court found that this violated federal regulations and public policy of North Carolina because actions committed against eh safety of the traveling public is public policy of the state. </w:t>
      </w:r>
      <w:r>
        <w:t xml:space="preserve">In </w:t>
      </w:r>
      <w:r w:rsidRPr="007E338D">
        <w:rPr>
          <w:i/>
        </w:rPr>
        <w:t xml:space="preserve">Garner v. </w:t>
      </w:r>
      <w:proofErr w:type="spellStart"/>
      <w:r w:rsidRPr="007E338D">
        <w:rPr>
          <w:i/>
        </w:rPr>
        <w:t>Rentenbaugh</w:t>
      </w:r>
      <w:proofErr w:type="spellEnd"/>
      <w:r w:rsidRPr="007E338D">
        <w:rPr>
          <w:i/>
        </w:rPr>
        <w:t xml:space="preserve"> Constructors Inc</w:t>
      </w:r>
      <w:r>
        <w:t xml:space="preserve">., 515 S.E. 2d 438 (N.C. 1999), </w:t>
      </w:r>
      <w:r w:rsidR="00B474E7">
        <w:t>the court held that there is no rise to a  claim for wrongful discharge because terminating an employee for drug use</w:t>
      </w:r>
      <w:r w:rsidR="00C14871">
        <w:t xml:space="preserve"> </w:t>
      </w:r>
      <w:r w:rsidR="00B474E7">
        <w:t xml:space="preserve">is permissible. In both of these cases the rule that governs wrongful discharge is that an employer wrongfully discharges an at-will employee if the termination is done for an unlawful reason or purpose that </w:t>
      </w:r>
      <w:r w:rsidR="007F5908">
        <w:t>violates</w:t>
      </w:r>
      <w:r w:rsidR="00B474E7">
        <w:t xml:space="preserve"> public policy. Courts have recognized a  public policy exception to the employment-at-will rule. </w:t>
      </w:r>
    </w:p>
    <w:p w:rsidR="00C50880" w:rsidRDefault="00C50880" w:rsidP="0076064D">
      <w:pPr>
        <w:spacing w:line="360" w:lineRule="auto"/>
        <w:ind w:firstLine="360"/>
        <w:jc w:val="both"/>
      </w:pPr>
      <w:r>
        <w:t xml:space="preserve">Here, </w:t>
      </w:r>
      <w:r w:rsidR="00EB1B92">
        <w:t xml:space="preserve">like in the </w:t>
      </w:r>
      <w:proofErr w:type="spellStart"/>
      <w:r w:rsidR="00EB1B92" w:rsidRPr="00EB1B92">
        <w:rPr>
          <w:i/>
        </w:rPr>
        <w:t>Coman</w:t>
      </w:r>
      <w:proofErr w:type="spellEnd"/>
      <w:r w:rsidR="00EB1B92" w:rsidRPr="00EB1B92">
        <w:rPr>
          <w:i/>
        </w:rPr>
        <w:t xml:space="preserve"> </w:t>
      </w:r>
      <w:r w:rsidR="00EB1B92">
        <w:t xml:space="preserve">case </w:t>
      </w:r>
      <w:r w:rsidR="00492FD2">
        <w:t>Kinglsey refused to do an illegal act, “fudge” books and ultimately criticized Brett’s handling of Smart-</w:t>
      </w:r>
      <w:proofErr w:type="spellStart"/>
      <w:r w:rsidR="00492FD2">
        <w:t>Tek’s</w:t>
      </w:r>
      <w:proofErr w:type="spellEnd"/>
      <w:r w:rsidR="00492FD2">
        <w:t xml:space="preserve"> IPO as unethical and deceptive.</w:t>
      </w:r>
      <w:r w:rsidR="009F3184">
        <w:t xml:space="preserve"> Assuming that PCM is in North Carolina. North Carolina is an at-will-employment state. Thus, Kingsley is an at-will employee. </w:t>
      </w:r>
      <w:r w:rsidR="0024153C">
        <w:t xml:space="preserve">Here, Kingsley has not been terminated like the plaintiff in the </w:t>
      </w:r>
      <w:r w:rsidR="0024153C" w:rsidRPr="00E40D4D">
        <w:rPr>
          <w:i/>
        </w:rPr>
        <w:t>Garner</w:t>
      </w:r>
      <w:r w:rsidR="0024153C">
        <w:t xml:space="preserve"> case, thus that element is not satisfied. Kingsley has had the IPO file full of research and prelims taken, and temporarily located to a basement office</w:t>
      </w:r>
      <w:r w:rsidR="00E40D4D">
        <w:t xml:space="preserve">, these things do not equate to a discharge. </w:t>
      </w:r>
      <w:r w:rsidR="00575F60">
        <w:t>Although Brett’s language of “don’t worry your pretty little head” and to “grow a pair”, is not ideal it is also not illegal</w:t>
      </w:r>
      <w:r w:rsidR="007F5908">
        <w:t xml:space="preserve">, </w:t>
      </w:r>
      <w:r w:rsidR="00575F60">
        <w:t>unlawful</w:t>
      </w:r>
      <w:r w:rsidR="007F5908">
        <w:t>, nor does it exhibit retaliatory motive</w:t>
      </w:r>
      <w:r w:rsidR="00575F60">
        <w:t xml:space="preserve">. Further, Brett backed up his decisions for Kingsley with reasonable explanations: accommodating Austrian team. Although it is not stated, Brett could claim that as a manager he can remove any junior SP from a project at any time. </w:t>
      </w:r>
      <w:r w:rsidR="00E45E79">
        <w:t xml:space="preserve">Finally, Kingsley can assert the public policy exception. The public policy issue would be to prevent </w:t>
      </w:r>
      <w:r w:rsidR="007F5908">
        <w:t>“f</w:t>
      </w:r>
      <w:r w:rsidR="00E45E79">
        <w:t>udging</w:t>
      </w:r>
      <w:r w:rsidR="007F5908">
        <w:t xml:space="preserve">” </w:t>
      </w:r>
      <w:r w:rsidR="00E45E79">
        <w:t xml:space="preserve">books or deter other employees from reporting unethical or deceptive keeping of books. However, this may not be  public concern. It is likely  not enough to implicate the public policy exception. </w:t>
      </w:r>
    </w:p>
    <w:p w:rsidR="00BB2C8F" w:rsidRPr="00BB2C8F" w:rsidRDefault="00E6775A" w:rsidP="0076064D">
      <w:pPr>
        <w:spacing w:line="360" w:lineRule="auto"/>
        <w:ind w:firstLine="360"/>
        <w:jc w:val="both"/>
      </w:pPr>
      <w:r>
        <w:t>Thus, it is unlikely that Kingsley has a wrongful discharge claim to assert against PCM and Brett Bosworth even though there may be a public policy argument about companies fudging books because he was not wrongfully discharged  and all of Brett’s actions can be reasonably explained.</w:t>
      </w:r>
      <w:bookmarkStart w:id="0" w:name="_GoBack"/>
      <w:bookmarkEnd w:id="0"/>
    </w:p>
    <w:sectPr w:rsidR="00BB2C8F" w:rsidRPr="00BB2C8F" w:rsidSect="007B35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D86" w:rsidRDefault="006F5D86" w:rsidP="005E1BD2">
      <w:r>
        <w:separator/>
      </w:r>
    </w:p>
  </w:endnote>
  <w:endnote w:type="continuationSeparator" w:id="0">
    <w:p w:rsidR="006F5D86" w:rsidRDefault="006F5D86" w:rsidP="005E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D86" w:rsidRDefault="006F5D86" w:rsidP="005E1BD2">
      <w:r>
        <w:separator/>
      </w:r>
    </w:p>
  </w:footnote>
  <w:footnote w:type="continuationSeparator" w:id="0">
    <w:p w:rsidR="006F5D86" w:rsidRDefault="006F5D86" w:rsidP="005E1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46C"/>
    <w:multiLevelType w:val="hybridMultilevel"/>
    <w:tmpl w:val="171CF6E0"/>
    <w:lvl w:ilvl="0" w:tplc="F2B0F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52272"/>
    <w:multiLevelType w:val="hybridMultilevel"/>
    <w:tmpl w:val="6130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20906"/>
    <w:multiLevelType w:val="hybridMultilevel"/>
    <w:tmpl w:val="66787608"/>
    <w:lvl w:ilvl="0" w:tplc="619619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D7C88"/>
    <w:multiLevelType w:val="hybridMultilevel"/>
    <w:tmpl w:val="E38E3FCE"/>
    <w:lvl w:ilvl="0" w:tplc="0F046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A3DAA"/>
    <w:multiLevelType w:val="hybridMultilevel"/>
    <w:tmpl w:val="EA1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4378D"/>
    <w:multiLevelType w:val="hybridMultilevel"/>
    <w:tmpl w:val="BF44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86528"/>
    <w:multiLevelType w:val="hybridMultilevel"/>
    <w:tmpl w:val="0D14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F5E31"/>
    <w:multiLevelType w:val="hybridMultilevel"/>
    <w:tmpl w:val="4F0CD158"/>
    <w:lvl w:ilvl="0" w:tplc="8C38B4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15370"/>
    <w:multiLevelType w:val="hybridMultilevel"/>
    <w:tmpl w:val="F618B30E"/>
    <w:lvl w:ilvl="0" w:tplc="BD921D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0B38A6"/>
    <w:multiLevelType w:val="hybridMultilevel"/>
    <w:tmpl w:val="0E18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582C87"/>
    <w:multiLevelType w:val="hybridMultilevel"/>
    <w:tmpl w:val="097645DE"/>
    <w:lvl w:ilvl="0" w:tplc="F3C2D9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7"/>
  </w:num>
  <w:num w:numId="3">
    <w:abstractNumId w:val="8"/>
  </w:num>
  <w:num w:numId="4">
    <w:abstractNumId w:val="10"/>
  </w:num>
  <w:num w:numId="5">
    <w:abstractNumId w:val="3"/>
  </w:num>
  <w:num w:numId="6">
    <w:abstractNumId w:val="0"/>
  </w:num>
  <w:num w:numId="7">
    <w:abstractNumId w:val="4"/>
  </w:num>
  <w:num w:numId="8">
    <w:abstractNumId w:val="1"/>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D2"/>
    <w:rsid w:val="00040F94"/>
    <w:rsid w:val="00091753"/>
    <w:rsid w:val="000C2EBA"/>
    <w:rsid w:val="00124A51"/>
    <w:rsid w:val="001340CC"/>
    <w:rsid w:val="00141279"/>
    <w:rsid w:val="00195D23"/>
    <w:rsid w:val="001B40AD"/>
    <w:rsid w:val="002159AB"/>
    <w:rsid w:val="00217634"/>
    <w:rsid w:val="00233EB3"/>
    <w:rsid w:val="0024153C"/>
    <w:rsid w:val="00364506"/>
    <w:rsid w:val="00424F45"/>
    <w:rsid w:val="00492FD2"/>
    <w:rsid w:val="004D47A1"/>
    <w:rsid w:val="00527674"/>
    <w:rsid w:val="00575F60"/>
    <w:rsid w:val="005E1BD2"/>
    <w:rsid w:val="006C44F7"/>
    <w:rsid w:val="006D242F"/>
    <w:rsid w:val="006E6E55"/>
    <w:rsid w:val="006F5D86"/>
    <w:rsid w:val="0076064D"/>
    <w:rsid w:val="00762DF5"/>
    <w:rsid w:val="007B3592"/>
    <w:rsid w:val="007D6B22"/>
    <w:rsid w:val="007E338D"/>
    <w:rsid w:val="007E5403"/>
    <w:rsid w:val="007F5908"/>
    <w:rsid w:val="00872173"/>
    <w:rsid w:val="008F40F8"/>
    <w:rsid w:val="00912906"/>
    <w:rsid w:val="009B280A"/>
    <w:rsid w:val="009F3184"/>
    <w:rsid w:val="00A00B3C"/>
    <w:rsid w:val="00AF4ED0"/>
    <w:rsid w:val="00B474E7"/>
    <w:rsid w:val="00BB2C8F"/>
    <w:rsid w:val="00BF59F9"/>
    <w:rsid w:val="00C14871"/>
    <w:rsid w:val="00C50880"/>
    <w:rsid w:val="00CD0780"/>
    <w:rsid w:val="00CF69D8"/>
    <w:rsid w:val="00D93F9F"/>
    <w:rsid w:val="00E40137"/>
    <w:rsid w:val="00E40D4D"/>
    <w:rsid w:val="00E45E79"/>
    <w:rsid w:val="00E6775A"/>
    <w:rsid w:val="00EB1B92"/>
    <w:rsid w:val="00EC42AD"/>
    <w:rsid w:val="00EF2443"/>
    <w:rsid w:val="00F05706"/>
    <w:rsid w:val="00F43CFC"/>
    <w:rsid w:val="00F66B8D"/>
    <w:rsid w:val="00F72E95"/>
    <w:rsid w:val="00F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53947"/>
  <w15:chartTrackingRefBased/>
  <w15:docId w15:val="{AA5BA9BF-60DB-7A4B-8CCA-5810272C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1B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E1BD2"/>
    <w:pPr>
      <w:tabs>
        <w:tab w:val="center" w:pos="4680"/>
        <w:tab w:val="right" w:pos="9360"/>
      </w:tabs>
    </w:pPr>
  </w:style>
  <w:style w:type="character" w:customStyle="1" w:styleId="HeaderChar">
    <w:name w:val="Header Char"/>
    <w:basedOn w:val="DefaultParagraphFont"/>
    <w:link w:val="Header"/>
    <w:uiPriority w:val="99"/>
    <w:rsid w:val="005E1BD2"/>
  </w:style>
  <w:style w:type="paragraph" w:styleId="Footer">
    <w:name w:val="footer"/>
    <w:basedOn w:val="Normal"/>
    <w:link w:val="FooterChar"/>
    <w:uiPriority w:val="99"/>
    <w:unhideWhenUsed/>
    <w:rsid w:val="005E1BD2"/>
    <w:pPr>
      <w:tabs>
        <w:tab w:val="center" w:pos="4680"/>
        <w:tab w:val="right" w:pos="9360"/>
      </w:tabs>
    </w:pPr>
  </w:style>
  <w:style w:type="character" w:customStyle="1" w:styleId="FooterChar">
    <w:name w:val="Footer Char"/>
    <w:basedOn w:val="DefaultParagraphFont"/>
    <w:link w:val="Footer"/>
    <w:uiPriority w:val="99"/>
    <w:rsid w:val="005E1BD2"/>
  </w:style>
  <w:style w:type="paragraph" w:styleId="ListParagraph">
    <w:name w:val="List Paragraph"/>
    <w:basedOn w:val="Normal"/>
    <w:uiPriority w:val="34"/>
    <w:qFormat/>
    <w:rsid w:val="00BB2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Rawlinson</dc:creator>
  <cp:keywords/>
  <dc:description/>
  <cp:lastModifiedBy>Kelli Rawlinson</cp:lastModifiedBy>
  <cp:revision>42</cp:revision>
  <dcterms:created xsi:type="dcterms:W3CDTF">2019-03-12T01:38:00Z</dcterms:created>
  <dcterms:modified xsi:type="dcterms:W3CDTF">2019-03-12T06:26:00Z</dcterms:modified>
</cp:coreProperties>
</file>