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3541" w:rsidRDefault="00803541" w:rsidP="00803541">
      <w:pPr>
        <w:widowControl w:val="0"/>
        <w:autoSpaceDE w:val="0"/>
        <w:autoSpaceDN w:val="0"/>
        <w:adjustRightInd w:val="0"/>
        <w:spacing w:after="0" w:line="240" w:lineRule="auto"/>
        <w:jc w:val="center"/>
        <w:rPr>
          <w:rFonts w:ascii="Georgia" w:hAnsi="Georgia" w:cs="Georgia"/>
          <w:color w:val="000000"/>
          <w:sz w:val="20"/>
          <w:szCs w:val="20"/>
        </w:rPr>
      </w:pPr>
      <w:bookmarkStart w:id="0" w:name="_GoBack"/>
      <w:bookmarkEnd w:id="0"/>
      <w:r>
        <w:rPr>
          <w:rFonts w:ascii="Georgia" w:hAnsi="Georgia" w:cs="Georgia"/>
          <w:color w:val="000000"/>
          <w:sz w:val="20"/>
          <w:szCs w:val="20"/>
        </w:rPr>
        <w:t>187 N.Y.S. 889</w:t>
      </w:r>
    </w:p>
    <w:p w:rsidR="00803541" w:rsidRDefault="00803541" w:rsidP="00803541">
      <w:pPr>
        <w:widowControl w:val="0"/>
        <w:autoSpaceDE w:val="0"/>
        <w:autoSpaceDN w:val="0"/>
        <w:adjustRightInd w:val="0"/>
        <w:spacing w:after="0" w:line="240" w:lineRule="auto"/>
        <w:jc w:val="center"/>
        <w:rPr>
          <w:rFonts w:ascii="Georgia" w:hAnsi="Georgia" w:cs="Georgia"/>
          <w:color w:val="000000"/>
          <w:sz w:val="20"/>
          <w:szCs w:val="20"/>
        </w:rPr>
      </w:pPr>
      <w:r>
        <w:rPr>
          <w:rFonts w:ascii="Georgia" w:hAnsi="Georgia" w:cs="Georgia"/>
          <w:color w:val="000000"/>
          <w:sz w:val="20"/>
          <w:szCs w:val="20"/>
        </w:rPr>
        <w:t>Supreme Court, New York County, New York,</w:t>
      </w:r>
    </w:p>
    <w:p w:rsidR="00803541" w:rsidRDefault="00803541" w:rsidP="00803541">
      <w:pPr>
        <w:widowControl w:val="0"/>
        <w:autoSpaceDE w:val="0"/>
        <w:autoSpaceDN w:val="0"/>
        <w:adjustRightInd w:val="0"/>
        <w:spacing w:after="0" w:line="240" w:lineRule="auto"/>
        <w:jc w:val="center"/>
        <w:rPr>
          <w:rFonts w:ascii="Georgia" w:hAnsi="Georgia" w:cs="Georgia"/>
          <w:color w:val="000000"/>
          <w:sz w:val="20"/>
          <w:szCs w:val="20"/>
        </w:rPr>
      </w:pPr>
      <w:r>
        <w:rPr>
          <w:rFonts w:ascii="Georgia" w:hAnsi="Georgia" w:cs="Georgia"/>
          <w:color w:val="000000"/>
          <w:sz w:val="20"/>
          <w:szCs w:val="20"/>
        </w:rPr>
        <w:t>Special Term.</w:t>
      </w:r>
    </w:p>
    <w:p w:rsidR="00803541" w:rsidRDefault="00803541" w:rsidP="00803541">
      <w:pPr>
        <w:widowControl w:val="0"/>
        <w:autoSpaceDE w:val="0"/>
        <w:autoSpaceDN w:val="0"/>
        <w:adjustRightInd w:val="0"/>
        <w:spacing w:before="200" w:after="0" w:line="240" w:lineRule="auto"/>
        <w:ind w:left="100" w:right="100"/>
        <w:jc w:val="center"/>
        <w:rPr>
          <w:rFonts w:ascii="Georgia" w:hAnsi="Georgia" w:cs="Georgia"/>
          <w:color w:val="252525"/>
          <w:sz w:val="20"/>
          <w:szCs w:val="20"/>
        </w:rPr>
      </w:pPr>
      <w:r>
        <w:rPr>
          <w:rFonts w:ascii="Georgia" w:hAnsi="Georgia" w:cs="Georgia"/>
          <w:color w:val="252525"/>
          <w:sz w:val="20"/>
          <w:szCs w:val="20"/>
        </w:rPr>
        <w:t>JACKEL et al.</w:t>
      </w:r>
    </w:p>
    <w:p w:rsidR="00803541" w:rsidRDefault="00803541" w:rsidP="00803541">
      <w:pPr>
        <w:widowControl w:val="0"/>
        <w:autoSpaceDE w:val="0"/>
        <w:autoSpaceDN w:val="0"/>
        <w:adjustRightInd w:val="0"/>
        <w:spacing w:after="0" w:line="240" w:lineRule="auto"/>
        <w:ind w:left="100" w:right="100"/>
        <w:jc w:val="center"/>
        <w:rPr>
          <w:rFonts w:ascii="Georgia" w:hAnsi="Georgia" w:cs="Georgia"/>
          <w:color w:val="252525"/>
          <w:sz w:val="20"/>
          <w:szCs w:val="20"/>
        </w:rPr>
      </w:pPr>
      <w:r>
        <w:rPr>
          <w:rFonts w:ascii="Georgia" w:hAnsi="Georgia" w:cs="Georgia"/>
          <w:color w:val="252525"/>
          <w:sz w:val="20"/>
          <w:szCs w:val="20"/>
        </w:rPr>
        <w:t>v.</w:t>
      </w:r>
    </w:p>
    <w:p w:rsidR="00803541" w:rsidRDefault="00803541" w:rsidP="00803541">
      <w:pPr>
        <w:widowControl w:val="0"/>
        <w:autoSpaceDE w:val="0"/>
        <w:autoSpaceDN w:val="0"/>
        <w:adjustRightInd w:val="0"/>
        <w:spacing w:line="240" w:lineRule="auto"/>
        <w:ind w:left="100" w:right="100"/>
        <w:jc w:val="center"/>
        <w:rPr>
          <w:rFonts w:ascii="Georgia" w:hAnsi="Georgia" w:cs="Georgia"/>
          <w:color w:val="252525"/>
          <w:sz w:val="20"/>
          <w:szCs w:val="20"/>
        </w:rPr>
      </w:pPr>
      <w:r>
        <w:rPr>
          <w:rFonts w:ascii="Georgia" w:hAnsi="Georgia" w:cs="Georgia"/>
          <w:color w:val="252525"/>
          <w:sz w:val="20"/>
          <w:szCs w:val="20"/>
        </w:rPr>
        <w:t>KAUFMAN et al.</w:t>
      </w:r>
    </w:p>
    <w:p w:rsidR="00803541" w:rsidRDefault="00803541" w:rsidP="00803541">
      <w:pPr>
        <w:widowControl w:val="0"/>
        <w:autoSpaceDE w:val="0"/>
        <w:autoSpaceDN w:val="0"/>
        <w:adjustRightInd w:val="0"/>
        <w:spacing w:line="240" w:lineRule="auto"/>
        <w:ind w:left="200"/>
        <w:jc w:val="center"/>
        <w:rPr>
          <w:rFonts w:ascii="Georgia" w:hAnsi="Georgia" w:cs="Georgia"/>
          <w:color w:val="000000"/>
          <w:sz w:val="20"/>
          <w:szCs w:val="20"/>
        </w:rPr>
      </w:pPr>
      <w:r>
        <w:rPr>
          <w:rFonts w:ascii="Georgia" w:hAnsi="Georgia" w:cs="Georgia"/>
          <w:color w:val="000000"/>
          <w:sz w:val="20"/>
          <w:szCs w:val="20"/>
        </w:rPr>
        <w:t>October 12, 1920.</w:t>
      </w:r>
    </w:p>
    <w:p w:rsidR="00803541" w:rsidRDefault="00803541" w:rsidP="00803541">
      <w:pPr>
        <w:widowControl w:val="0"/>
        <w:autoSpaceDE w:val="0"/>
        <w:autoSpaceDN w:val="0"/>
        <w:adjustRightInd w:val="0"/>
        <w:spacing w:before="200"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Action by one Jaeckel and others against one Kaufman and others. On application for injunction pendente lite. Application granted.</w:t>
      </w:r>
    </w:p>
    <w:p w:rsidR="00803541" w:rsidRDefault="00803541" w:rsidP="00803541">
      <w:pPr>
        <w:widowControl w:val="0"/>
        <w:autoSpaceDE w:val="0"/>
        <w:autoSpaceDN w:val="0"/>
        <w:adjustRightInd w:val="0"/>
        <w:spacing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rsidR="00803541" w:rsidRDefault="00803541" w:rsidP="00803541">
      <w:pPr>
        <w:widowControl w:val="0"/>
        <w:autoSpaceDE w:val="0"/>
        <w:autoSpaceDN w:val="0"/>
        <w:adjustRightInd w:val="0"/>
        <w:spacing w:after="0" w:line="240" w:lineRule="auto"/>
        <w:jc w:val="both"/>
        <w:rPr>
          <w:rFonts w:ascii="Times New Roman" w:hAnsi="Times New Roman" w:cs="Times New Roman"/>
          <w:color w:val="000000"/>
          <w:sz w:val="20"/>
          <w:szCs w:val="20"/>
        </w:rPr>
      </w:pPr>
      <w:bookmarkStart w:id="1" w:name="co_headnotes_1"/>
      <w:bookmarkEnd w:id="1"/>
    </w:p>
    <w:p w:rsidR="00803541" w:rsidRDefault="00803541" w:rsidP="00803541">
      <w:pPr>
        <w:widowControl w:val="0"/>
        <w:autoSpaceDE w:val="0"/>
        <w:autoSpaceDN w:val="0"/>
        <w:adjustRightInd w:val="0"/>
        <w:spacing w:after="0" w:line="240" w:lineRule="auto"/>
        <w:jc w:val="both"/>
        <w:rPr>
          <w:rFonts w:ascii="Times New Roman" w:hAnsi="Times New Roman" w:cs="Times New Roman"/>
          <w:color w:val="252525"/>
          <w:sz w:val="20"/>
          <w:szCs w:val="20"/>
        </w:rPr>
      </w:pPr>
      <w:bookmarkStart w:id="2" w:name="co_headnoteHeader_1"/>
      <w:bookmarkEnd w:id="2"/>
    </w:p>
    <w:p w:rsidR="00803541" w:rsidRDefault="00803541" w:rsidP="00803541">
      <w:pPr>
        <w:widowControl w:val="0"/>
        <w:autoSpaceDE w:val="0"/>
        <w:autoSpaceDN w:val="0"/>
        <w:adjustRightInd w:val="0"/>
        <w:spacing w:before="200" w:after="0" w:line="240" w:lineRule="auto"/>
        <w:ind w:left="100" w:right="200"/>
        <w:jc w:val="both"/>
        <w:rPr>
          <w:rFonts w:ascii="Times New Roman" w:hAnsi="Times New Roman" w:cs="Times New Roman"/>
          <w:color w:val="252525"/>
          <w:sz w:val="20"/>
          <w:szCs w:val="20"/>
        </w:rPr>
      </w:pPr>
      <w:r>
        <w:rPr>
          <w:rFonts w:ascii="Times New Roman" w:hAnsi="Times New Roman" w:cs="Times New Roman"/>
          <w:color w:val="252525"/>
          <w:sz w:val="20"/>
          <w:szCs w:val="20"/>
        </w:rPr>
        <w:t>West Headnotes (1)</w:t>
      </w:r>
    </w:p>
    <w:p w:rsidR="00803541" w:rsidRDefault="00803541" w:rsidP="00803541">
      <w:pPr>
        <w:widowControl w:val="0"/>
        <w:autoSpaceDE w:val="0"/>
        <w:autoSpaceDN w:val="0"/>
        <w:adjustRightInd w:val="0"/>
        <w:spacing w:after="0" w:line="240" w:lineRule="auto"/>
        <w:jc w:val="both"/>
        <w:rPr>
          <w:rFonts w:ascii="Times New Roman" w:hAnsi="Times New Roman" w:cs="Times New Roman"/>
          <w:color w:val="000000"/>
          <w:sz w:val="20"/>
          <w:szCs w:val="20"/>
        </w:rPr>
      </w:pPr>
      <w:bookmarkStart w:id="3" w:name="co_expandedHeadnotes_1"/>
      <w:bookmarkEnd w:id="3"/>
    </w:p>
    <w:p w:rsidR="00803541" w:rsidRDefault="00803541" w:rsidP="00803541">
      <w:pPr>
        <w:widowControl w:val="0"/>
        <w:autoSpaceDE w:val="0"/>
        <w:autoSpaceDN w:val="0"/>
        <w:adjustRightInd w:val="0"/>
        <w:spacing w:after="0" w:line="240" w:lineRule="auto"/>
        <w:jc w:val="both"/>
        <w:rPr>
          <w:rFonts w:ascii="Times New Roman" w:hAnsi="Times New Roman" w:cs="Times New Roman"/>
          <w:color w:val="000000"/>
          <w:sz w:val="20"/>
          <w:szCs w:val="20"/>
        </w:rPr>
      </w:pPr>
      <w:bookmarkStart w:id="4" w:name="co_anchor_1920138800501_1"/>
      <w:bookmarkEnd w:id="4"/>
    </w:p>
    <w:tbl>
      <w:tblPr>
        <w:tblW w:w="0" w:type="auto"/>
        <w:tblInd w:w="30" w:type="dxa"/>
        <w:tblLayout w:type="fixed"/>
        <w:tblCellMar>
          <w:left w:w="0" w:type="dxa"/>
          <w:right w:w="0" w:type="dxa"/>
        </w:tblCellMar>
        <w:tblLook w:val="04A0" w:firstRow="1" w:lastRow="0" w:firstColumn="1" w:lastColumn="0" w:noHBand="0" w:noVBand="1"/>
      </w:tblPr>
      <w:tblGrid>
        <w:gridCol w:w="600"/>
        <w:gridCol w:w="4040"/>
      </w:tblGrid>
      <w:tr w:rsidR="00803541" w:rsidTr="00803541">
        <w:tc>
          <w:tcPr>
            <w:tcW w:w="600" w:type="dxa"/>
            <w:tcMar>
              <w:top w:w="0" w:type="dxa"/>
              <w:left w:w="30" w:type="dxa"/>
              <w:bottom w:w="0" w:type="dxa"/>
              <w:right w:w="30" w:type="dxa"/>
            </w:tcMar>
          </w:tcPr>
          <w:p w:rsidR="00803541" w:rsidRDefault="00803541">
            <w:pPr>
              <w:widowControl w:val="0"/>
              <w:autoSpaceDE w:val="0"/>
              <w:autoSpaceDN w:val="0"/>
              <w:adjustRightInd w:val="0"/>
              <w:spacing w:after="0" w:line="240" w:lineRule="auto"/>
              <w:ind w:left="30" w:right="30"/>
              <w:rPr>
                <w:rFonts w:ascii="Times New Roman" w:hAnsi="Times New Roman" w:cs="Times New Roman"/>
                <w:b/>
                <w:bCs/>
                <w:color w:val="000000"/>
                <w:sz w:val="20"/>
                <w:szCs w:val="20"/>
              </w:rPr>
            </w:pPr>
            <w:bookmarkStart w:id="5" w:name="co_anchor_1920138800_1"/>
            <w:bookmarkEnd w:id="5"/>
            <w:r>
              <w:rPr>
                <w:rFonts w:ascii="Times New Roman" w:hAnsi="Times New Roman" w:cs="Times New Roman"/>
                <w:b/>
                <w:bCs/>
                <w:color w:val="000000"/>
                <w:sz w:val="20"/>
                <w:szCs w:val="20"/>
              </w:rPr>
              <w:t>[1]</w:t>
            </w:r>
          </w:p>
          <w:p w:rsidR="00803541" w:rsidRDefault="00803541">
            <w:pPr>
              <w:widowControl w:val="0"/>
              <w:autoSpaceDE w:val="0"/>
              <w:autoSpaceDN w:val="0"/>
              <w:adjustRightInd w:val="0"/>
              <w:spacing w:after="0" w:line="240" w:lineRule="auto"/>
              <w:ind w:left="30" w:right="30"/>
              <w:rPr>
                <w:rFonts w:ascii="Times New Roman" w:hAnsi="Times New Roman" w:cs="Times New Roman"/>
                <w:b/>
                <w:bCs/>
                <w:color w:val="000000"/>
                <w:sz w:val="20"/>
                <w:szCs w:val="20"/>
              </w:rPr>
            </w:pPr>
          </w:p>
        </w:tc>
        <w:tc>
          <w:tcPr>
            <w:tcW w:w="4040" w:type="dxa"/>
            <w:tcMar>
              <w:top w:w="0" w:type="dxa"/>
              <w:left w:w="30" w:type="dxa"/>
              <w:bottom w:w="0" w:type="dxa"/>
              <w:right w:w="30" w:type="dxa"/>
            </w:tcMar>
          </w:tcPr>
          <w:p w:rsidR="00803541" w:rsidRDefault="00803541">
            <w:pPr>
              <w:widowControl w:val="0"/>
              <w:autoSpaceDE w:val="0"/>
              <w:autoSpaceDN w:val="0"/>
              <w:adjustRightInd w:val="0"/>
              <w:spacing w:after="0" w:line="240" w:lineRule="auto"/>
              <w:ind w:left="30" w:right="30"/>
              <w:rPr>
                <w:rFonts w:ascii="Times New Roman" w:hAnsi="Times New Roman" w:cs="Times New Roman"/>
                <w:color w:val="000000"/>
                <w:sz w:val="20"/>
                <w:szCs w:val="20"/>
              </w:rPr>
            </w:pPr>
            <w:hyperlink r:id="rId6" w:history="1">
              <w:r>
                <w:rPr>
                  <w:rStyle w:val="Hyperlink"/>
                  <w:rFonts w:ascii="Times New Roman" w:hAnsi="Times New Roman" w:cs="Times New Roman"/>
                  <w:b/>
                  <w:bCs/>
                  <w:color w:val="000000"/>
                  <w:sz w:val="20"/>
                  <w:szCs w:val="20"/>
                </w:rPr>
                <w:t>Labor and Employment</w:t>
              </w:r>
            </w:hyperlink>
          </w:p>
          <w:p w:rsidR="00803541" w:rsidRDefault="00803541">
            <w:pPr>
              <w:widowControl w:val="0"/>
              <w:autoSpaceDE w:val="0"/>
              <w:autoSpaceDN w:val="0"/>
              <w:adjustRightInd w:val="0"/>
              <w:spacing w:after="0" w:line="240" w:lineRule="auto"/>
              <w:ind w:left="30" w:right="30"/>
              <w:rPr>
                <w:rFonts w:ascii="Times New Roman" w:hAnsi="Times New Roman" w:cs="Times New Roman"/>
                <w:color w:val="000000"/>
                <w:sz w:val="20"/>
                <w:szCs w:val="20"/>
              </w:rPr>
            </w:pPr>
            <w:r>
              <w:rPr>
                <w:rFonts w:ascii="Times New Roman" w:hAnsi="Times New Roman" w:cs="Times New Roman"/>
                <w:noProof/>
                <w:color w:val="000000"/>
                <w:sz w:val="20"/>
                <w:szCs w:val="20"/>
              </w:rPr>
              <w:drawing>
                <wp:inline distT="0" distB="0" distL="0" distR="0">
                  <wp:extent cx="133350" cy="76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76200"/>
                          </a:xfrm>
                          <a:prstGeom prst="rect">
                            <a:avLst/>
                          </a:prstGeom>
                          <a:noFill/>
                          <a:ln>
                            <a:noFill/>
                          </a:ln>
                        </pic:spPr>
                      </pic:pic>
                    </a:graphicData>
                  </a:graphic>
                </wp:inline>
              </w:drawing>
            </w:r>
            <w:hyperlink r:id="rId8" w:history="1">
              <w:r>
                <w:rPr>
                  <w:rStyle w:val="Hyperlink"/>
                  <w:rFonts w:ascii="Times New Roman" w:hAnsi="Times New Roman" w:cs="Times New Roman"/>
                  <w:color w:val="000000"/>
                  <w:sz w:val="20"/>
                  <w:szCs w:val="20"/>
                </w:rPr>
                <w:t>Right to Picket in General</w:t>
              </w:r>
            </w:hyperlink>
          </w:p>
          <w:p w:rsidR="00803541" w:rsidRDefault="00803541">
            <w:pPr>
              <w:widowControl w:val="0"/>
              <w:autoSpaceDE w:val="0"/>
              <w:autoSpaceDN w:val="0"/>
              <w:adjustRightInd w:val="0"/>
              <w:spacing w:after="0" w:line="240" w:lineRule="auto"/>
              <w:ind w:left="30" w:right="30"/>
              <w:rPr>
                <w:rFonts w:ascii="Times New Roman" w:hAnsi="Times New Roman" w:cs="Times New Roman"/>
                <w:color w:val="000000"/>
                <w:sz w:val="20"/>
                <w:szCs w:val="20"/>
              </w:rPr>
            </w:pPr>
          </w:p>
        </w:tc>
      </w:tr>
      <w:tr w:rsidR="00803541" w:rsidTr="00803541">
        <w:tc>
          <w:tcPr>
            <w:tcW w:w="600" w:type="dxa"/>
            <w:tcMar>
              <w:top w:w="0" w:type="dxa"/>
              <w:left w:w="30" w:type="dxa"/>
              <w:bottom w:w="0" w:type="dxa"/>
              <w:right w:w="30" w:type="dxa"/>
            </w:tcMar>
          </w:tcPr>
          <w:p w:rsidR="00803541" w:rsidRDefault="00803541">
            <w:pPr>
              <w:widowControl w:val="0"/>
              <w:autoSpaceDE w:val="0"/>
              <w:autoSpaceDN w:val="0"/>
              <w:adjustRightInd w:val="0"/>
              <w:spacing w:after="0" w:line="240" w:lineRule="auto"/>
              <w:ind w:left="30" w:right="30"/>
              <w:rPr>
                <w:rFonts w:ascii="Times New Roman" w:hAnsi="Times New Roman" w:cs="Times New Roman"/>
                <w:color w:val="000000"/>
                <w:sz w:val="20"/>
                <w:szCs w:val="20"/>
              </w:rPr>
            </w:pPr>
          </w:p>
        </w:tc>
        <w:tc>
          <w:tcPr>
            <w:tcW w:w="4040" w:type="dxa"/>
            <w:tcMar>
              <w:top w:w="0" w:type="dxa"/>
              <w:left w:w="30" w:type="dxa"/>
              <w:bottom w:w="0" w:type="dxa"/>
              <w:right w:w="30" w:type="dxa"/>
            </w:tcMar>
          </w:tcPr>
          <w:p w:rsidR="00803541" w:rsidRDefault="00803541">
            <w:pPr>
              <w:widowControl w:val="0"/>
              <w:autoSpaceDE w:val="0"/>
              <w:autoSpaceDN w:val="0"/>
              <w:adjustRightInd w:val="0"/>
              <w:spacing w:line="240" w:lineRule="auto"/>
              <w:ind w:left="30" w:right="30"/>
              <w:jc w:val="both"/>
              <w:rPr>
                <w:rFonts w:ascii="Times New Roman" w:hAnsi="Times New Roman" w:cs="Times New Roman"/>
                <w:color w:val="000000"/>
                <w:sz w:val="20"/>
                <w:szCs w:val="20"/>
              </w:rPr>
            </w:pPr>
            <w:r>
              <w:rPr>
                <w:rFonts w:ascii="Times New Roman" w:hAnsi="Times New Roman" w:cs="Times New Roman"/>
                <w:color w:val="000000"/>
                <w:sz w:val="20"/>
                <w:szCs w:val="20"/>
              </w:rPr>
              <w:t>Labor organizations may by lawful means secure adequate compensation for their services and fair hours of labor; but picketing pursuant to strike, while lawful, if peaceably conducted, will not be permitted when its purpose is to effect an interference with the business of employers, as to compel them to accept a contract with unions prohibiting the discharge of any employee except with approval of a board of arbitrators providing that no factory shall operate for more than five days a week, irrespective of trade conditions, etc.</w:t>
            </w:r>
          </w:p>
          <w:bookmarkStart w:id="6" w:name="co_headnoteId_19201388005012004081311504"/>
          <w:bookmarkEnd w:id="6"/>
          <w:p w:rsidR="00803541" w:rsidRDefault="00803541">
            <w:pPr>
              <w:widowControl w:val="0"/>
              <w:autoSpaceDE w:val="0"/>
              <w:autoSpaceDN w:val="0"/>
              <w:adjustRightInd w:val="0"/>
              <w:spacing w:before="200" w:after="0" w:line="240" w:lineRule="auto"/>
              <w:ind w:left="30" w:right="30"/>
              <w:jc w:val="both"/>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 HYPERLINK "http://www.westlaw.com/Link/RelatedInformation/DocHeadnoteLink?docGuid=I26dd50d1d87211d98ac8f235252e36df&amp;headnoteId=192013880050120040813115047&amp;originationContext=document&amp;vr=3.0&amp;rs=cblt1.0&amp;transitionType=CitingReferences&amp;contextData=(sc.UserEnteredCitation)" </w:instrText>
            </w:r>
            <w:r>
              <w:rPr>
                <w:rFonts w:ascii="Times New Roman" w:hAnsi="Times New Roman" w:cs="Times New Roman"/>
                <w:color w:val="000000"/>
                <w:sz w:val="20"/>
                <w:szCs w:val="20"/>
              </w:rPr>
              <w:fldChar w:fldCharType="separate"/>
            </w:r>
            <w:r>
              <w:rPr>
                <w:rStyle w:val="Hyperlink"/>
                <w:rFonts w:ascii="Times New Roman" w:hAnsi="Times New Roman" w:cs="Times New Roman"/>
                <w:color w:val="000000"/>
                <w:sz w:val="20"/>
                <w:szCs w:val="20"/>
              </w:rPr>
              <w:t>3 Cases that cite this headnote</w:t>
            </w:r>
            <w:r>
              <w:rPr>
                <w:rFonts w:ascii="Times New Roman" w:hAnsi="Times New Roman" w:cs="Times New Roman"/>
                <w:color w:val="000000"/>
                <w:sz w:val="20"/>
                <w:szCs w:val="20"/>
              </w:rPr>
              <w:fldChar w:fldCharType="end"/>
            </w:r>
          </w:p>
          <w:p w:rsidR="00803541" w:rsidRDefault="00803541">
            <w:pPr>
              <w:widowControl w:val="0"/>
              <w:autoSpaceDE w:val="0"/>
              <w:autoSpaceDN w:val="0"/>
              <w:adjustRightInd w:val="0"/>
              <w:spacing w:line="240" w:lineRule="auto"/>
              <w:ind w:left="30" w:right="30"/>
              <w:rPr>
                <w:rFonts w:ascii="Times New Roman" w:hAnsi="Times New Roman" w:cs="Times New Roman"/>
                <w:color w:val="000000"/>
                <w:sz w:val="20"/>
                <w:szCs w:val="20"/>
              </w:rPr>
            </w:pPr>
          </w:p>
        </w:tc>
      </w:tr>
    </w:tbl>
    <w:p w:rsidR="00803541" w:rsidRDefault="00803541" w:rsidP="00803541">
      <w:pPr>
        <w:widowControl w:val="0"/>
        <w:autoSpaceDE w:val="0"/>
        <w:autoSpaceDN w:val="0"/>
        <w:adjustRightInd w:val="0"/>
        <w:spacing w:after="0" w:line="240" w:lineRule="auto"/>
        <w:jc w:val="both"/>
        <w:rPr>
          <w:rFonts w:ascii="Times New Roman" w:hAnsi="Times New Roman" w:cs="Times New Roman"/>
          <w:color w:val="000000"/>
          <w:sz w:val="20"/>
          <w:szCs w:val="20"/>
        </w:rPr>
      </w:pPr>
    </w:p>
    <w:p w:rsidR="00803541" w:rsidRDefault="00803541" w:rsidP="00803541">
      <w:pPr>
        <w:widowControl w:val="0"/>
        <w:autoSpaceDE w:val="0"/>
        <w:autoSpaceDN w:val="0"/>
        <w:adjustRightInd w:val="0"/>
        <w:spacing w:after="0" w:line="240" w:lineRule="auto"/>
        <w:jc w:val="both"/>
        <w:rPr>
          <w:rFonts w:ascii="Times New Roman" w:hAnsi="Times New Roman" w:cs="Times New Roman"/>
          <w:color w:val="000000"/>
          <w:sz w:val="20"/>
          <w:szCs w:val="20"/>
        </w:rPr>
      </w:pPr>
      <w:bookmarkStart w:id="7" w:name="co_headnotesEnd_1"/>
      <w:bookmarkEnd w:id="7"/>
    </w:p>
    <w:p w:rsidR="00803541" w:rsidRDefault="00803541" w:rsidP="00803541">
      <w:pPr>
        <w:widowControl w:val="0"/>
        <w:autoSpaceDE w:val="0"/>
        <w:autoSpaceDN w:val="0"/>
        <w:adjustRightInd w:val="0"/>
        <w:spacing w:before="200" w:line="240" w:lineRule="auto"/>
        <w:jc w:val="both"/>
        <w:rPr>
          <w:rFonts w:ascii="Times New Roman" w:hAnsi="Times New Roman" w:cs="Times New Roman"/>
          <w:b/>
          <w:bCs/>
          <w:color w:val="252525"/>
          <w:sz w:val="20"/>
          <w:szCs w:val="20"/>
        </w:rPr>
      </w:pPr>
      <w:bookmarkStart w:id="8" w:name="co_attorneysAndLawFirms_1"/>
      <w:bookmarkEnd w:id="8"/>
      <w:r>
        <w:rPr>
          <w:rFonts w:ascii="Times New Roman" w:hAnsi="Times New Roman" w:cs="Times New Roman"/>
          <w:b/>
          <w:bCs/>
          <w:color w:val="252525"/>
          <w:sz w:val="20"/>
          <w:szCs w:val="20"/>
        </w:rPr>
        <w:t>Attorneys and Law Firms</w:t>
      </w:r>
    </w:p>
    <w:p w:rsidR="00803541" w:rsidRDefault="00803541" w:rsidP="00803541">
      <w:pPr>
        <w:widowControl w:val="0"/>
        <w:autoSpaceDE w:val="0"/>
        <w:autoSpaceDN w:val="0"/>
        <w:adjustRightInd w:val="0"/>
        <w:spacing w:after="0" w:line="240" w:lineRule="auto"/>
        <w:jc w:val="both"/>
        <w:rPr>
          <w:rFonts w:ascii="Times New Roman" w:hAnsi="Times New Roman" w:cs="Times New Roman"/>
          <w:color w:val="000000"/>
          <w:sz w:val="20"/>
          <w:szCs w:val="20"/>
        </w:rPr>
      </w:pPr>
      <w:bookmarkStart w:id="9" w:name="co_pp_sp_601_889_1"/>
      <w:bookmarkEnd w:id="9"/>
      <w:r>
        <w:rPr>
          <w:rFonts w:ascii="Times New Roman" w:hAnsi="Times New Roman" w:cs="Times New Roman"/>
          <w:b/>
          <w:bCs/>
          <w:color w:val="000000"/>
          <w:sz w:val="20"/>
          <w:szCs w:val="20"/>
        </w:rPr>
        <w:t>*889</w:t>
      </w:r>
      <w:r>
        <w:rPr>
          <w:rFonts w:ascii="Times New Roman" w:hAnsi="Times New Roman" w:cs="Times New Roman"/>
          <w:color w:val="000000"/>
          <w:sz w:val="20"/>
          <w:szCs w:val="20"/>
        </w:rPr>
        <w:t xml:space="preserve"> Chas. Eno, of New York City, for plaintiffs.</w:t>
      </w:r>
    </w:p>
    <w:p w:rsidR="00803541" w:rsidRDefault="00803541" w:rsidP="00803541">
      <w:pPr>
        <w:widowControl w:val="0"/>
        <w:autoSpaceDE w:val="0"/>
        <w:autoSpaceDN w:val="0"/>
        <w:adjustRightInd w:val="0"/>
        <w:spacing w:before="200"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Meyer London, of New York City, for defendants.</w:t>
      </w:r>
    </w:p>
    <w:p w:rsidR="00803541" w:rsidRDefault="00803541" w:rsidP="00803541">
      <w:pPr>
        <w:widowControl w:val="0"/>
        <w:autoSpaceDE w:val="0"/>
        <w:autoSpaceDN w:val="0"/>
        <w:adjustRightInd w:val="0"/>
        <w:spacing w:before="200" w:after="0" w:line="240" w:lineRule="auto"/>
        <w:jc w:val="both"/>
        <w:rPr>
          <w:rFonts w:ascii="Times New Roman" w:hAnsi="Times New Roman" w:cs="Times New Roman"/>
          <w:b/>
          <w:bCs/>
          <w:color w:val="252525"/>
          <w:sz w:val="20"/>
          <w:szCs w:val="20"/>
        </w:rPr>
      </w:pPr>
      <w:bookmarkStart w:id="10" w:name="co_opinion_1"/>
      <w:bookmarkEnd w:id="10"/>
      <w:r>
        <w:rPr>
          <w:rFonts w:ascii="Times New Roman" w:hAnsi="Times New Roman" w:cs="Times New Roman"/>
          <w:b/>
          <w:bCs/>
          <w:color w:val="252525"/>
          <w:sz w:val="20"/>
          <w:szCs w:val="20"/>
        </w:rPr>
        <w:t>Opinion</w:t>
      </w:r>
    </w:p>
    <w:p w:rsidR="00803541" w:rsidRDefault="00803541" w:rsidP="00803541">
      <w:pPr>
        <w:widowControl w:val="0"/>
        <w:autoSpaceDE w:val="0"/>
        <w:autoSpaceDN w:val="0"/>
        <w:adjustRightInd w:val="0"/>
        <w:spacing w:before="20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NEWBURGER, J.</w:t>
      </w:r>
    </w:p>
    <w:p w:rsidR="00803541" w:rsidRDefault="00803541" w:rsidP="00803541">
      <w:pPr>
        <w:widowControl w:val="0"/>
        <w:autoSpaceDE w:val="0"/>
        <w:autoSpaceDN w:val="0"/>
        <w:adjustRightInd w:val="0"/>
        <w:spacing w:after="0" w:line="240" w:lineRule="auto"/>
        <w:jc w:val="both"/>
        <w:rPr>
          <w:rFonts w:ascii="Times New Roman" w:hAnsi="Times New Roman" w:cs="Times New Roman"/>
          <w:color w:val="000000"/>
          <w:sz w:val="20"/>
          <w:szCs w:val="20"/>
        </w:rPr>
      </w:pPr>
      <w:bookmarkStart w:id="11" w:name="co_anchor_Ic71b4a3f115211e18b05fdf15589d"/>
      <w:bookmarkEnd w:id="11"/>
    </w:p>
    <w:p w:rsidR="00803541" w:rsidRDefault="00803541" w:rsidP="00803541">
      <w:pPr>
        <w:widowControl w:val="0"/>
        <w:autoSpaceDE w:val="0"/>
        <w:autoSpaceDN w:val="0"/>
        <w:adjustRightInd w:val="0"/>
        <w:spacing w:before="200"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The plaintiffs are retail furriers engaged in business in this city and it is claimed that the defendant unions are attempting to force the plaintiffs to enter into a contract which it is claimed is unfair, unreasonable, against public </w:t>
      </w:r>
      <w:r>
        <w:rPr>
          <w:rFonts w:ascii="Times New Roman" w:hAnsi="Times New Roman" w:cs="Times New Roman"/>
          <w:color w:val="000000"/>
          <w:sz w:val="20"/>
          <w:szCs w:val="20"/>
        </w:rPr>
        <w:lastRenderedPageBreak/>
        <w:t xml:space="preserve">policy, and against the laws of the land. On May 27, 1920, the defendant unions without any warning ordered the employees of the plaintiff to go out on a strike, and plaintiffs were informed by the defendants that no employee would return to work unless the contract referred to was signed. It is not denied that the defendants organized a body of pickets, who have patrolled in front of plaintiff’s business and prevented employees from entering. It is also shown in the moving papers that a number of employees of plaintiffs have been assaulted, and that large numbers of men congregate in front of some of the places of business of the plaintiffs, so that it was necessary to call upon the police department for assistance, </w:t>
      </w:r>
      <w:bookmarkStart w:id="12" w:name="co_pp_sp_601_890_1"/>
      <w:bookmarkEnd w:id="12"/>
      <w:r>
        <w:rPr>
          <w:rFonts w:ascii="Times New Roman" w:hAnsi="Times New Roman" w:cs="Times New Roman"/>
          <w:b/>
          <w:bCs/>
          <w:color w:val="000000"/>
          <w:sz w:val="20"/>
          <w:szCs w:val="20"/>
        </w:rPr>
        <w:t>*890</w:t>
      </w:r>
      <w:r>
        <w:rPr>
          <w:rFonts w:ascii="Times New Roman" w:hAnsi="Times New Roman" w:cs="Times New Roman"/>
          <w:color w:val="000000"/>
          <w:sz w:val="20"/>
          <w:szCs w:val="20"/>
        </w:rPr>
        <w:t xml:space="preserve"> and in a number of cases there were arrests and convictions in the Magistrates’ Courts. The affidavits disclose assaults, intimidation, threats, and violence.</w:t>
      </w:r>
    </w:p>
    <w:p w:rsidR="00803541" w:rsidRDefault="00803541" w:rsidP="00803541">
      <w:pPr>
        <w:widowControl w:val="0"/>
        <w:autoSpaceDE w:val="0"/>
        <w:autoSpaceDN w:val="0"/>
        <w:adjustRightInd w:val="0"/>
        <w:spacing w:before="200"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In reply there has been submitted but one affidavit, that of Morris Kaufman, the president of the defendant union, which in substance is a denial of any attempt to injure, but fails to answer the numerous charges in the moving papers. In fact, it amounts to a general denial, but claims that the object of the strike was to enforce a 40-hour a week employment, and that the strike became inevitable by reason of the discharge of large numbers of workmen because of the unsettled condition of the industry. There is no denial from any of the other defendants against whom especially the charges of intimidation have been made. It is not denied that the agreement attached to the complaint was prepared by the union, and provides, among other things:</w:t>
      </w:r>
    </w:p>
    <w:p w:rsidR="00803541" w:rsidRDefault="00803541" w:rsidP="00803541">
      <w:pPr>
        <w:widowControl w:val="0"/>
        <w:autoSpaceDE w:val="0"/>
        <w:autoSpaceDN w:val="0"/>
        <w:adjustRightInd w:val="0"/>
        <w:spacing w:before="200"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(a) While the retailers were maintaining what are termed ‘union shops,’ the agreement provides that none but members of the defendant unions should be so employed, and prohibits the employment of any other men or person, and insisting upon what is known as ‘closed shops.’</w:t>
      </w:r>
    </w:p>
    <w:p w:rsidR="00803541" w:rsidRDefault="00803541" w:rsidP="00803541">
      <w:pPr>
        <w:widowControl w:val="0"/>
        <w:autoSpaceDE w:val="0"/>
        <w:autoSpaceDN w:val="0"/>
        <w:adjustRightInd w:val="0"/>
        <w:spacing w:before="200"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(b) It provides for 5 days’ work in the week to wit: Monday to Friday, inclusive, from 8 a. m. to 12 noon, and from 1 p. m. to 5 p. m., or a total of 40 hours per week.</w:t>
      </w:r>
    </w:p>
    <w:p w:rsidR="00803541" w:rsidRDefault="00803541" w:rsidP="00803541">
      <w:pPr>
        <w:widowControl w:val="0"/>
        <w:autoSpaceDE w:val="0"/>
        <w:autoSpaceDN w:val="0"/>
        <w:adjustRightInd w:val="0"/>
        <w:spacing w:before="200"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(c) It provides for the discharge of any employee who ceases to be a member in good standing in the union.</w:t>
      </w:r>
    </w:p>
    <w:p w:rsidR="00803541" w:rsidRDefault="00803541" w:rsidP="00803541">
      <w:pPr>
        <w:widowControl w:val="0"/>
        <w:autoSpaceDE w:val="0"/>
        <w:autoSpaceDN w:val="0"/>
        <w:adjustRightInd w:val="0"/>
        <w:spacing w:before="200"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(d) It prohibits the discharge of any employee unless and until a board of arbitrators should decide that the cause for the discharge was justified.</w:t>
      </w:r>
    </w:p>
    <w:p w:rsidR="00803541" w:rsidRDefault="00803541" w:rsidP="00803541">
      <w:pPr>
        <w:widowControl w:val="0"/>
        <w:autoSpaceDE w:val="0"/>
        <w:autoSpaceDN w:val="0"/>
        <w:adjustRightInd w:val="0"/>
        <w:spacing w:before="200"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(e) It provides that no factory shall operate for more than 5 days a week, irrespective of trade conditions.</w:t>
      </w:r>
    </w:p>
    <w:p w:rsidR="00803541" w:rsidRDefault="00803541" w:rsidP="00803541">
      <w:pPr>
        <w:widowControl w:val="0"/>
        <w:autoSpaceDE w:val="0"/>
        <w:autoSpaceDN w:val="0"/>
        <w:adjustRightInd w:val="0"/>
        <w:spacing w:before="200"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(f) It provides that no worker shall be laid off, discharged, or suspended because of lack of work, but all available work shall be distributed among all the workers in an equitable manner, irrespective of the quantity of work </w:t>
      </w:r>
      <w:r>
        <w:rPr>
          <w:rFonts w:ascii="Times New Roman" w:hAnsi="Times New Roman" w:cs="Times New Roman"/>
          <w:color w:val="000000"/>
          <w:sz w:val="20"/>
          <w:szCs w:val="20"/>
        </w:rPr>
        <w:lastRenderedPageBreak/>
        <w:t>which the individual or separate shop might have.</w:t>
      </w:r>
    </w:p>
    <w:p w:rsidR="00803541" w:rsidRDefault="00803541" w:rsidP="00803541">
      <w:pPr>
        <w:widowControl w:val="0"/>
        <w:autoSpaceDE w:val="0"/>
        <w:autoSpaceDN w:val="0"/>
        <w:adjustRightInd w:val="0"/>
        <w:spacing w:before="200"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(g) It prohibits overtime work, excepting 2 hours every night between the 15th day of September and the 15th day of November, and then only allows such overtime work provided there are no members of the union unemployed, and would be sent to do the work during the usual hours, and in any event only permitted such overtime work during the first 5 working days of the week, and requires that overtime work should be paid at the rate of time and one-half of the regular pay.</w:t>
      </w:r>
    </w:p>
    <w:p w:rsidR="00803541" w:rsidRDefault="00803541" w:rsidP="00803541">
      <w:pPr>
        <w:widowControl w:val="0"/>
        <w:autoSpaceDE w:val="0"/>
        <w:autoSpaceDN w:val="0"/>
        <w:adjustRightInd w:val="0"/>
        <w:spacing w:before="200"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(h) It requires the employers to observe May 1 as a labor holiday, although it is well known that that day is considered a day of the anarchist or communists’ festal day.</w:t>
      </w:r>
    </w:p>
    <w:p w:rsidR="00803541" w:rsidRDefault="00803541" w:rsidP="00803541">
      <w:pPr>
        <w:widowControl w:val="0"/>
        <w:autoSpaceDE w:val="0"/>
        <w:autoSpaceDN w:val="0"/>
        <w:adjustRightInd w:val="0"/>
        <w:spacing w:before="200"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(i) It prohibits the employment of more than one apprentice during apprenticeship term, and before employing another apprentice the term of the prior apprenticeship must expire.</w:t>
      </w:r>
    </w:p>
    <w:p w:rsidR="00803541" w:rsidRDefault="00803541" w:rsidP="00803541">
      <w:pPr>
        <w:widowControl w:val="0"/>
        <w:autoSpaceDE w:val="0"/>
        <w:autoSpaceDN w:val="0"/>
        <w:adjustRightInd w:val="0"/>
        <w:spacing w:before="200" w:after="0" w:line="240" w:lineRule="auto"/>
        <w:jc w:val="both"/>
        <w:rPr>
          <w:rFonts w:ascii="Times New Roman" w:hAnsi="Times New Roman" w:cs="Times New Roman"/>
          <w:color w:val="000000"/>
          <w:sz w:val="20"/>
          <w:szCs w:val="20"/>
        </w:rPr>
      </w:pPr>
      <w:bookmarkStart w:id="13" w:name="co_pp_sp_601_891_1"/>
      <w:bookmarkEnd w:id="13"/>
      <w:r>
        <w:rPr>
          <w:rFonts w:ascii="Times New Roman" w:hAnsi="Times New Roman" w:cs="Times New Roman"/>
          <w:b/>
          <w:bCs/>
          <w:color w:val="000000"/>
          <w:sz w:val="20"/>
          <w:szCs w:val="20"/>
        </w:rPr>
        <w:t>*891</w:t>
      </w:r>
      <w:r>
        <w:rPr>
          <w:rFonts w:ascii="Times New Roman" w:hAnsi="Times New Roman" w:cs="Times New Roman"/>
          <w:color w:val="000000"/>
          <w:sz w:val="20"/>
          <w:szCs w:val="20"/>
        </w:rPr>
        <w:t xml:space="preserve"> (j) It provides that firms, consisting of two partners or more, who work upon any of the crafts covered by the agreement, all partners except one shall be bound by all its provisions relating to hours of employment, overtime, etc., and nonobservance of that clause shall be considered a breach of the agreement, and it further provides that the partners excluded from the union rules must be registered with the union.</w:t>
      </w:r>
    </w:p>
    <w:p w:rsidR="00803541" w:rsidRDefault="00803541" w:rsidP="00803541">
      <w:pPr>
        <w:widowControl w:val="0"/>
        <w:autoSpaceDE w:val="0"/>
        <w:autoSpaceDN w:val="0"/>
        <w:adjustRightInd w:val="0"/>
        <w:spacing w:before="200"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(k) It provides for the establishment by the firm of an unemployment fund for the benefit of such members of </w:t>
      </w:r>
      <w:r>
        <w:rPr>
          <w:rFonts w:ascii="Times New Roman" w:hAnsi="Times New Roman" w:cs="Times New Roman"/>
          <w:color w:val="000000"/>
          <w:sz w:val="20"/>
          <w:szCs w:val="20"/>
        </w:rPr>
        <w:lastRenderedPageBreak/>
        <w:t>the union as may be out of employment.</w:t>
      </w:r>
    </w:p>
    <w:p w:rsidR="00803541" w:rsidRDefault="00803541" w:rsidP="00803541">
      <w:pPr>
        <w:widowControl w:val="0"/>
        <w:autoSpaceDE w:val="0"/>
        <w:autoSpaceDN w:val="0"/>
        <w:adjustRightInd w:val="0"/>
        <w:spacing w:before="200"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It is clear, from the affidavit of the defendant Kaufman and brief submitted on behalf of defendants, that the strike is not for the purpose of an increased wage, nor for the purpose of bettering the conditions of the employees, but rather an attempt to meet a situation by depression in business to obtain employment for men conceded by defendants to have been properly discharged. It is apparent that the means pursued by the defendants were unlawful, and tended to injure plaintiffs in their business and cause great loss. It is well settled that labor organizations may by lawful means secure adequate compensation for their services, fair hours of labor, and that picketing, while lawful, if peaceably conducted, will, however, not be permitted when its purpose is to effect an interference with another’s business. See </w:t>
      </w:r>
      <w:hyperlink r:id="rId9" w:history="1">
        <w:r>
          <w:rPr>
            <w:rStyle w:val="Hyperlink"/>
            <w:rFonts w:ascii="Times New Roman" w:hAnsi="Times New Roman" w:cs="Times New Roman"/>
            <w:color w:val="000000"/>
            <w:sz w:val="20"/>
            <w:szCs w:val="20"/>
          </w:rPr>
          <w:t>Auburn Draying Co. v. Wardell, 227 N. Y. 1, 124 N. E. 97, 6 A. L. R. 901;</w:t>
        </w:r>
      </w:hyperlink>
      <w:r>
        <w:rPr>
          <w:rFonts w:ascii="Times New Roman" w:hAnsi="Times New Roman" w:cs="Times New Roman"/>
          <w:color w:val="000000"/>
          <w:sz w:val="20"/>
          <w:szCs w:val="20"/>
        </w:rPr>
        <w:t xml:space="preserve"> </w:t>
      </w:r>
      <w:hyperlink r:id="rId10" w:history="1">
        <w:r>
          <w:rPr>
            <w:rStyle w:val="Hyperlink"/>
            <w:rFonts w:ascii="Times New Roman" w:hAnsi="Times New Roman" w:cs="Times New Roman"/>
            <w:color w:val="000000"/>
            <w:sz w:val="20"/>
            <w:szCs w:val="20"/>
          </w:rPr>
          <w:t>Stuyvesant, Lunch &amp; Bakery Corporation v. Reiner, 110 Misc. Rep. 357,</w:t>
        </w:r>
      </w:hyperlink>
      <w:r>
        <w:rPr>
          <w:rFonts w:ascii="Times New Roman" w:hAnsi="Times New Roman" w:cs="Times New Roman"/>
          <w:color w:val="000000"/>
          <w:sz w:val="20"/>
          <w:szCs w:val="20"/>
        </w:rPr>
        <w:t xml:space="preserve"> </w:t>
      </w:r>
      <w:hyperlink r:id="rId11" w:history="1">
        <w:r>
          <w:rPr>
            <w:rStyle w:val="Hyperlink"/>
            <w:rFonts w:ascii="Times New Roman" w:hAnsi="Times New Roman" w:cs="Times New Roman"/>
            <w:color w:val="000000"/>
            <w:sz w:val="20"/>
            <w:szCs w:val="20"/>
          </w:rPr>
          <w:t>181 N. Y. Supp. 212;</w:t>
        </w:r>
      </w:hyperlink>
      <w:r>
        <w:rPr>
          <w:rFonts w:ascii="Times New Roman" w:hAnsi="Times New Roman" w:cs="Times New Roman"/>
          <w:color w:val="000000"/>
          <w:sz w:val="20"/>
          <w:szCs w:val="20"/>
        </w:rPr>
        <w:t xml:space="preserve"> </w:t>
      </w:r>
      <w:hyperlink r:id="rId12" w:history="1">
        <w:r>
          <w:rPr>
            <w:rStyle w:val="Hyperlink"/>
            <w:rFonts w:ascii="Times New Roman" w:hAnsi="Times New Roman" w:cs="Times New Roman"/>
            <w:color w:val="000000"/>
            <w:sz w:val="20"/>
            <w:szCs w:val="20"/>
          </w:rPr>
          <w:t>Grand Shoe Co., Inc., v. Children’s Shoe Workers’ Union, 187 N. Y. Supp. 886;</w:t>
        </w:r>
      </w:hyperlink>
      <w:r>
        <w:rPr>
          <w:rFonts w:ascii="Times New Roman" w:hAnsi="Times New Roman" w:cs="Times New Roman"/>
          <w:color w:val="000000"/>
          <w:sz w:val="20"/>
          <w:szCs w:val="20"/>
        </w:rPr>
        <w:t xml:space="preserve"> </w:t>
      </w:r>
      <w:hyperlink r:id="rId13" w:history="1">
        <w:r>
          <w:rPr>
            <w:rStyle w:val="Hyperlink"/>
            <w:rFonts w:ascii="Times New Roman" w:hAnsi="Times New Roman" w:cs="Times New Roman"/>
            <w:color w:val="000000"/>
            <w:sz w:val="20"/>
            <w:szCs w:val="20"/>
          </w:rPr>
          <w:t>W. B. Coon Co., Inc., v. Meinhart, 112 Misc. Rep. 650,</w:t>
        </w:r>
      </w:hyperlink>
      <w:r>
        <w:rPr>
          <w:rFonts w:ascii="Times New Roman" w:hAnsi="Times New Roman" w:cs="Times New Roman"/>
          <w:color w:val="000000"/>
          <w:sz w:val="20"/>
          <w:szCs w:val="20"/>
        </w:rPr>
        <w:t xml:space="preserve"> </w:t>
      </w:r>
      <w:hyperlink r:id="rId14" w:history="1">
        <w:r>
          <w:rPr>
            <w:rStyle w:val="Hyperlink"/>
            <w:rFonts w:ascii="Times New Roman" w:hAnsi="Times New Roman" w:cs="Times New Roman"/>
            <w:color w:val="000000"/>
            <w:sz w:val="20"/>
            <w:szCs w:val="20"/>
          </w:rPr>
          <w:t>183 N. Y. Supp. 713</w:t>
        </w:r>
      </w:hyperlink>
      <w:r>
        <w:rPr>
          <w:rFonts w:ascii="Times New Roman" w:hAnsi="Times New Roman" w:cs="Times New Roman"/>
          <w:color w:val="000000"/>
          <w:sz w:val="20"/>
          <w:szCs w:val="20"/>
        </w:rPr>
        <w:t>.</w:t>
      </w:r>
    </w:p>
    <w:p w:rsidR="00803541" w:rsidRDefault="00803541" w:rsidP="00803541">
      <w:pPr>
        <w:widowControl w:val="0"/>
        <w:autoSpaceDE w:val="0"/>
        <w:autoSpaceDN w:val="0"/>
        <w:adjustRightInd w:val="0"/>
        <w:spacing w:before="200"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The application for an injunction pendente lite is granted. Order signed.</w:t>
      </w:r>
    </w:p>
    <w:p w:rsidR="00803541" w:rsidRDefault="00803541" w:rsidP="00803541">
      <w:pPr>
        <w:widowControl w:val="0"/>
        <w:autoSpaceDE w:val="0"/>
        <w:autoSpaceDN w:val="0"/>
        <w:adjustRightInd w:val="0"/>
        <w:spacing w:before="400" w:line="240" w:lineRule="auto"/>
        <w:jc w:val="both"/>
        <w:rPr>
          <w:rFonts w:ascii="Times New Roman" w:hAnsi="Times New Roman" w:cs="Times New Roman"/>
          <w:b/>
          <w:bCs/>
          <w:color w:val="252525"/>
          <w:sz w:val="20"/>
          <w:szCs w:val="20"/>
        </w:rPr>
      </w:pPr>
      <w:bookmarkStart w:id="14" w:name="co_allCitations_1"/>
      <w:bookmarkEnd w:id="14"/>
      <w:r>
        <w:rPr>
          <w:rFonts w:ascii="Times New Roman" w:hAnsi="Times New Roman" w:cs="Times New Roman"/>
          <w:b/>
          <w:bCs/>
          <w:color w:val="252525"/>
          <w:sz w:val="20"/>
          <w:szCs w:val="20"/>
        </w:rPr>
        <w:t>All Citations</w:t>
      </w:r>
    </w:p>
    <w:p w:rsidR="00803541" w:rsidRDefault="00803541" w:rsidP="00803541">
      <w:pPr>
        <w:widowControl w:val="0"/>
        <w:autoSpaceDE w:val="0"/>
        <w:autoSpaceDN w:val="0"/>
        <w:adjustRightInd w:val="0"/>
        <w:spacing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187 N.Y.S. 889</w:t>
      </w:r>
    </w:p>
    <w:p w:rsidR="00803541" w:rsidRDefault="00803541" w:rsidP="00803541">
      <w:pPr>
        <w:widowControl w:val="0"/>
        <w:autoSpaceDE w:val="0"/>
        <w:autoSpaceDN w:val="0"/>
        <w:adjustRightInd w:val="0"/>
        <w:spacing w:after="0" w:line="240" w:lineRule="auto"/>
        <w:rPr>
          <w:rFonts w:ascii="Arial" w:hAnsi="Arial" w:cs="Arial"/>
          <w:color w:val="000000"/>
          <w:sz w:val="24"/>
          <w:szCs w:val="24"/>
        </w:rPr>
      </w:pPr>
    </w:p>
    <w:p w:rsidR="00803541" w:rsidRDefault="00803541" w:rsidP="00803541">
      <w:pPr>
        <w:spacing w:after="0" w:line="240" w:lineRule="auto"/>
        <w:rPr>
          <w:rFonts w:ascii="Arial" w:hAnsi="Arial" w:cs="Arial"/>
          <w:sz w:val="24"/>
          <w:szCs w:val="24"/>
        </w:rPr>
        <w:sectPr w:rsidR="00803541">
          <w:pgSz w:w="12240" w:h="15840"/>
          <w:pgMar w:top="1800" w:right="1080" w:bottom="1080" w:left="1080" w:header="720" w:footer="720" w:gutter="0"/>
          <w:cols w:num="2" w:space="720"/>
        </w:sectPr>
      </w:pPr>
    </w:p>
    <w:tbl>
      <w:tblPr>
        <w:tblW w:w="0" w:type="auto"/>
        <w:tblInd w:w="24" w:type="dxa"/>
        <w:tblLayout w:type="fixed"/>
        <w:tblCellMar>
          <w:left w:w="0" w:type="dxa"/>
          <w:right w:w="0" w:type="dxa"/>
        </w:tblCellMar>
        <w:tblLook w:val="04A0" w:firstRow="1" w:lastRow="0" w:firstColumn="1" w:lastColumn="0" w:noHBand="0" w:noVBand="1"/>
      </w:tblPr>
      <w:tblGrid>
        <w:gridCol w:w="4320"/>
        <w:gridCol w:w="5760"/>
      </w:tblGrid>
      <w:tr w:rsidR="00803541" w:rsidTr="00803541">
        <w:tc>
          <w:tcPr>
            <w:tcW w:w="4320" w:type="dxa"/>
            <w:tcBorders>
              <w:top w:val="single" w:sz="4" w:space="0" w:color="777777"/>
              <w:left w:val="nil"/>
              <w:bottom w:val="nil"/>
              <w:right w:val="nil"/>
            </w:tcBorders>
            <w:tcMar>
              <w:top w:w="100" w:type="dxa"/>
              <w:left w:w="24" w:type="dxa"/>
              <w:bottom w:w="0" w:type="dxa"/>
              <w:right w:w="24" w:type="dxa"/>
            </w:tcMar>
          </w:tcPr>
          <w:p w:rsidR="00803541" w:rsidRDefault="00803541">
            <w:pPr>
              <w:widowControl w:val="0"/>
              <w:autoSpaceDE w:val="0"/>
              <w:autoSpaceDN w:val="0"/>
              <w:adjustRightInd w:val="0"/>
              <w:spacing w:after="0" w:line="240" w:lineRule="auto"/>
              <w:ind w:left="24" w:right="24"/>
              <w:rPr>
                <w:rFonts w:ascii="Arial" w:hAnsi="Arial" w:cs="Arial"/>
                <w:b/>
                <w:bCs/>
                <w:color w:val="777777"/>
                <w:sz w:val="16"/>
                <w:szCs w:val="16"/>
              </w:rPr>
            </w:pPr>
            <w:r>
              <w:rPr>
                <w:rFonts w:ascii="Arial" w:hAnsi="Arial" w:cs="Arial"/>
                <w:b/>
                <w:bCs/>
                <w:color w:val="777777"/>
                <w:sz w:val="16"/>
                <w:szCs w:val="16"/>
              </w:rPr>
              <w:lastRenderedPageBreak/>
              <w:t>End of Document</w:t>
            </w:r>
          </w:p>
          <w:p w:rsidR="00803541" w:rsidRDefault="00803541">
            <w:pPr>
              <w:widowControl w:val="0"/>
              <w:autoSpaceDE w:val="0"/>
              <w:autoSpaceDN w:val="0"/>
              <w:adjustRightInd w:val="0"/>
              <w:spacing w:after="0" w:line="240" w:lineRule="auto"/>
              <w:ind w:left="24" w:right="24"/>
              <w:rPr>
                <w:rFonts w:ascii="Arial" w:hAnsi="Arial" w:cs="Arial"/>
                <w:b/>
                <w:bCs/>
                <w:color w:val="777777"/>
                <w:sz w:val="16"/>
                <w:szCs w:val="16"/>
              </w:rPr>
            </w:pPr>
          </w:p>
        </w:tc>
        <w:tc>
          <w:tcPr>
            <w:tcW w:w="5760" w:type="dxa"/>
            <w:tcBorders>
              <w:top w:val="single" w:sz="4" w:space="0" w:color="777777"/>
              <w:left w:val="nil"/>
              <w:bottom w:val="nil"/>
              <w:right w:val="nil"/>
            </w:tcBorders>
            <w:tcMar>
              <w:top w:w="100" w:type="dxa"/>
              <w:left w:w="24" w:type="dxa"/>
              <w:bottom w:w="0" w:type="dxa"/>
              <w:right w:w="24" w:type="dxa"/>
            </w:tcMar>
          </w:tcPr>
          <w:p w:rsidR="00803541" w:rsidRDefault="00803541">
            <w:pPr>
              <w:widowControl w:val="0"/>
              <w:autoSpaceDE w:val="0"/>
              <w:autoSpaceDN w:val="0"/>
              <w:adjustRightInd w:val="0"/>
              <w:spacing w:after="0" w:line="240" w:lineRule="auto"/>
              <w:ind w:left="24" w:right="24"/>
              <w:jc w:val="right"/>
              <w:rPr>
                <w:rFonts w:ascii="Arial" w:hAnsi="Arial" w:cs="Arial"/>
                <w:color w:val="777777"/>
                <w:sz w:val="16"/>
                <w:szCs w:val="16"/>
              </w:rPr>
            </w:pPr>
            <w:r>
              <w:rPr>
                <w:rFonts w:ascii="Arial" w:hAnsi="Arial" w:cs="Arial"/>
                <w:color w:val="777777"/>
                <w:sz w:val="16"/>
                <w:szCs w:val="16"/>
              </w:rPr>
              <w:t>© 2016 Thomson Reuters. No claim to original U.S. Government Works.</w:t>
            </w:r>
          </w:p>
          <w:p w:rsidR="00803541" w:rsidRDefault="00803541">
            <w:pPr>
              <w:widowControl w:val="0"/>
              <w:autoSpaceDE w:val="0"/>
              <w:autoSpaceDN w:val="0"/>
              <w:adjustRightInd w:val="0"/>
              <w:spacing w:after="0" w:line="240" w:lineRule="auto"/>
              <w:ind w:left="24" w:right="24"/>
              <w:jc w:val="right"/>
              <w:rPr>
                <w:rFonts w:ascii="Arial" w:hAnsi="Arial" w:cs="Arial"/>
                <w:color w:val="777777"/>
                <w:sz w:val="16"/>
                <w:szCs w:val="16"/>
              </w:rPr>
            </w:pPr>
          </w:p>
        </w:tc>
      </w:tr>
    </w:tbl>
    <w:p w:rsidR="00803541" w:rsidRDefault="00803541" w:rsidP="00803541">
      <w:pPr>
        <w:spacing w:after="0" w:line="240" w:lineRule="auto"/>
        <w:rPr>
          <w:rFonts w:ascii="Arial" w:hAnsi="Arial" w:cs="Arial"/>
          <w:sz w:val="24"/>
          <w:szCs w:val="24"/>
        </w:rPr>
        <w:sectPr w:rsidR="00803541">
          <w:type w:val="continuous"/>
          <w:pgSz w:w="12240" w:h="15840"/>
          <w:pgMar w:top="1800" w:right="1080" w:bottom="1080" w:left="1080" w:header="720" w:footer="720" w:gutter="0"/>
          <w:cols w:space="720"/>
        </w:sectPr>
      </w:pPr>
    </w:p>
    <w:p w:rsidR="0046740E" w:rsidRDefault="0046740E"/>
    <w:sectPr w:rsidR="0046740E" w:rsidSect="00E6622F">
      <w:pgSz w:w="12240" w:h="15840" w:code="1"/>
      <w:pgMar w:top="1800" w:right="2160" w:bottom="1440" w:left="2160" w:header="144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abon LT">
    <w:panose1 w:val="02000503020000020003"/>
    <w:charset w:val="00"/>
    <w:family w:val="auto"/>
    <w:pitch w:val="variable"/>
    <w:sig w:usb0="80000027"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 w:name="Lucida Sans Typewriter">
    <w:panose1 w:val="020B0509030504030204"/>
    <w:charset w:val="00"/>
    <w:family w:val="modern"/>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20002A87" w:usb1="00000000" w:usb2="00000000"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FB239D"/>
    <w:multiLevelType w:val="multilevel"/>
    <w:tmpl w:val="5E206932"/>
    <w:styleLink w:val="LegalNumberingNoIndent"/>
    <w:lvl w:ilvl="0">
      <w:start w:val="1"/>
      <w:numFmt w:val="decimal"/>
      <w:pStyle w:val="ListNumber"/>
      <w:suff w:val="space"/>
      <w:lvlText w:val="%1"/>
      <w:lvlJc w:val="left"/>
      <w:pPr>
        <w:ind w:left="0" w:firstLine="0"/>
      </w:pPr>
      <w:rPr>
        <w:rFonts w:hint="default"/>
      </w:rPr>
    </w:lvl>
    <w:lvl w:ilvl="1">
      <w:start w:val="1"/>
      <w:numFmt w:val="decimal"/>
      <w:pStyle w:val="ListNumber2"/>
      <w:suff w:val="space"/>
      <w:lvlText w:val="%1.%2"/>
      <w:lvlJc w:val="left"/>
      <w:pPr>
        <w:ind w:left="0" w:firstLine="0"/>
      </w:pPr>
      <w:rPr>
        <w:rFonts w:hint="default"/>
      </w:rPr>
    </w:lvl>
    <w:lvl w:ilvl="2">
      <w:start w:val="1"/>
      <w:numFmt w:val="decimal"/>
      <w:pStyle w:val="ListNumber3"/>
      <w:suff w:val="space"/>
      <w:lvlText w:val="%1.%2.%3"/>
      <w:lvlJc w:val="left"/>
      <w:pPr>
        <w:ind w:left="0" w:firstLine="0"/>
      </w:pPr>
      <w:rPr>
        <w:rFonts w:hint="default"/>
      </w:rPr>
    </w:lvl>
    <w:lvl w:ilvl="3">
      <w:start w:val="1"/>
      <w:numFmt w:val="decimal"/>
      <w:pStyle w:val="ListNumber4"/>
      <w:suff w:val="space"/>
      <w:lvlText w:val="%1.%2.%3.%4"/>
      <w:lvlJc w:val="left"/>
      <w:pPr>
        <w:ind w:left="0" w:firstLine="0"/>
      </w:pPr>
      <w:rPr>
        <w:rFonts w:hint="default"/>
      </w:rPr>
    </w:lvl>
    <w:lvl w:ilvl="4">
      <w:start w:val="1"/>
      <w:numFmt w:val="decimal"/>
      <w:pStyle w:val="ListNumber5"/>
      <w:suff w:val="space"/>
      <w:lvlText w:val="%1.%2.%3.%4.%5"/>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3541"/>
    <w:rsid w:val="003B200D"/>
    <w:rsid w:val="004026A4"/>
    <w:rsid w:val="0046740E"/>
    <w:rsid w:val="0050587F"/>
    <w:rsid w:val="00713B21"/>
    <w:rsid w:val="00803541"/>
    <w:rsid w:val="00823035"/>
    <w:rsid w:val="00927B24"/>
    <w:rsid w:val="009D5BEA"/>
    <w:rsid w:val="00A77544"/>
    <w:rsid w:val="00A81980"/>
    <w:rsid w:val="00AD4B2B"/>
    <w:rsid w:val="00B6482A"/>
    <w:rsid w:val="00CD45F7"/>
    <w:rsid w:val="00D5166A"/>
    <w:rsid w:val="00E6622F"/>
    <w:rsid w:val="00EF1823"/>
    <w:rsid w:val="00F21DCF"/>
    <w:rsid w:val="00F64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semiHidden="0"/>
    <w:lsdException w:name="annotation text" w:unhideWhenUsed="1"/>
    <w:lsdException w:name="header" w:semiHidden="0" w:uiPriority="1"/>
    <w:lsdException w:name="footer" w:unhideWhenUsed="1"/>
    <w:lsdException w:name="index heading" w:unhideWhenUsed="1"/>
    <w:lsdException w:name="caption" w:semiHidden="0" w:uiPriority="35"/>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semiHidden="0"/>
    <w:lsdException w:name="List Bullet" w:semiHidden="0"/>
    <w:lsdException w:name="List Number"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semiHidden="0"/>
    <w:lsdException w:name="Title" w:semiHidden="0" w:uiPriority="10" w:qFormat="1"/>
    <w:lsdException w:name="Closing" w:unhideWhenUsed="1"/>
    <w:lsdException w:name="Signature" w:unhideWhenUsed="1"/>
    <w:lsdException w:name="Default Paragraph Font" w:uiPriority="1" w:unhideWhenUsed="1"/>
    <w:lsdException w:name="Body Text" w:uiPriority="3" w:unhideWhenUsed="1"/>
    <w:lsdException w:name="Body Text Indent" w:semiHidden="0" w:uiPriority="4"/>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semiHidden="0" w:uiPriority="4" w:qFormat="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semiHidden="0" w:uiPriority="5"/>
    <w:lsdException w:name="Hyperlink" w:unhideWhenUsed="1"/>
    <w:lsdException w:name="FollowedHyperlink" w:unhideWhenUsed="1"/>
    <w:lsdException w:name="Strong" w:uiPriority="22" w:qFormat="1"/>
    <w:lsdException w:name="Emphasis"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unhideWhenUsed="1"/>
    <w:lsdException w:name="Quote" w:semiHidden="0"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03541"/>
    <w:pPr>
      <w:spacing w:after="200" w:line="276" w:lineRule="auto"/>
    </w:pPr>
    <w:rPr>
      <w:rFonts w:eastAsiaTheme="minorEastAsia"/>
    </w:rPr>
  </w:style>
  <w:style w:type="paragraph" w:styleId="Heading1">
    <w:name w:val="heading 1"/>
    <w:basedOn w:val="Normal"/>
    <w:next w:val="Normal"/>
    <w:link w:val="Heading1Char"/>
    <w:uiPriority w:val="9"/>
    <w:qFormat/>
    <w:rsid w:val="00F64770"/>
    <w:pPr>
      <w:suppressAutoHyphens/>
      <w:spacing w:before="480" w:after="120" w:line="312" w:lineRule="auto"/>
      <w:contextualSpacing/>
      <w:outlineLvl w:val="0"/>
    </w:pPr>
    <w:rPr>
      <w:rFonts w:asciiTheme="majorHAnsi" w:eastAsiaTheme="majorEastAsia" w:hAnsiTheme="majorHAnsi" w:cstheme="majorBidi"/>
      <w:b/>
      <w:bCs/>
      <w:sz w:val="32"/>
      <w:szCs w:val="32"/>
    </w:rPr>
  </w:style>
  <w:style w:type="paragraph" w:styleId="Heading2">
    <w:name w:val="heading 2"/>
    <w:basedOn w:val="Heading1"/>
    <w:next w:val="Normal"/>
    <w:link w:val="Heading2Char"/>
    <w:uiPriority w:val="9"/>
    <w:qFormat/>
    <w:rsid w:val="00927B24"/>
    <w:pPr>
      <w:keepNext/>
      <w:spacing w:before="240"/>
      <w:outlineLvl w:val="1"/>
    </w:pPr>
    <w:rPr>
      <w:bCs w:val="0"/>
      <w:sz w:val="28"/>
      <w:szCs w:val="28"/>
    </w:rPr>
  </w:style>
  <w:style w:type="paragraph" w:styleId="Heading3">
    <w:name w:val="heading 3"/>
    <w:basedOn w:val="Heading2"/>
    <w:next w:val="Normal"/>
    <w:link w:val="Heading3Char"/>
    <w:uiPriority w:val="9"/>
    <w:qFormat/>
    <w:rsid w:val="00927B24"/>
    <w:pPr>
      <w:spacing w:line="276" w:lineRule="auto"/>
      <w:outlineLvl w:val="2"/>
    </w:pPr>
    <w:rPr>
      <w:bCs/>
      <w:sz w:val="24"/>
      <w:szCs w:val="24"/>
    </w:rPr>
  </w:style>
  <w:style w:type="paragraph" w:styleId="Heading4">
    <w:name w:val="heading 4"/>
    <w:basedOn w:val="Heading3"/>
    <w:next w:val="Normal"/>
    <w:link w:val="Heading4Char"/>
    <w:uiPriority w:val="9"/>
    <w:unhideWhenUsed/>
    <w:qFormat/>
    <w:rsid w:val="00F64770"/>
    <w:pPr>
      <w:outlineLvl w:val="3"/>
    </w:pPr>
    <w:rPr>
      <w:bCs w:val="0"/>
      <w:iCs/>
      <w:sz w:val="22"/>
      <w:szCs w:val="22"/>
    </w:rPr>
  </w:style>
  <w:style w:type="paragraph" w:styleId="Heading5">
    <w:name w:val="heading 5"/>
    <w:basedOn w:val="Heading4"/>
    <w:next w:val="Normal"/>
    <w:link w:val="Heading5Char"/>
    <w:uiPriority w:val="9"/>
    <w:unhideWhenUsed/>
    <w:qFormat/>
    <w:rsid w:val="00F64770"/>
    <w:pPr>
      <w:outlineLvl w:val="4"/>
    </w:pPr>
    <w:rPr>
      <w:bCs/>
      <w:sz w:val="20"/>
      <w:szCs w:val="20"/>
    </w:rPr>
  </w:style>
  <w:style w:type="paragraph" w:styleId="Heading6">
    <w:name w:val="heading 6"/>
    <w:basedOn w:val="Heading5"/>
    <w:next w:val="Normal"/>
    <w:link w:val="Heading6Char"/>
    <w:uiPriority w:val="9"/>
    <w:unhideWhenUsed/>
    <w:qFormat/>
    <w:rsid w:val="00F64770"/>
    <w:pPr>
      <w:outlineLvl w:val="5"/>
    </w:pPr>
    <w:rPr>
      <w:b w:val="0"/>
      <w:bCs w:val="0"/>
      <w:iCs w:val="0"/>
    </w:rPr>
  </w:style>
  <w:style w:type="paragraph" w:styleId="Heading7">
    <w:name w:val="heading 7"/>
    <w:basedOn w:val="Heading6"/>
    <w:next w:val="Normal"/>
    <w:link w:val="Heading7Char"/>
    <w:uiPriority w:val="9"/>
    <w:unhideWhenUsed/>
    <w:qFormat/>
    <w:rsid w:val="00F64770"/>
    <w:pPr>
      <w:outlineLvl w:val="6"/>
    </w:pPr>
    <w:rPr>
      <w:iCs/>
    </w:rPr>
  </w:style>
  <w:style w:type="paragraph" w:styleId="Heading8">
    <w:name w:val="heading 8"/>
    <w:basedOn w:val="Heading7"/>
    <w:next w:val="Normal"/>
    <w:link w:val="Heading8Char"/>
    <w:uiPriority w:val="9"/>
    <w:unhideWhenUsed/>
    <w:qFormat/>
    <w:rsid w:val="00F64770"/>
    <w:pPr>
      <w:outlineLvl w:val="7"/>
    </w:pPr>
  </w:style>
  <w:style w:type="paragraph" w:styleId="Heading9">
    <w:name w:val="heading 9"/>
    <w:basedOn w:val="Heading8"/>
    <w:next w:val="Normal"/>
    <w:link w:val="Heading9Char"/>
    <w:uiPriority w:val="9"/>
    <w:unhideWhenUsed/>
    <w:qFormat/>
    <w:rsid w:val="00F64770"/>
    <w:pPr>
      <w:outlineLvl w:val="8"/>
    </w:pPr>
    <w:rPr>
      <w:iCs w:val="0"/>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4770"/>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927B24"/>
    <w:rPr>
      <w:rFonts w:asciiTheme="majorHAnsi" w:eastAsiaTheme="majorEastAsia" w:hAnsiTheme="majorHAnsi" w:cstheme="majorBidi"/>
      <w:b/>
      <w:sz w:val="28"/>
      <w:szCs w:val="28"/>
    </w:rPr>
  </w:style>
  <w:style w:type="character" w:customStyle="1" w:styleId="Heading3Char">
    <w:name w:val="Heading 3 Char"/>
    <w:basedOn w:val="DefaultParagraphFont"/>
    <w:link w:val="Heading3"/>
    <w:uiPriority w:val="9"/>
    <w:rsid w:val="00927B24"/>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sid w:val="00F64770"/>
    <w:rPr>
      <w:rFonts w:asciiTheme="majorHAnsi" w:eastAsiaTheme="majorEastAsia" w:hAnsiTheme="majorHAnsi" w:cstheme="majorBidi"/>
      <w:b/>
      <w:iCs/>
    </w:rPr>
  </w:style>
  <w:style w:type="character" w:customStyle="1" w:styleId="Heading5Char">
    <w:name w:val="Heading 5 Char"/>
    <w:basedOn w:val="DefaultParagraphFont"/>
    <w:link w:val="Heading5"/>
    <w:uiPriority w:val="9"/>
    <w:rsid w:val="00F64770"/>
    <w:rPr>
      <w:rFonts w:asciiTheme="majorHAnsi" w:eastAsiaTheme="majorEastAsia" w:hAnsiTheme="majorHAnsi" w:cstheme="majorBidi"/>
      <w:b/>
      <w:bCs/>
      <w:iCs/>
      <w:sz w:val="20"/>
      <w:szCs w:val="20"/>
    </w:rPr>
  </w:style>
  <w:style w:type="character" w:customStyle="1" w:styleId="Heading6Char">
    <w:name w:val="Heading 6 Char"/>
    <w:basedOn w:val="DefaultParagraphFont"/>
    <w:link w:val="Heading6"/>
    <w:uiPriority w:val="9"/>
    <w:rsid w:val="00F64770"/>
    <w:rPr>
      <w:rFonts w:asciiTheme="majorHAnsi" w:eastAsiaTheme="majorEastAsia" w:hAnsiTheme="majorHAnsi" w:cstheme="majorBidi"/>
      <w:sz w:val="20"/>
      <w:szCs w:val="20"/>
    </w:rPr>
  </w:style>
  <w:style w:type="character" w:customStyle="1" w:styleId="Heading7Char">
    <w:name w:val="Heading 7 Char"/>
    <w:basedOn w:val="DefaultParagraphFont"/>
    <w:link w:val="Heading7"/>
    <w:uiPriority w:val="9"/>
    <w:rsid w:val="00F64770"/>
    <w:rPr>
      <w:rFonts w:asciiTheme="majorHAnsi" w:eastAsiaTheme="majorEastAsia" w:hAnsiTheme="majorHAnsi" w:cstheme="majorBidi"/>
      <w:iCs/>
      <w:sz w:val="20"/>
      <w:szCs w:val="20"/>
    </w:rPr>
  </w:style>
  <w:style w:type="character" w:customStyle="1" w:styleId="Heading8Char">
    <w:name w:val="Heading 8 Char"/>
    <w:basedOn w:val="DefaultParagraphFont"/>
    <w:link w:val="Heading8"/>
    <w:uiPriority w:val="9"/>
    <w:rsid w:val="00F64770"/>
    <w:rPr>
      <w:rFonts w:asciiTheme="majorHAnsi" w:eastAsiaTheme="majorEastAsia" w:hAnsiTheme="majorHAnsi" w:cstheme="majorBidi"/>
      <w:iCs/>
      <w:sz w:val="20"/>
      <w:szCs w:val="20"/>
    </w:rPr>
  </w:style>
  <w:style w:type="character" w:customStyle="1" w:styleId="Heading9Char">
    <w:name w:val="Heading 9 Char"/>
    <w:basedOn w:val="DefaultParagraphFont"/>
    <w:link w:val="Heading9"/>
    <w:uiPriority w:val="9"/>
    <w:rsid w:val="00F64770"/>
    <w:rPr>
      <w:rFonts w:asciiTheme="majorHAnsi" w:eastAsiaTheme="majorEastAsia" w:hAnsiTheme="majorHAnsi" w:cstheme="majorBidi"/>
      <w:spacing w:val="5"/>
      <w:sz w:val="20"/>
      <w:szCs w:val="20"/>
    </w:rPr>
  </w:style>
  <w:style w:type="paragraph" w:styleId="Title">
    <w:name w:val="Title"/>
    <w:basedOn w:val="Normal"/>
    <w:next w:val="Normal"/>
    <w:link w:val="TitleChar"/>
    <w:uiPriority w:val="10"/>
    <w:qFormat/>
    <w:rsid w:val="00D5166A"/>
    <w:pPr>
      <w:pBdr>
        <w:bottom w:val="single" w:sz="4" w:space="1" w:color="auto"/>
      </w:pBdr>
      <w:suppressAutoHyphens/>
      <w:spacing w:after="0" w:line="240" w:lineRule="auto"/>
      <w:contextualSpacing/>
    </w:pPr>
    <w:rPr>
      <w:rFonts w:asciiTheme="majorHAnsi" w:eastAsiaTheme="majorEastAsia" w:hAnsiTheme="majorHAnsi" w:cstheme="majorBidi"/>
      <w:b/>
      <w:spacing w:val="5"/>
      <w:sz w:val="48"/>
      <w:szCs w:val="48"/>
    </w:rPr>
  </w:style>
  <w:style w:type="character" w:customStyle="1" w:styleId="TitleChar">
    <w:name w:val="Title Char"/>
    <w:basedOn w:val="DefaultParagraphFont"/>
    <w:link w:val="Title"/>
    <w:uiPriority w:val="10"/>
    <w:rsid w:val="00D5166A"/>
    <w:rPr>
      <w:rFonts w:asciiTheme="majorHAnsi" w:eastAsiaTheme="majorEastAsia" w:hAnsiTheme="majorHAnsi" w:cstheme="majorBidi"/>
      <w:b/>
      <w:spacing w:val="5"/>
      <w:sz w:val="48"/>
      <w:szCs w:val="48"/>
    </w:rPr>
  </w:style>
  <w:style w:type="paragraph" w:styleId="Subtitle">
    <w:name w:val="Subtitle"/>
    <w:basedOn w:val="Normal"/>
    <w:next w:val="Normal"/>
    <w:link w:val="SubtitleChar"/>
    <w:uiPriority w:val="11"/>
    <w:qFormat/>
    <w:rsid w:val="00713B21"/>
    <w:pPr>
      <w:suppressAutoHyphens/>
      <w:spacing w:before="120" w:after="360" w:line="240" w:lineRule="auto"/>
      <w:contextualSpacing/>
    </w:pPr>
    <w:rPr>
      <w:rFonts w:asciiTheme="majorHAnsi" w:eastAsiaTheme="majorEastAsia" w:hAnsiTheme="majorHAnsi" w:cstheme="majorHAnsi"/>
      <w:b/>
      <w:iCs/>
      <w:spacing w:val="13"/>
      <w:sz w:val="28"/>
      <w:szCs w:val="32"/>
    </w:rPr>
  </w:style>
  <w:style w:type="character" w:customStyle="1" w:styleId="SubtitleChar">
    <w:name w:val="Subtitle Char"/>
    <w:basedOn w:val="DefaultParagraphFont"/>
    <w:link w:val="Subtitle"/>
    <w:uiPriority w:val="11"/>
    <w:rsid w:val="00713B21"/>
    <w:rPr>
      <w:rFonts w:asciiTheme="majorHAnsi" w:eastAsiaTheme="majorEastAsia" w:hAnsiTheme="majorHAnsi" w:cstheme="majorHAnsi"/>
      <w:b/>
      <w:iCs/>
      <w:spacing w:val="13"/>
      <w:sz w:val="28"/>
      <w:szCs w:val="32"/>
    </w:rPr>
  </w:style>
  <w:style w:type="character" w:styleId="Strong">
    <w:name w:val="Strong"/>
    <w:uiPriority w:val="22"/>
    <w:semiHidden/>
    <w:qFormat/>
    <w:rsid w:val="00F64770"/>
    <w:rPr>
      <w:b/>
      <w:bCs/>
    </w:rPr>
  </w:style>
  <w:style w:type="character" w:styleId="Emphasis">
    <w:name w:val="Emphasis"/>
    <w:uiPriority w:val="20"/>
    <w:semiHidden/>
    <w:qFormat/>
    <w:rsid w:val="00F64770"/>
    <w:rPr>
      <w:i/>
      <w:iCs/>
    </w:rPr>
  </w:style>
  <w:style w:type="paragraph" w:styleId="NoSpacing">
    <w:name w:val="No Spacing"/>
    <w:basedOn w:val="Normal"/>
    <w:uiPriority w:val="1"/>
    <w:qFormat/>
    <w:rsid w:val="00F64770"/>
    <w:pPr>
      <w:suppressAutoHyphens/>
      <w:spacing w:after="0" w:line="240" w:lineRule="auto"/>
    </w:pPr>
    <w:rPr>
      <w:rFonts w:eastAsiaTheme="minorHAnsi"/>
    </w:rPr>
  </w:style>
  <w:style w:type="paragraph" w:styleId="ListParagraph">
    <w:name w:val="List Paragraph"/>
    <w:basedOn w:val="Normal"/>
    <w:uiPriority w:val="34"/>
    <w:semiHidden/>
    <w:unhideWhenUsed/>
    <w:rsid w:val="0050587F"/>
    <w:pPr>
      <w:suppressAutoHyphens/>
      <w:spacing w:after="0" w:line="312" w:lineRule="auto"/>
      <w:ind w:left="720"/>
      <w:contextualSpacing/>
    </w:pPr>
    <w:rPr>
      <w:rFonts w:eastAsiaTheme="minorHAnsi"/>
    </w:rPr>
  </w:style>
  <w:style w:type="paragraph" w:styleId="Quote">
    <w:name w:val="Quote"/>
    <w:basedOn w:val="Normal"/>
    <w:next w:val="Normal"/>
    <w:link w:val="QuoteChar"/>
    <w:uiPriority w:val="29"/>
    <w:qFormat/>
    <w:rsid w:val="00F64770"/>
    <w:pPr>
      <w:suppressAutoHyphens/>
      <w:spacing w:before="120" w:after="120"/>
      <w:ind w:left="432" w:right="432"/>
    </w:pPr>
    <w:rPr>
      <w:rFonts w:eastAsiaTheme="minorHAnsi"/>
      <w:i/>
      <w:iCs/>
      <w:sz w:val="20"/>
    </w:rPr>
  </w:style>
  <w:style w:type="character" w:customStyle="1" w:styleId="QuoteChar">
    <w:name w:val="Quote Char"/>
    <w:basedOn w:val="DefaultParagraphFont"/>
    <w:link w:val="Quote"/>
    <w:uiPriority w:val="29"/>
    <w:rsid w:val="00F64770"/>
    <w:rPr>
      <w:i/>
      <w:iCs/>
      <w:sz w:val="20"/>
    </w:rPr>
  </w:style>
  <w:style w:type="paragraph" w:styleId="IntenseQuote">
    <w:name w:val="Intense Quote"/>
    <w:basedOn w:val="Normal"/>
    <w:next w:val="Normal"/>
    <w:link w:val="IntenseQuoteChar"/>
    <w:uiPriority w:val="30"/>
    <w:semiHidden/>
    <w:qFormat/>
    <w:rsid w:val="00F64770"/>
    <w:pPr>
      <w:pBdr>
        <w:bottom w:val="single" w:sz="4" w:space="4" w:color="4F81BD" w:themeColor="accent1"/>
      </w:pBdr>
      <w:suppressAutoHyphens/>
      <w:spacing w:before="200" w:after="280" w:line="312" w:lineRule="auto"/>
      <w:ind w:left="936" w:right="936"/>
    </w:pPr>
    <w:rPr>
      <w:rFonts w:eastAsiaTheme="minorHAnsi"/>
      <w:b/>
      <w:bCs/>
      <w:i/>
      <w:iCs/>
      <w:color w:val="4F81BD" w:themeColor="accent1"/>
    </w:rPr>
  </w:style>
  <w:style w:type="character" w:customStyle="1" w:styleId="IntenseQuoteChar">
    <w:name w:val="Intense Quote Char"/>
    <w:basedOn w:val="DefaultParagraphFont"/>
    <w:link w:val="IntenseQuote"/>
    <w:uiPriority w:val="30"/>
    <w:semiHidden/>
    <w:rsid w:val="00F64770"/>
    <w:rPr>
      <w:b/>
      <w:bCs/>
      <w:i/>
      <w:iCs/>
      <w:color w:val="4F81BD" w:themeColor="accent1"/>
    </w:rPr>
  </w:style>
  <w:style w:type="character" w:styleId="SubtleEmphasis">
    <w:name w:val="Subtle Emphasis"/>
    <w:uiPriority w:val="19"/>
    <w:semiHidden/>
    <w:qFormat/>
    <w:rsid w:val="00F64770"/>
    <w:rPr>
      <w:i/>
      <w:iCs/>
      <w:color w:val="808080" w:themeColor="text1" w:themeTint="7F"/>
    </w:rPr>
  </w:style>
  <w:style w:type="character" w:styleId="IntenseEmphasis">
    <w:name w:val="Intense Emphasis"/>
    <w:uiPriority w:val="21"/>
    <w:semiHidden/>
    <w:qFormat/>
    <w:rsid w:val="00F64770"/>
    <w:rPr>
      <w:b/>
      <w:bCs/>
      <w:i/>
      <w:iCs/>
      <w:color w:val="4F81BD" w:themeColor="accent1"/>
    </w:rPr>
  </w:style>
  <w:style w:type="character" w:styleId="SubtleReference">
    <w:name w:val="Subtle Reference"/>
    <w:uiPriority w:val="31"/>
    <w:semiHidden/>
    <w:qFormat/>
    <w:rsid w:val="00F64770"/>
    <w:rPr>
      <w:smallCaps/>
      <w:color w:val="C0504D" w:themeColor="accent2"/>
      <w:u w:val="single"/>
    </w:rPr>
  </w:style>
  <w:style w:type="character" w:styleId="IntenseReference">
    <w:name w:val="Intense Reference"/>
    <w:uiPriority w:val="32"/>
    <w:semiHidden/>
    <w:qFormat/>
    <w:rsid w:val="00F64770"/>
    <w:rPr>
      <w:b/>
      <w:bCs/>
      <w:smallCaps/>
      <w:color w:val="C0504D" w:themeColor="accent2"/>
      <w:spacing w:val="5"/>
      <w:u w:val="single"/>
    </w:rPr>
  </w:style>
  <w:style w:type="character" w:styleId="BookTitle">
    <w:name w:val="Book Title"/>
    <w:uiPriority w:val="33"/>
    <w:semiHidden/>
    <w:qFormat/>
    <w:rsid w:val="00F64770"/>
    <w:rPr>
      <w:b/>
      <w:bCs/>
      <w:smallCaps/>
      <w:spacing w:val="5"/>
    </w:rPr>
  </w:style>
  <w:style w:type="paragraph" w:styleId="TOCHeading">
    <w:name w:val="TOC Heading"/>
    <w:basedOn w:val="Heading1"/>
    <w:next w:val="Normal"/>
    <w:uiPriority w:val="39"/>
    <w:semiHidden/>
    <w:unhideWhenUsed/>
    <w:qFormat/>
    <w:rsid w:val="00F64770"/>
    <w:pPr>
      <w:outlineLvl w:val="9"/>
    </w:pPr>
    <w:rPr>
      <w:lang w:bidi="en-US"/>
    </w:rPr>
  </w:style>
  <w:style w:type="paragraph" w:styleId="BodyText2">
    <w:name w:val="Body Text 2"/>
    <w:basedOn w:val="BodyText"/>
    <w:link w:val="BodyText2Char"/>
    <w:uiPriority w:val="99"/>
    <w:semiHidden/>
    <w:unhideWhenUsed/>
    <w:rsid w:val="0050587F"/>
    <w:pPr>
      <w:spacing w:line="480" w:lineRule="auto"/>
    </w:pPr>
  </w:style>
  <w:style w:type="character" w:customStyle="1" w:styleId="BodyText2Char">
    <w:name w:val="Body Text 2 Char"/>
    <w:basedOn w:val="DefaultParagraphFont"/>
    <w:link w:val="BodyText2"/>
    <w:uiPriority w:val="99"/>
    <w:semiHidden/>
    <w:rsid w:val="0050587F"/>
  </w:style>
  <w:style w:type="paragraph" w:styleId="BodyText">
    <w:name w:val="Body Text"/>
    <w:basedOn w:val="Normal"/>
    <w:link w:val="BodyTextChar"/>
    <w:uiPriority w:val="3"/>
    <w:rsid w:val="00927B24"/>
    <w:pPr>
      <w:suppressAutoHyphens/>
      <w:spacing w:after="120" w:line="312" w:lineRule="auto"/>
    </w:pPr>
    <w:rPr>
      <w:rFonts w:eastAsiaTheme="minorHAnsi"/>
    </w:rPr>
  </w:style>
  <w:style w:type="character" w:customStyle="1" w:styleId="BodyTextChar">
    <w:name w:val="Body Text Char"/>
    <w:basedOn w:val="DefaultParagraphFont"/>
    <w:link w:val="BodyText"/>
    <w:uiPriority w:val="3"/>
    <w:rsid w:val="00927B24"/>
  </w:style>
  <w:style w:type="paragraph" w:styleId="BodyText3">
    <w:name w:val="Body Text 3"/>
    <w:basedOn w:val="BodyText"/>
    <w:link w:val="BodyText3Char"/>
    <w:uiPriority w:val="99"/>
    <w:semiHidden/>
    <w:unhideWhenUsed/>
    <w:rsid w:val="0050587F"/>
    <w:rPr>
      <w:sz w:val="16"/>
      <w:szCs w:val="16"/>
    </w:rPr>
  </w:style>
  <w:style w:type="character" w:customStyle="1" w:styleId="BodyText3Char">
    <w:name w:val="Body Text 3 Char"/>
    <w:basedOn w:val="DefaultParagraphFont"/>
    <w:link w:val="BodyText3"/>
    <w:uiPriority w:val="99"/>
    <w:semiHidden/>
    <w:rsid w:val="0050587F"/>
    <w:rPr>
      <w:sz w:val="16"/>
      <w:szCs w:val="16"/>
    </w:rPr>
  </w:style>
  <w:style w:type="paragraph" w:styleId="PlainText">
    <w:name w:val="Plain Text"/>
    <w:basedOn w:val="Normal"/>
    <w:link w:val="PlainTextChar"/>
    <w:uiPriority w:val="99"/>
    <w:semiHidden/>
    <w:unhideWhenUsed/>
    <w:rsid w:val="0050587F"/>
    <w:pPr>
      <w:suppressAutoHyphens/>
      <w:spacing w:after="0" w:line="240" w:lineRule="auto"/>
    </w:pPr>
    <w:rPr>
      <w:rFonts w:ascii="Lucida Sans Typewriter" w:eastAsiaTheme="minorHAnsi" w:hAnsi="Lucida Sans Typewriter" w:cs="Consolas"/>
      <w:sz w:val="20"/>
      <w:szCs w:val="21"/>
    </w:rPr>
  </w:style>
  <w:style w:type="character" w:customStyle="1" w:styleId="PlainTextChar">
    <w:name w:val="Plain Text Char"/>
    <w:basedOn w:val="DefaultParagraphFont"/>
    <w:link w:val="PlainText"/>
    <w:uiPriority w:val="99"/>
    <w:semiHidden/>
    <w:rsid w:val="0050587F"/>
    <w:rPr>
      <w:rFonts w:ascii="Lucida Sans Typewriter" w:hAnsi="Lucida Sans Typewriter" w:cs="Consolas"/>
      <w:sz w:val="20"/>
      <w:szCs w:val="21"/>
    </w:rPr>
  </w:style>
  <w:style w:type="paragraph" w:styleId="BlockText">
    <w:name w:val="Block Text"/>
    <w:basedOn w:val="Normal"/>
    <w:uiPriority w:val="5"/>
    <w:rsid w:val="0050587F"/>
    <w:pPr>
      <w:suppressAutoHyphens/>
      <w:spacing w:before="120" w:after="120"/>
      <w:ind w:left="432" w:right="432"/>
    </w:pPr>
    <w:rPr>
      <w:iCs/>
      <w:sz w:val="20"/>
      <w:szCs w:val="20"/>
    </w:rPr>
  </w:style>
  <w:style w:type="paragraph" w:styleId="Caption">
    <w:name w:val="caption"/>
    <w:basedOn w:val="Normal"/>
    <w:next w:val="Normal"/>
    <w:uiPriority w:val="35"/>
    <w:rsid w:val="00D5166A"/>
    <w:pPr>
      <w:suppressAutoHyphens/>
      <w:spacing w:before="120" w:after="360" w:line="288" w:lineRule="auto"/>
    </w:pPr>
    <w:rPr>
      <w:rFonts w:asciiTheme="majorHAnsi" w:eastAsiaTheme="minorHAnsi" w:hAnsiTheme="majorHAnsi"/>
      <w:bCs/>
      <w:sz w:val="18"/>
      <w:szCs w:val="18"/>
    </w:rPr>
  </w:style>
  <w:style w:type="numbering" w:customStyle="1" w:styleId="LegalNumberingNoIndent">
    <w:name w:val="Legal Numbering No Indent"/>
    <w:uiPriority w:val="99"/>
    <w:rsid w:val="0050587F"/>
    <w:pPr>
      <w:numPr>
        <w:numId w:val="1"/>
      </w:numPr>
    </w:pPr>
  </w:style>
  <w:style w:type="paragraph" w:styleId="ListNumber">
    <w:name w:val="List Number"/>
    <w:basedOn w:val="Normal"/>
    <w:uiPriority w:val="99"/>
    <w:rsid w:val="0050587F"/>
    <w:pPr>
      <w:numPr>
        <w:numId w:val="1"/>
      </w:numPr>
      <w:suppressAutoHyphens/>
      <w:spacing w:after="0" w:line="312" w:lineRule="auto"/>
      <w:contextualSpacing/>
    </w:pPr>
    <w:rPr>
      <w:rFonts w:eastAsiaTheme="minorHAnsi"/>
    </w:rPr>
  </w:style>
  <w:style w:type="paragraph" w:styleId="ListNumber2">
    <w:name w:val="List Number 2"/>
    <w:basedOn w:val="Normal"/>
    <w:uiPriority w:val="99"/>
    <w:rsid w:val="0050587F"/>
    <w:pPr>
      <w:numPr>
        <w:ilvl w:val="1"/>
        <w:numId w:val="1"/>
      </w:numPr>
      <w:suppressAutoHyphens/>
      <w:spacing w:after="0" w:line="312" w:lineRule="auto"/>
      <w:contextualSpacing/>
    </w:pPr>
    <w:rPr>
      <w:rFonts w:eastAsiaTheme="minorHAnsi"/>
    </w:rPr>
  </w:style>
  <w:style w:type="paragraph" w:styleId="ListNumber3">
    <w:name w:val="List Number 3"/>
    <w:basedOn w:val="Normal"/>
    <w:uiPriority w:val="99"/>
    <w:rsid w:val="0050587F"/>
    <w:pPr>
      <w:numPr>
        <w:ilvl w:val="2"/>
        <w:numId w:val="1"/>
      </w:numPr>
      <w:suppressAutoHyphens/>
      <w:spacing w:after="0" w:line="312" w:lineRule="auto"/>
      <w:contextualSpacing/>
    </w:pPr>
    <w:rPr>
      <w:rFonts w:eastAsiaTheme="minorHAnsi"/>
    </w:rPr>
  </w:style>
  <w:style w:type="paragraph" w:styleId="ListNumber4">
    <w:name w:val="List Number 4"/>
    <w:basedOn w:val="Normal"/>
    <w:uiPriority w:val="99"/>
    <w:rsid w:val="0050587F"/>
    <w:pPr>
      <w:numPr>
        <w:ilvl w:val="3"/>
        <w:numId w:val="1"/>
      </w:numPr>
      <w:suppressAutoHyphens/>
      <w:spacing w:after="0" w:line="312" w:lineRule="auto"/>
      <w:contextualSpacing/>
    </w:pPr>
    <w:rPr>
      <w:rFonts w:eastAsiaTheme="minorHAnsi"/>
    </w:rPr>
  </w:style>
  <w:style w:type="paragraph" w:styleId="ListNumber5">
    <w:name w:val="List Number 5"/>
    <w:basedOn w:val="Normal"/>
    <w:uiPriority w:val="99"/>
    <w:rsid w:val="0050587F"/>
    <w:pPr>
      <w:numPr>
        <w:ilvl w:val="4"/>
        <w:numId w:val="1"/>
      </w:numPr>
      <w:suppressAutoHyphens/>
      <w:spacing w:after="0" w:line="312" w:lineRule="auto"/>
      <w:contextualSpacing/>
    </w:pPr>
    <w:rPr>
      <w:rFonts w:eastAsiaTheme="minorHAnsi"/>
    </w:rPr>
  </w:style>
  <w:style w:type="paragraph" w:styleId="BodyTextFirstIndent">
    <w:name w:val="Body Text First Indent"/>
    <w:basedOn w:val="BodyText"/>
    <w:link w:val="BodyTextFirstIndentChar"/>
    <w:uiPriority w:val="4"/>
    <w:qFormat/>
    <w:rsid w:val="00713B21"/>
    <w:pPr>
      <w:suppressAutoHyphens w:val="0"/>
      <w:spacing w:after="0"/>
      <w:ind w:firstLine="360"/>
    </w:pPr>
    <w:rPr>
      <w:szCs w:val="24"/>
    </w:rPr>
  </w:style>
  <w:style w:type="character" w:customStyle="1" w:styleId="BodyTextFirstIndentChar">
    <w:name w:val="Body Text First Indent Char"/>
    <w:basedOn w:val="BodyTextChar"/>
    <w:link w:val="BodyTextFirstIndent"/>
    <w:uiPriority w:val="4"/>
    <w:rsid w:val="00713B21"/>
    <w:rPr>
      <w:szCs w:val="24"/>
    </w:rPr>
  </w:style>
  <w:style w:type="paragraph" w:styleId="Header">
    <w:name w:val="header"/>
    <w:basedOn w:val="Normal"/>
    <w:link w:val="HeaderChar"/>
    <w:uiPriority w:val="1"/>
    <w:rsid w:val="00CD45F7"/>
    <w:pPr>
      <w:pBdr>
        <w:bottom w:val="single" w:sz="4" w:space="1" w:color="auto"/>
      </w:pBdr>
      <w:tabs>
        <w:tab w:val="center" w:pos="3960"/>
        <w:tab w:val="right" w:pos="7920"/>
      </w:tabs>
      <w:suppressAutoHyphens/>
      <w:spacing w:after="0" w:line="240" w:lineRule="auto"/>
    </w:pPr>
    <w:rPr>
      <w:rFonts w:asciiTheme="majorHAnsi" w:eastAsiaTheme="minorHAnsi" w:hAnsiTheme="majorHAnsi"/>
      <w:sz w:val="20"/>
    </w:rPr>
  </w:style>
  <w:style w:type="character" w:customStyle="1" w:styleId="HeaderChar">
    <w:name w:val="Header Char"/>
    <w:basedOn w:val="DefaultParagraphFont"/>
    <w:link w:val="Header"/>
    <w:uiPriority w:val="1"/>
    <w:rsid w:val="00CD45F7"/>
    <w:rPr>
      <w:rFonts w:asciiTheme="majorHAnsi" w:hAnsiTheme="majorHAnsi"/>
      <w:sz w:val="20"/>
    </w:rPr>
  </w:style>
  <w:style w:type="paragraph" w:styleId="Footer">
    <w:name w:val="footer"/>
    <w:basedOn w:val="Normal"/>
    <w:link w:val="FooterChar"/>
    <w:uiPriority w:val="99"/>
    <w:unhideWhenUsed/>
    <w:rsid w:val="00CD45F7"/>
    <w:pPr>
      <w:tabs>
        <w:tab w:val="center" w:pos="3960"/>
        <w:tab w:val="right" w:pos="7920"/>
      </w:tabs>
      <w:suppressAutoHyphens/>
      <w:spacing w:after="0" w:line="240" w:lineRule="auto"/>
    </w:pPr>
    <w:rPr>
      <w:rFonts w:eastAsiaTheme="minorHAnsi"/>
    </w:rPr>
  </w:style>
  <w:style w:type="character" w:customStyle="1" w:styleId="FooterChar">
    <w:name w:val="Footer Char"/>
    <w:basedOn w:val="DefaultParagraphFont"/>
    <w:link w:val="Footer"/>
    <w:uiPriority w:val="99"/>
    <w:rsid w:val="00CD45F7"/>
  </w:style>
  <w:style w:type="character" w:styleId="Hyperlink">
    <w:name w:val="Hyperlink"/>
    <w:basedOn w:val="DefaultParagraphFont"/>
    <w:uiPriority w:val="99"/>
    <w:semiHidden/>
    <w:unhideWhenUsed/>
    <w:rsid w:val="00803541"/>
    <w:rPr>
      <w:color w:val="0000FF" w:themeColor="hyperlink"/>
      <w:u w:val="single"/>
    </w:rPr>
  </w:style>
  <w:style w:type="paragraph" w:styleId="BalloonText">
    <w:name w:val="Balloon Text"/>
    <w:basedOn w:val="Normal"/>
    <w:link w:val="BalloonTextChar"/>
    <w:uiPriority w:val="99"/>
    <w:semiHidden/>
    <w:unhideWhenUsed/>
    <w:rsid w:val="008035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3541"/>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semiHidden="0"/>
    <w:lsdException w:name="annotation text" w:unhideWhenUsed="1"/>
    <w:lsdException w:name="header" w:semiHidden="0" w:uiPriority="1"/>
    <w:lsdException w:name="footer" w:unhideWhenUsed="1"/>
    <w:lsdException w:name="index heading" w:unhideWhenUsed="1"/>
    <w:lsdException w:name="caption" w:semiHidden="0" w:uiPriority="35"/>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semiHidden="0"/>
    <w:lsdException w:name="List Bullet" w:semiHidden="0"/>
    <w:lsdException w:name="List Number"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semiHidden="0"/>
    <w:lsdException w:name="Title" w:semiHidden="0" w:uiPriority="10" w:qFormat="1"/>
    <w:lsdException w:name="Closing" w:unhideWhenUsed="1"/>
    <w:lsdException w:name="Signature" w:unhideWhenUsed="1"/>
    <w:lsdException w:name="Default Paragraph Font" w:uiPriority="1" w:unhideWhenUsed="1"/>
    <w:lsdException w:name="Body Text" w:uiPriority="3" w:unhideWhenUsed="1"/>
    <w:lsdException w:name="Body Text Indent" w:semiHidden="0" w:uiPriority="4"/>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semiHidden="0" w:uiPriority="4" w:qFormat="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semiHidden="0" w:uiPriority="5"/>
    <w:lsdException w:name="Hyperlink" w:unhideWhenUsed="1"/>
    <w:lsdException w:name="FollowedHyperlink" w:unhideWhenUsed="1"/>
    <w:lsdException w:name="Strong" w:uiPriority="22" w:qFormat="1"/>
    <w:lsdException w:name="Emphasis"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unhideWhenUsed="1"/>
    <w:lsdException w:name="Quote" w:semiHidden="0"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03541"/>
    <w:pPr>
      <w:spacing w:after="200" w:line="276" w:lineRule="auto"/>
    </w:pPr>
    <w:rPr>
      <w:rFonts w:eastAsiaTheme="minorEastAsia"/>
    </w:rPr>
  </w:style>
  <w:style w:type="paragraph" w:styleId="Heading1">
    <w:name w:val="heading 1"/>
    <w:basedOn w:val="Normal"/>
    <w:next w:val="Normal"/>
    <w:link w:val="Heading1Char"/>
    <w:uiPriority w:val="9"/>
    <w:qFormat/>
    <w:rsid w:val="00F64770"/>
    <w:pPr>
      <w:suppressAutoHyphens/>
      <w:spacing w:before="480" w:after="120" w:line="312" w:lineRule="auto"/>
      <w:contextualSpacing/>
      <w:outlineLvl w:val="0"/>
    </w:pPr>
    <w:rPr>
      <w:rFonts w:asciiTheme="majorHAnsi" w:eastAsiaTheme="majorEastAsia" w:hAnsiTheme="majorHAnsi" w:cstheme="majorBidi"/>
      <w:b/>
      <w:bCs/>
      <w:sz w:val="32"/>
      <w:szCs w:val="32"/>
    </w:rPr>
  </w:style>
  <w:style w:type="paragraph" w:styleId="Heading2">
    <w:name w:val="heading 2"/>
    <w:basedOn w:val="Heading1"/>
    <w:next w:val="Normal"/>
    <w:link w:val="Heading2Char"/>
    <w:uiPriority w:val="9"/>
    <w:qFormat/>
    <w:rsid w:val="00927B24"/>
    <w:pPr>
      <w:keepNext/>
      <w:spacing w:before="240"/>
      <w:outlineLvl w:val="1"/>
    </w:pPr>
    <w:rPr>
      <w:bCs w:val="0"/>
      <w:sz w:val="28"/>
      <w:szCs w:val="28"/>
    </w:rPr>
  </w:style>
  <w:style w:type="paragraph" w:styleId="Heading3">
    <w:name w:val="heading 3"/>
    <w:basedOn w:val="Heading2"/>
    <w:next w:val="Normal"/>
    <w:link w:val="Heading3Char"/>
    <w:uiPriority w:val="9"/>
    <w:qFormat/>
    <w:rsid w:val="00927B24"/>
    <w:pPr>
      <w:spacing w:line="276" w:lineRule="auto"/>
      <w:outlineLvl w:val="2"/>
    </w:pPr>
    <w:rPr>
      <w:bCs/>
      <w:sz w:val="24"/>
      <w:szCs w:val="24"/>
    </w:rPr>
  </w:style>
  <w:style w:type="paragraph" w:styleId="Heading4">
    <w:name w:val="heading 4"/>
    <w:basedOn w:val="Heading3"/>
    <w:next w:val="Normal"/>
    <w:link w:val="Heading4Char"/>
    <w:uiPriority w:val="9"/>
    <w:unhideWhenUsed/>
    <w:qFormat/>
    <w:rsid w:val="00F64770"/>
    <w:pPr>
      <w:outlineLvl w:val="3"/>
    </w:pPr>
    <w:rPr>
      <w:bCs w:val="0"/>
      <w:iCs/>
      <w:sz w:val="22"/>
      <w:szCs w:val="22"/>
    </w:rPr>
  </w:style>
  <w:style w:type="paragraph" w:styleId="Heading5">
    <w:name w:val="heading 5"/>
    <w:basedOn w:val="Heading4"/>
    <w:next w:val="Normal"/>
    <w:link w:val="Heading5Char"/>
    <w:uiPriority w:val="9"/>
    <w:unhideWhenUsed/>
    <w:qFormat/>
    <w:rsid w:val="00F64770"/>
    <w:pPr>
      <w:outlineLvl w:val="4"/>
    </w:pPr>
    <w:rPr>
      <w:bCs/>
      <w:sz w:val="20"/>
      <w:szCs w:val="20"/>
    </w:rPr>
  </w:style>
  <w:style w:type="paragraph" w:styleId="Heading6">
    <w:name w:val="heading 6"/>
    <w:basedOn w:val="Heading5"/>
    <w:next w:val="Normal"/>
    <w:link w:val="Heading6Char"/>
    <w:uiPriority w:val="9"/>
    <w:unhideWhenUsed/>
    <w:qFormat/>
    <w:rsid w:val="00F64770"/>
    <w:pPr>
      <w:outlineLvl w:val="5"/>
    </w:pPr>
    <w:rPr>
      <w:b w:val="0"/>
      <w:bCs w:val="0"/>
      <w:iCs w:val="0"/>
    </w:rPr>
  </w:style>
  <w:style w:type="paragraph" w:styleId="Heading7">
    <w:name w:val="heading 7"/>
    <w:basedOn w:val="Heading6"/>
    <w:next w:val="Normal"/>
    <w:link w:val="Heading7Char"/>
    <w:uiPriority w:val="9"/>
    <w:unhideWhenUsed/>
    <w:qFormat/>
    <w:rsid w:val="00F64770"/>
    <w:pPr>
      <w:outlineLvl w:val="6"/>
    </w:pPr>
    <w:rPr>
      <w:iCs/>
    </w:rPr>
  </w:style>
  <w:style w:type="paragraph" w:styleId="Heading8">
    <w:name w:val="heading 8"/>
    <w:basedOn w:val="Heading7"/>
    <w:next w:val="Normal"/>
    <w:link w:val="Heading8Char"/>
    <w:uiPriority w:val="9"/>
    <w:unhideWhenUsed/>
    <w:qFormat/>
    <w:rsid w:val="00F64770"/>
    <w:pPr>
      <w:outlineLvl w:val="7"/>
    </w:pPr>
  </w:style>
  <w:style w:type="paragraph" w:styleId="Heading9">
    <w:name w:val="heading 9"/>
    <w:basedOn w:val="Heading8"/>
    <w:next w:val="Normal"/>
    <w:link w:val="Heading9Char"/>
    <w:uiPriority w:val="9"/>
    <w:unhideWhenUsed/>
    <w:qFormat/>
    <w:rsid w:val="00F64770"/>
    <w:pPr>
      <w:outlineLvl w:val="8"/>
    </w:pPr>
    <w:rPr>
      <w:iCs w:val="0"/>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4770"/>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927B24"/>
    <w:rPr>
      <w:rFonts w:asciiTheme="majorHAnsi" w:eastAsiaTheme="majorEastAsia" w:hAnsiTheme="majorHAnsi" w:cstheme="majorBidi"/>
      <w:b/>
      <w:sz w:val="28"/>
      <w:szCs w:val="28"/>
    </w:rPr>
  </w:style>
  <w:style w:type="character" w:customStyle="1" w:styleId="Heading3Char">
    <w:name w:val="Heading 3 Char"/>
    <w:basedOn w:val="DefaultParagraphFont"/>
    <w:link w:val="Heading3"/>
    <w:uiPriority w:val="9"/>
    <w:rsid w:val="00927B24"/>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sid w:val="00F64770"/>
    <w:rPr>
      <w:rFonts w:asciiTheme="majorHAnsi" w:eastAsiaTheme="majorEastAsia" w:hAnsiTheme="majorHAnsi" w:cstheme="majorBidi"/>
      <w:b/>
      <w:iCs/>
    </w:rPr>
  </w:style>
  <w:style w:type="character" w:customStyle="1" w:styleId="Heading5Char">
    <w:name w:val="Heading 5 Char"/>
    <w:basedOn w:val="DefaultParagraphFont"/>
    <w:link w:val="Heading5"/>
    <w:uiPriority w:val="9"/>
    <w:rsid w:val="00F64770"/>
    <w:rPr>
      <w:rFonts w:asciiTheme="majorHAnsi" w:eastAsiaTheme="majorEastAsia" w:hAnsiTheme="majorHAnsi" w:cstheme="majorBidi"/>
      <w:b/>
      <w:bCs/>
      <w:iCs/>
      <w:sz w:val="20"/>
      <w:szCs w:val="20"/>
    </w:rPr>
  </w:style>
  <w:style w:type="character" w:customStyle="1" w:styleId="Heading6Char">
    <w:name w:val="Heading 6 Char"/>
    <w:basedOn w:val="DefaultParagraphFont"/>
    <w:link w:val="Heading6"/>
    <w:uiPriority w:val="9"/>
    <w:rsid w:val="00F64770"/>
    <w:rPr>
      <w:rFonts w:asciiTheme="majorHAnsi" w:eastAsiaTheme="majorEastAsia" w:hAnsiTheme="majorHAnsi" w:cstheme="majorBidi"/>
      <w:sz w:val="20"/>
      <w:szCs w:val="20"/>
    </w:rPr>
  </w:style>
  <w:style w:type="character" w:customStyle="1" w:styleId="Heading7Char">
    <w:name w:val="Heading 7 Char"/>
    <w:basedOn w:val="DefaultParagraphFont"/>
    <w:link w:val="Heading7"/>
    <w:uiPriority w:val="9"/>
    <w:rsid w:val="00F64770"/>
    <w:rPr>
      <w:rFonts w:asciiTheme="majorHAnsi" w:eastAsiaTheme="majorEastAsia" w:hAnsiTheme="majorHAnsi" w:cstheme="majorBidi"/>
      <w:iCs/>
      <w:sz w:val="20"/>
      <w:szCs w:val="20"/>
    </w:rPr>
  </w:style>
  <w:style w:type="character" w:customStyle="1" w:styleId="Heading8Char">
    <w:name w:val="Heading 8 Char"/>
    <w:basedOn w:val="DefaultParagraphFont"/>
    <w:link w:val="Heading8"/>
    <w:uiPriority w:val="9"/>
    <w:rsid w:val="00F64770"/>
    <w:rPr>
      <w:rFonts w:asciiTheme="majorHAnsi" w:eastAsiaTheme="majorEastAsia" w:hAnsiTheme="majorHAnsi" w:cstheme="majorBidi"/>
      <w:iCs/>
      <w:sz w:val="20"/>
      <w:szCs w:val="20"/>
    </w:rPr>
  </w:style>
  <w:style w:type="character" w:customStyle="1" w:styleId="Heading9Char">
    <w:name w:val="Heading 9 Char"/>
    <w:basedOn w:val="DefaultParagraphFont"/>
    <w:link w:val="Heading9"/>
    <w:uiPriority w:val="9"/>
    <w:rsid w:val="00F64770"/>
    <w:rPr>
      <w:rFonts w:asciiTheme="majorHAnsi" w:eastAsiaTheme="majorEastAsia" w:hAnsiTheme="majorHAnsi" w:cstheme="majorBidi"/>
      <w:spacing w:val="5"/>
      <w:sz w:val="20"/>
      <w:szCs w:val="20"/>
    </w:rPr>
  </w:style>
  <w:style w:type="paragraph" w:styleId="Title">
    <w:name w:val="Title"/>
    <w:basedOn w:val="Normal"/>
    <w:next w:val="Normal"/>
    <w:link w:val="TitleChar"/>
    <w:uiPriority w:val="10"/>
    <w:qFormat/>
    <w:rsid w:val="00D5166A"/>
    <w:pPr>
      <w:pBdr>
        <w:bottom w:val="single" w:sz="4" w:space="1" w:color="auto"/>
      </w:pBdr>
      <w:suppressAutoHyphens/>
      <w:spacing w:after="0" w:line="240" w:lineRule="auto"/>
      <w:contextualSpacing/>
    </w:pPr>
    <w:rPr>
      <w:rFonts w:asciiTheme="majorHAnsi" w:eastAsiaTheme="majorEastAsia" w:hAnsiTheme="majorHAnsi" w:cstheme="majorBidi"/>
      <w:b/>
      <w:spacing w:val="5"/>
      <w:sz w:val="48"/>
      <w:szCs w:val="48"/>
    </w:rPr>
  </w:style>
  <w:style w:type="character" w:customStyle="1" w:styleId="TitleChar">
    <w:name w:val="Title Char"/>
    <w:basedOn w:val="DefaultParagraphFont"/>
    <w:link w:val="Title"/>
    <w:uiPriority w:val="10"/>
    <w:rsid w:val="00D5166A"/>
    <w:rPr>
      <w:rFonts w:asciiTheme="majorHAnsi" w:eastAsiaTheme="majorEastAsia" w:hAnsiTheme="majorHAnsi" w:cstheme="majorBidi"/>
      <w:b/>
      <w:spacing w:val="5"/>
      <w:sz w:val="48"/>
      <w:szCs w:val="48"/>
    </w:rPr>
  </w:style>
  <w:style w:type="paragraph" w:styleId="Subtitle">
    <w:name w:val="Subtitle"/>
    <w:basedOn w:val="Normal"/>
    <w:next w:val="Normal"/>
    <w:link w:val="SubtitleChar"/>
    <w:uiPriority w:val="11"/>
    <w:qFormat/>
    <w:rsid w:val="00713B21"/>
    <w:pPr>
      <w:suppressAutoHyphens/>
      <w:spacing w:before="120" w:after="360" w:line="240" w:lineRule="auto"/>
      <w:contextualSpacing/>
    </w:pPr>
    <w:rPr>
      <w:rFonts w:asciiTheme="majorHAnsi" w:eastAsiaTheme="majorEastAsia" w:hAnsiTheme="majorHAnsi" w:cstheme="majorHAnsi"/>
      <w:b/>
      <w:iCs/>
      <w:spacing w:val="13"/>
      <w:sz w:val="28"/>
      <w:szCs w:val="32"/>
    </w:rPr>
  </w:style>
  <w:style w:type="character" w:customStyle="1" w:styleId="SubtitleChar">
    <w:name w:val="Subtitle Char"/>
    <w:basedOn w:val="DefaultParagraphFont"/>
    <w:link w:val="Subtitle"/>
    <w:uiPriority w:val="11"/>
    <w:rsid w:val="00713B21"/>
    <w:rPr>
      <w:rFonts w:asciiTheme="majorHAnsi" w:eastAsiaTheme="majorEastAsia" w:hAnsiTheme="majorHAnsi" w:cstheme="majorHAnsi"/>
      <w:b/>
      <w:iCs/>
      <w:spacing w:val="13"/>
      <w:sz w:val="28"/>
      <w:szCs w:val="32"/>
    </w:rPr>
  </w:style>
  <w:style w:type="character" w:styleId="Strong">
    <w:name w:val="Strong"/>
    <w:uiPriority w:val="22"/>
    <w:semiHidden/>
    <w:qFormat/>
    <w:rsid w:val="00F64770"/>
    <w:rPr>
      <w:b/>
      <w:bCs/>
    </w:rPr>
  </w:style>
  <w:style w:type="character" w:styleId="Emphasis">
    <w:name w:val="Emphasis"/>
    <w:uiPriority w:val="20"/>
    <w:semiHidden/>
    <w:qFormat/>
    <w:rsid w:val="00F64770"/>
    <w:rPr>
      <w:i/>
      <w:iCs/>
    </w:rPr>
  </w:style>
  <w:style w:type="paragraph" w:styleId="NoSpacing">
    <w:name w:val="No Spacing"/>
    <w:basedOn w:val="Normal"/>
    <w:uiPriority w:val="1"/>
    <w:qFormat/>
    <w:rsid w:val="00F64770"/>
    <w:pPr>
      <w:suppressAutoHyphens/>
      <w:spacing w:after="0" w:line="240" w:lineRule="auto"/>
    </w:pPr>
    <w:rPr>
      <w:rFonts w:eastAsiaTheme="minorHAnsi"/>
    </w:rPr>
  </w:style>
  <w:style w:type="paragraph" w:styleId="ListParagraph">
    <w:name w:val="List Paragraph"/>
    <w:basedOn w:val="Normal"/>
    <w:uiPriority w:val="34"/>
    <w:semiHidden/>
    <w:unhideWhenUsed/>
    <w:rsid w:val="0050587F"/>
    <w:pPr>
      <w:suppressAutoHyphens/>
      <w:spacing w:after="0" w:line="312" w:lineRule="auto"/>
      <w:ind w:left="720"/>
      <w:contextualSpacing/>
    </w:pPr>
    <w:rPr>
      <w:rFonts w:eastAsiaTheme="minorHAnsi"/>
    </w:rPr>
  </w:style>
  <w:style w:type="paragraph" w:styleId="Quote">
    <w:name w:val="Quote"/>
    <w:basedOn w:val="Normal"/>
    <w:next w:val="Normal"/>
    <w:link w:val="QuoteChar"/>
    <w:uiPriority w:val="29"/>
    <w:qFormat/>
    <w:rsid w:val="00F64770"/>
    <w:pPr>
      <w:suppressAutoHyphens/>
      <w:spacing w:before="120" w:after="120"/>
      <w:ind w:left="432" w:right="432"/>
    </w:pPr>
    <w:rPr>
      <w:rFonts w:eastAsiaTheme="minorHAnsi"/>
      <w:i/>
      <w:iCs/>
      <w:sz w:val="20"/>
    </w:rPr>
  </w:style>
  <w:style w:type="character" w:customStyle="1" w:styleId="QuoteChar">
    <w:name w:val="Quote Char"/>
    <w:basedOn w:val="DefaultParagraphFont"/>
    <w:link w:val="Quote"/>
    <w:uiPriority w:val="29"/>
    <w:rsid w:val="00F64770"/>
    <w:rPr>
      <w:i/>
      <w:iCs/>
      <w:sz w:val="20"/>
    </w:rPr>
  </w:style>
  <w:style w:type="paragraph" w:styleId="IntenseQuote">
    <w:name w:val="Intense Quote"/>
    <w:basedOn w:val="Normal"/>
    <w:next w:val="Normal"/>
    <w:link w:val="IntenseQuoteChar"/>
    <w:uiPriority w:val="30"/>
    <w:semiHidden/>
    <w:qFormat/>
    <w:rsid w:val="00F64770"/>
    <w:pPr>
      <w:pBdr>
        <w:bottom w:val="single" w:sz="4" w:space="4" w:color="4F81BD" w:themeColor="accent1"/>
      </w:pBdr>
      <w:suppressAutoHyphens/>
      <w:spacing w:before="200" w:after="280" w:line="312" w:lineRule="auto"/>
      <w:ind w:left="936" w:right="936"/>
    </w:pPr>
    <w:rPr>
      <w:rFonts w:eastAsiaTheme="minorHAnsi"/>
      <w:b/>
      <w:bCs/>
      <w:i/>
      <w:iCs/>
      <w:color w:val="4F81BD" w:themeColor="accent1"/>
    </w:rPr>
  </w:style>
  <w:style w:type="character" w:customStyle="1" w:styleId="IntenseQuoteChar">
    <w:name w:val="Intense Quote Char"/>
    <w:basedOn w:val="DefaultParagraphFont"/>
    <w:link w:val="IntenseQuote"/>
    <w:uiPriority w:val="30"/>
    <w:semiHidden/>
    <w:rsid w:val="00F64770"/>
    <w:rPr>
      <w:b/>
      <w:bCs/>
      <w:i/>
      <w:iCs/>
      <w:color w:val="4F81BD" w:themeColor="accent1"/>
    </w:rPr>
  </w:style>
  <w:style w:type="character" w:styleId="SubtleEmphasis">
    <w:name w:val="Subtle Emphasis"/>
    <w:uiPriority w:val="19"/>
    <w:semiHidden/>
    <w:qFormat/>
    <w:rsid w:val="00F64770"/>
    <w:rPr>
      <w:i/>
      <w:iCs/>
      <w:color w:val="808080" w:themeColor="text1" w:themeTint="7F"/>
    </w:rPr>
  </w:style>
  <w:style w:type="character" w:styleId="IntenseEmphasis">
    <w:name w:val="Intense Emphasis"/>
    <w:uiPriority w:val="21"/>
    <w:semiHidden/>
    <w:qFormat/>
    <w:rsid w:val="00F64770"/>
    <w:rPr>
      <w:b/>
      <w:bCs/>
      <w:i/>
      <w:iCs/>
      <w:color w:val="4F81BD" w:themeColor="accent1"/>
    </w:rPr>
  </w:style>
  <w:style w:type="character" w:styleId="SubtleReference">
    <w:name w:val="Subtle Reference"/>
    <w:uiPriority w:val="31"/>
    <w:semiHidden/>
    <w:qFormat/>
    <w:rsid w:val="00F64770"/>
    <w:rPr>
      <w:smallCaps/>
      <w:color w:val="C0504D" w:themeColor="accent2"/>
      <w:u w:val="single"/>
    </w:rPr>
  </w:style>
  <w:style w:type="character" w:styleId="IntenseReference">
    <w:name w:val="Intense Reference"/>
    <w:uiPriority w:val="32"/>
    <w:semiHidden/>
    <w:qFormat/>
    <w:rsid w:val="00F64770"/>
    <w:rPr>
      <w:b/>
      <w:bCs/>
      <w:smallCaps/>
      <w:color w:val="C0504D" w:themeColor="accent2"/>
      <w:spacing w:val="5"/>
      <w:u w:val="single"/>
    </w:rPr>
  </w:style>
  <w:style w:type="character" w:styleId="BookTitle">
    <w:name w:val="Book Title"/>
    <w:uiPriority w:val="33"/>
    <w:semiHidden/>
    <w:qFormat/>
    <w:rsid w:val="00F64770"/>
    <w:rPr>
      <w:b/>
      <w:bCs/>
      <w:smallCaps/>
      <w:spacing w:val="5"/>
    </w:rPr>
  </w:style>
  <w:style w:type="paragraph" w:styleId="TOCHeading">
    <w:name w:val="TOC Heading"/>
    <w:basedOn w:val="Heading1"/>
    <w:next w:val="Normal"/>
    <w:uiPriority w:val="39"/>
    <w:semiHidden/>
    <w:unhideWhenUsed/>
    <w:qFormat/>
    <w:rsid w:val="00F64770"/>
    <w:pPr>
      <w:outlineLvl w:val="9"/>
    </w:pPr>
    <w:rPr>
      <w:lang w:bidi="en-US"/>
    </w:rPr>
  </w:style>
  <w:style w:type="paragraph" w:styleId="BodyText2">
    <w:name w:val="Body Text 2"/>
    <w:basedOn w:val="BodyText"/>
    <w:link w:val="BodyText2Char"/>
    <w:uiPriority w:val="99"/>
    <w:semiHidden/>
    <w:unhideWhenUsed/>
    <w:rsid w:val="0050587F"/>
    <w:pPr>
      <w:spacing w:line="480" w:lineRule="auto"/>
    </w:pPr>
  </w:style>
  <w:style w:type="character" w:customStyle="1" w:styleId="BodyText2Char">
    <w:name w:val="Body Text 2 Char"/>
    <w:basedOn w:val="DefaultParagraphFont"/>
    <w:link w:val="BodyText2"/>
    <w:uiPriority w:val="99"/>
    <w:semiHidden/>
    <w:rsid w:val="0050587F"/>
  </w:style>
  <w:style w:type="paragraph" w:styleId="BodyText">
    <w:name w:val="Body Text"/>
    <w:basedOn w:val="Normal"/>
    <w:link w:val="BodyTextChar"/>
    <w:uiPriority w:val="3"/>
    <w:rsid w:val="00927B24"/>
    <w:pPr>
      <w:suppressAutoHyphens/>
      <w:spacing w:after="120" w:line="312" w:lineRule="auto"/>
    </w:pPr>
    <w:rPr>
      <w:rFonts w:eastAsiaTheme="minorHAnsi"/>
    </w:rPr>
  </w:style>
  <w:style w:type="character" w:customStyle="1" w:styleId="BodyTextChar">
    <w:name w:val="Body Text Char"/>
    <w:basedOn w:val="DefaultParagraphFont"/>
    <w:link w:val="BodyText"/>
    <w:uiPriority w:val="3"/>
    <w:rsid w:val="00927B24"/>
  </w:style>
  <w:style w:type="paragraph" w:styleId="BodyText3">
    <w:name w:val="Body Text 3"/>
    <w:basedOn w:val="BodyText"/>
    <w:link w:val="BodyText3Char"/>
    <w:uiPriority w:val="99"/>
    <w:semiHidden/>
    <w:unhideWhenUsed/>
    <w:rsid w:val="0050587F"/>
    <w:rPr>
      <w:sz w:val="16"/>
      <w:szCs w:val="16"/>
    </w:rPr>
  </w:style>
  <w:style w:type="character" w:customStyle="1" w:styleId="BodyText3Char">
    <w:name w:val="Body Text 3 Char"/>
    <w:basedOn w:val="DefaultParagraphFont"/>
    <w:link w:val="BodyText3"/>
    <w:uiPriority w:val="99"/>
    <w:semiHidden/>
    <w:rsid w:val="0050587F"/>
    <w:rPr>
      <w:sz w:val="16"/>
      <w:szCs w:val="16"/>
    </w:rPr>
  </w:style>
  <w:style w:type="paragraph" w:styleId="PlainText">
    <w:name w:val="Plain Text"/>
    <w:basedOn w:val="Normal"/>
    <w:link w:val="PlainTextChar"/>
    <w:uiPriority w:val="99"/>
    <w:semiHidden/>
    <w:unhideWhenUsed/>
    <w:rsid w:val="0050587F"/>
    <w:pPr>
      <w:suppressAutoHyphens/>
      <w:spacing w:after="0" w:line="240" w:lineRule="auto"/>
    </w:pPr>
    <w:rPr>
      <w:rFonts w:ascii="Lucida Sans Typewriter" w:eastAsiaTheme="minorHAnsi" w:hAnsi="Lucida Sans Typewriter" w:cs="Consolas"/>
      <w:sz w:val="20"/>
      <w:szCs w:val="21"/>
    </w:rPr>
  </w:style>
  <w:style w:type="character" w:customStyle="1" w:styleId="PlainTextChar">
    <w:name w:val="Plain Text Char"/>
    <w:basedOn w:val="DefaultParagraphFont"/>
    <w:link w:val="PlainText"/>
    <w:uiPriority w:val="99"/>
    <w:semiHidden/>
    <w:rsid w:val="0050587F"/>
    <w:rPr>
      <w:rFonts w:ascii="Lucida Sans Typewriter" w:hAnsi="Lucida Sans Typewriter" w:cs="Consolas"/>
      <w:sz w:val="20"/>
      <w:szCs w:val="21"/>
    </w:rPr>
  </w:style>
  <w:style w:type="paragraph" w:styleId="BlockText">
    <w:name w:val="Block Text"/>
    <w:basedOn w:val="Normal"/>
    <w:uiPriority w:val="5"/>
    <w:rsid w:val="0050587F"/>
    <w:pPr>
      <w:suppressAutoHyphens/>
      <w:spacing w:before="120" w:after="120"/>
      <w:ind w:left="432" w:right="432"/>
    </w:pPr>
    <w:rPr>
      <w:iCs/>
      <w:sz w:val="20"/>
      <w:szCs w:val="20"/>
    </w:rPr>
  </w:style>
  <w:style w:type="paragraph" w:styleId="Caption">
    <w:name w:val="caption"/>
    <w:basedOn w:val="Normal"/>
    <w:next w:val="Normal"/>
    <w:uiPriority w:val="35"/>
    <w:rsid w:val="00D5166A"/>
    <w:pPr>
      <w:suppressAutoHyphens/>
      <w:spacing w:before="120" w:after="360" w:line="288" w:lineRule="auto"/>
    </w:pPr>
    <w:rPr>
      <w:rFonts w:asciiTheme="majorHAnsi" w:eastAsiaTheme="minorHAnsi" w:hAnsiTheme="majorHAnsi"/>
      <w:bCs/>
      <w:sz w:val="18"/>
      <w:szCs w:val="18"/>
    </w:rPr>
  </w:style>
  <w:style w:type="numbering" w:customStyle="1" w:styleId="LegalNumberingNoIndent">
    <w:name w:val="Legal Numbering No Indent"/>
    <w:uiPriority w:val="99"/>
    <w:rsid w:val="0050587F"/>
    <w:pPr>
      <w:numPr>
        <w:numId w:val="1"/>
      </w:numPr>
    </w:pPr>
  </w:style>
  <w:style w:type="paragraph" w:styleId="ListNumber">
    <w:name w:val="List Number"/>
    <w:basedOn w:val="Normal"/>
    <w:uiPriority w:val="99"/>
    <w:rsid w:val="0050587F"/>
    <w:pPr>
      <w:numPr>
        <w:numId w:val="1"/>
      </w:numPr>
      <w:suppressAutoHyphens/>
      <w:spacing w:after="0" w:line="312" w:lineRule="auto"/>
      <w:contextualSpacing/>
    </w:pPr>
    <w:rPr>
      <w:rFonts w:eastAsiaTheme="minorHAnsi"/>
    </w:rPr>
  </w:style>
  <w:style w:type="paragraph" w:styleId="ListNumber2">
    <w:name w:val="List Number 2"/>
    <w:basedOn w:val="Normal"/>
    <w:uiPriority w:val="99"/>
    <w:rsid w:val="0050587F"/>
    <w:pPr>
      <w:numPr>
        <w:ilvl w:val="1"/>
        <w:numId w:val="1"/>
      </w:numPr>
      <w:suppressAutoHyphens/>
      <w:spacing w:after="0" w:line="312" w:lineRule="auto"/>
      <w:contextualSpacing/>
    </w:pPr>
    <w:rPr>
      <w:rFonts w:eastAsiaTheme="minorHAnsi"/>
    </w:rPr>
  </w:style>
  <w:style w:type="paragraph" w:styleId="ListNumber3">
    <w:name w:val="List Number 3"/>
    <w:basedOn w:val="Normal"/>
    <w:uiPriority w:val="99"/>
    <w:rsid w:val="0050587F"/>
    <w:pPr>
      <w:numPr>
        <w:ilvl w:val="2"/>
        <w:numId w:val="1"/>
      </w:numPr>
      <w:suppressAutoHyphens/>
      <w:spacing w:after="0" w:line="312" w:lineRule="auto"/>
      <w:contextualSpacing/>
    </w:pPr>
    <w:rPr>
      <w:rFonts w:eastAsiaTheme="minorHAnsi"/>
    </w:rPr>
  </w:style>
  <w:style w:type="paragraph" w:styleId="ListNumber4">
    <w:name w:val="List Number 4"/>
    <w:basedOn w:val="Normal"/>
    <w:uiPriority w:val="99"/>
    <w:rsid w:val="0050587F"/>
    <w:pPr>
      <w:numPr>
        <w:ilvl w:val="3"/>
        <w:numId w:val="1"/>
      </w:numPr>
      <w:suppressAutoHyphens/>
      <w:spacing w:after="0" w:line="312" w:lineRule="auto"/>
      <w:contextualSpacing/>
    </w:pPr>
    <w:rPr>
      <w:rFonts w:eastAsiaTheme="minorHAnsi"/>
    </w:rPr>
  </w:style>
  <w:style w:type="paragraph" w:styleId="ListNumber5">
    <w:name w:val="List Number 5"/>
    <w:basedOn w:val="Normal"/>
    <w:uiPriority w:val="99"/>
    <w:rsid w:val="0050587F"/>
    <w:pPr>
      <w:numPr>
        <w:ilvl w:val="4"/>
        <w:numId w:val="1"/>
      </w:numPr>
      <w:suppressAutoHyphens/>
      <w:spacing w:after="0" w:line="312" w:lineRule="auto"/>
      <w:contextualSpacing/>
    </w:pPr>
    <w:rPr>
      <w:rFonts w:eastAsiaTheme="minorHAnsi"/>
    </w:rPr>
  </w:style>
  <w:style w:type="paragraph" w:styleId="BodyTextFirstIndent">
    <w:name w:val="Body Text First Indent"/>
    <w:basedOn w:val="BodyText"/>
    <w:link w:val="BodyTextFirstIndentChar"/>
    <w:uiPriority w:val="4"/>
    <w:qFormat/>
    <w:rsid w:val="00713B21"/>
    <w:pPr>
      <w:suppressAutoHyphens w:val="0"/>
      <w:spacing w:after="0"/>
      <w:ind w:firstLine="360"/>
    </w:pPr>
    <w:rPr>
      <w:szCs w:val="24"/>
    </w:rPr>
  </w:style>
  <w:style w:type="character" w:customStyle="1" w:styleId="BodyTextFirstIndentChar">
    <w:name w:val="Body Text First Indent Char"/>
    <w:basedOn w:val="BodyTextChar"/>
    <w:link w:val="BodyTextFirstIndent"/>
    <w:uiPriority w:val="4"/>
    <w:rsid w:val="00713B21"/>
    <w:rPr>
      <w:szCs w:val="24"/>
    </w:rPr>
  </w:style>
  <w:style w:type="paragraph" w:styleId="Header">
    <w:name w:val="header"/>
    <w:basedOn w:val="Normal"/>
    <w:link w:val="HeaderChar"/>
    <w:uiPriority w:val="1"/>
    <w:rsid w:val="00CD45F7"/>
    <w:pPr>
      <w:pBdr>
        <w:bottom w:val="single" w:sz="4" w:space="1" w:color="auto"/>
      </w:pBdr>
      <w:tabs>
        <w:tab w:val="center" w:pos="3960"/>
        <w:tab w:val="right" w:pos="7920"/>
      </w:tabs>
      <w:suppressAutoHyphens/>
      <w:spacing w:after="0" w:line="240" w:lineRule="auto"/>
    </w:pPr>
    <w:rPr>
      <w:rFonts w:asciiTheme="majorHAnsi" w:eastAsiaTheme="minorHAnsi" w:hAnsiTheme="majorHAnsi"/>
      <w:sz w:val="20"/>
    </w:rPr>
  </w:style>
  <w:style w:type="character" w:customStyle="1" w:styleId="HeaderChar">
    <w:name w:val="Header Char"/>
    <w:basedOn w:val="DefaultParagraphFont"/>
    <w:link w:val="Header"/>
    <w:uiPriority w:val="1"/>
    <w:rsid w:val="00CD45F7"/>
    <w:rPr>
      <w:rFonts w:asciiTheme="majorHAnsi" w:hAnsiTheme="majorHAnsi"/>
      <w:sz w:val="20"/>
    </w:rPr>
  </w:style>
  <w:style w:type="paragraph" w:styleId="Footer">
    <w:name w:val="footer"/>
    <w:basedOn w:val="Normal"/>
    <w:link w:val="FooterChar"/>
    <w:uiPriority w:val="99"/>
    <w:unhideWhenUsed/>
    <w:rsid w:val="00CD45F7"/>
    <w:pPr>
      <w:tabs>
        <w:tab w:val="center" w:pos="3960"/>
        <w:tab w:val="right" w:pos="7920"/>
      </w:tabs>
      <w:suppressAutoHyphens/>
      <w:spacing w:after="0" w:line="240" w:lineRule="auto"/>
    </w:pPr>
    <w:rPr>
      <w:rFonts w:eastAsiaTheme="minorHAnsi"/>
    </w:rPr>
  </w:style>
  <w:style w:type="character" w:customStyle="1" w:styleId="FooterChar">
    <w:name w:val="Footer Char"/>
    <w:basedOn w:val="DefaultParagraphFont"/>
    <w:link w:val="Footer"/>
    <w:uiPriority w:val="99"/>
    <w:rsid w:val="00CD45F7"/>
  </w:style>
  <w:style w:type="character" w:styleId="Hyperlink">
    <w:name w:val="Hyperlink"/>
    <w:basedOn w:val="DefaultParagraphFont"/>
    <w:uiPriority w:val="99"/>
    <w:semiHidden/>
    <w:unhideWhenUsed/>
    <w:rsid w:val="00803541"/>
    <w:rPr>
      <w:color w:val="0000FF" w:themeColor="hyperlink"/>
      <w:u w:val="single"/>
    </w:rPr>
  </w:style>
  <w:style w:type="paragraph" w:styleId="BalloonText">
    <w:name w:val="Balloon Text"/>
    <w:basedOn w:val="Normal"/>
    <w:link w:val="BalloonTextChar"/>
    <w:uiPriority w:val="99"/>
    <w:semiHidden/>
    <w:unhideWhenUsed/>
    <w:rsid w:val="008035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3541"/>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5110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stlaw.com/Browse/Home/KeyNumber/231Hk1376/View.html?docGuid=I26dd50d1d87211d98ac8f235252e36df&amp;originationContext=document&amp;vr=3.0&amp;rs=cblt1.0&amp;transitionType=DocumentItem&amp;contextData=(sc.UserEnteredCitation)" TargetMode="External"/><Relationship Id="rId13" Type="http://schemas.openxmlformats.org/officeDocument/2006/relationships/hyperlink" Target="http://www.westlaw.com/Link/Document/FullText?findType=Y&amp;serNum=1920139017&amp;pubNum=550&amp;originatingDoc=I26dd50d1d87211d98ac8f235252e36df&amp;refType=RP&amp;originationContext=document&amp;vr=3.0&amp;rs=cblt1.0&amp;transitionType=DocumentItem&amp;contextData=(sc.UserEnteredCitation)" TargetMode="Externa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hyperlink" Target="http://www.westlaw.com/Link/Document/FullText?findType=Y&amp;serNum=1920138799&amp;pubNum=601&amp;originatingDoc=I26dd50d1d87211d98ac8f235252e36df&amp;refType=RP&amp;originationContext=document&amp;vr=3.0&amp;rs=cblt1.0&amp;transitionType=DocumentItem&amp;contextData=(sc.UserEnteredCitati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westlaw.com/Browse/Home/KeyNumber/231H/View.html?docGuid=I26dd50d1d87211d98ac8f235252e36df&amp;originationContext=document&amp;vr=3.0&amp;rs=cblt1.0&amp;transitionType=DocumentItem&amp;contextData=(sc.UserEnteredCitation)" TargetMode="External"/><Relationship Id="rId11" Type="http://schemas.openxmlformats.org/officeDocument/2006/relationships/hyperlink" Target="http://www.westlaw.com/Link/Document/FullText?findType=Y&amp;serNum=1920138114&amp;pubNum=601&amp;originatingDoc=I26dd50d1d87211d98ac8f235252e36df&amp;refType=RP&amp;originationContext=document&amp;vr=3.0&amp;rs=cblt1.0&amp;transitionType=DocumentItem&amp;contextData=(sc.UserEnteredCitatio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westlaw.com/Link/Document/FullText?findType=Y&amp;serNum=1920138114&amp;pubNum=550&amp;originatingDoc=I26dd50d1d87211d98ac8f235252e36df&amp;refType=RP&amp;originationContext=document&amp;vr=3.0&amp;rs=cblt1.0&amp;transitionType=DocumentItem&amp;contextData=(sc.UserEnteredCitation)" TargetMode="External"/><Relationship Id="rId4" Type="http://schemas.openxmlformats.org/officeDocument/2006/relationships/settings" Target="settings.xml"/><Relationship Id="rId9" Type="http://schemas.openxmlformats.org/officeDocument/2006/relationships/hyperlink" Target="http://www.westlaw.com/Link/Document/FullText?findType=Y&amp;serNum=1919103634&amp;pubNum=577&amp;originatingDoc=I26dd50d1d87211d98ac8f235252e36df&amp;refType=RP&amp;originationContext=document&amp;vr=3.0&amp;rs=cblt1.0&amp;transitionType=DocumentItem&amp;contextData=(sc.UserEnteredCitation)" TargetMode="External"/><Relationship Id="rId14" Type="http://schemas.openxmlformats.org/officeDocument/2006/relationships/hyperlink" Target="http://www.westlaw.com/Link/Document/FullText?findType=Y&amp;serNum=1920139017&amp;pubNum=601&amp;originatingDoc=I26dd50d1d87211d98ac8f235252e36df&amp;refType=RP&amp;originationContext=document&amp;vr=3.0&amp;rs=cblt1.0&amp;transitionType=DocumentItem&amp;contextData=(sc.UserEnteredCi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MF document 2">
      <a:majorFont>
        <a:latin typeface="Open Sans"/>
        <a:ea typeface=""/>
        <a:cs typeface=""/>
      </a:majorFont>
      <a:minorFont>
        <a:latin typeface="Sabon L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1361</Words>
  <Characters>7759</Characters>
  <Application>Microsoft Office Word</Application>
  <DocSecurity>0</DocSecurity>
  <Lines>64</Lines>
  <Paragraphs>18</Paragraphs>
  <ScaleCrop>false</ScaleCrop>
  <Company>Elon University</Company>
  <LinksUpToDate>false</LinksUpToDate>
  <CharactersWithSpaces>9102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efink</dc:creator>
  <cp:lastModifiedBy>efink</cp:lastModifiedBy>
  <cp:revision>1</cp:revision>
  <dcterms:created xsi:type="dcterms:W3CDTF">2016-01-27T18:37:00Z</dcterms:created>
  <dcterms:modified xsi:type="dcterms:W3CDTF">2016-01-27T18:37:00Z</dcterms:modified>
</cp:coreProperties>
</file>