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31" w:rsidRDefault="0033517A" w:rsidP="007B0C31">
      <w:pPr>
        <w:pStyle w:val="Title"/>
      </w:pPr>
      <w:r>
        <w:t>Duplex Printing Press Co. v. Deering</w:t>
      </w:r>
    </w:p>
    <w:p w:rsidR="007B0C31" w:rsidRDefault="0033517A" w:rsidP="007B0C31">
      <w:pPr>
        <w:pStyle w:val="Subtitle"/>
      </w:pPr>
      <w:r>
        <w:t>254 U.S. 443 (1921)</w:t>
      </w:r>
    </w:p>
    <w:p w:rsidR="00D04600" w:rsidRDefault="00D04600" w:rsidP="00D04600">
      <w:pPr>
        <w:pStyle w:val="Heading1"/>
        <w:sectPr w:rsidR="00D04600" w:rsidSect="002F31E5">
          <w:headerReference w:type="default" r:id="rId10"/>
          <w:footerReference w:type="default" r:id="rId11"/>
          <w:pgSz w:w="12240" w:h="15840" w:code="1"/>
          <w:pgMar w:top="1800" w:right="2160" w:bottom="1440" w:left="2160" w:header="1296" w:footer="1008" w:gutter="0"/>
          <w:cols w:space="720"/>
          <w:titlePg/>
          <w:docGrid w:linePitch="360"/>
        </w:sectPr>
      </w:pPr>
    </w:p>
    <w:p w:rsidR="00D06A09" w:rsidRDefault="00D06A09" w:rsidP="00D04600">
      <w:pPr>
        <w:pStyle w:val="Heading1"/>
      </w:pPr>
      <w:r>
        <w:lastRenderedPageBreak/>
        <w:t>Mr. Justice PITNEY delivered the opinion of the Court.</w:t>
      </w:r>
    </w:p>
    <w:p w:rsidR="00D06A09" w:rsidRDefault="00D06A09" w:rsidP="00D04600">
      <w:pPr>
        <w:pStyle w:val="BodyTextFirstIndent"/>
      </w:pPr>
      <w:r>
        <w:t>This was a suit in equity brought by appellant in the District Court for the Southern District of New York for an injunction to restrain a course of conduct carried on by defendants in that district and vicinity in maintai</w:t>
      </w:r>
      <w:r>
        <w:t>n</w:t>
      </w:r>
      <w:r>
        <w:t>ing a boycott against the products of complainant</w:t>
      </w:r>
      <w:r w:rsidR="00D62592">
        <w:t>’</w:t>
      </w:r>
      <w:r>
        <w:t>s factory, in furtherance of a conspiracy to injure and destroy its good will, trade, and business-especially to obstruct and d</w:t>
      </w:r>
      <w:r>
        <w:t>e</w:t>
      </w:r>
      <w:r>
        <w:t>stroy its interstate trade. There was also a prayer for damages, but this has not been pressed and calls for no further mention. Complainant is a Michigan corporation, and manufactures prin</w:t>
      </w:r>
      <w:r>
        <w:t>t</w:t>
      </w:r>
      <w:r>
        <w:t>ing presses at a factory in Battle Creek, in that state, employing about 200 machinists in the factory, in add</w:t>
      </w:r>
      <w:r>
        <w:t>i</w:t>
      </w:r>
      <w:r>
        <w:t>tion to 50 office employees, traveling salesmen, and expert machinists or road men, who supervise the erection of the presses for complainant</w:t>
      </w:r>
      <w:r w:rsidR="00D62592">
        <w:t>’</w:t>
      </w:r>
      <w:r>
        <w:t>s cu</w:t>
      </w:r>
      <w:r>
        <w:t>s</w:t>
      </w:r>
      <w:r>
        <w:t>tomers at their various places of bus</w:t>
      </w:r>
      <w:r>
        <w:t>i</w:t>
      </w:r>
      <w:r>
        <w:t xml:space="preserve">ness. The defendants who were brought into court and answered the bill are Emil J. Deering and William Bramley, sued individually and as </w:t>
      </w:r>
      <w:r>
        <w:lastRenderedPageBreak/>
        <w:t>business agents and representatives of District No. 15 of the International Association of Machinists, and M</w:t>
      </w:r>
      <w:r>
        <w:t>i</w:t>
      </w:r>
      <w:r>
        <w:t>chael T. Neyland, sued individually and as business agent and represent</w:t>
      </w:r>
      <w:r>
        <w:t>a</w:t>
      </w:r>
      <w:r>
        <w:t>tive of Local Lodge No. 328 o</w:t>
      </w:r>
      <w:r w:rsidR="00EF77B4">
        <w:t>f the same association. The Dis</w:t>
      </w:r>
      <w:r>
        <w:t>trict Council and the Lodge are unincorporated a</w:t>
      </w:r>
      <w:r>
        <w:t>s</w:t>
      </w:r>
      <w:r>
        <w:t>sociations having headquarters in New York City, with numerous me</w:t>
      </w:r>
      <w:r>
        <w:t>m</w:t>
      </w:r>
      <w:r>
        <w:t>bers res</w:t>
      </w:r>
      <w:r>
        <w:t>i</w:t>
      </w:r>
      <w:r>
        <w:t>dent in that city and vicinity. There were averments and proof to show that it was impracticable to bring all the members before the court and that the named defendants properly represented them; and those named were called upon to defend for all, pursuant to equity rule 38. Other jurisdictional averments need no pa</w:t>
      </w:r>
      <w:r>
        <w:t>r</w:t>
      </w:r>
      <w:r>
        <w:t>ticular mention. The District Court, on final hearing, dismissed the bill, the Circuit Court of Appeals affirmed its decree, and the present appeal was ta</w:t>
      </w:r>
      <w:r>
        <w:t>k</w:t>
      </w:r>
      <w:r>
        <w:t>en.</w:t>
      </w:r>
    </w:p>
    <w:p w:rsidR="00D06A09" w:rsidRDefault="00D06A09" w:rsidP="00D04600">
      <w:pPr>
        <w:pStyle w:val="BodyTextFirstIndent"/>
      </w:pPr>
      <w:r>
        <w:t>The jurisdiction of the federal court was invoked both by reason of diverse cit</w:t>
      </w:r>
      <w:r>
        <w:t>i</w:t>
      </w:r>
      <w:r>
        <w:t>zenship and on the ground that defendants were engaged in a conspiracy to r</w:t>
      </w:r>
      <w:r>
        <w:t>e</w:t>
      </w:r>
      <w:r>
        <w:t>strain complainant</w:t>
      </w:r>
      <w:r w:rsidR="00D62592">
        <w:t>’</w:t>
      </w:r>
      <w:r>
        <w:t xml:space="preserve">s interstate trade and commerce in </w:t>
      </w:r>
      <w:r>
        <w:lastRenderedPageBreak/>
        <w:t>printing presses, contrary to the Sherman Anti-Trust Act of July 2, 1890</w:t>
      </w:r>
      <w:r w:rsidR="00DF6012">
        <w:t>.</w:t>
      </w:r>
      <w:r>
        <w:t xml:space="preserve"> The suit was begun before but brought to hearing after the passage of the Clayton Act of October 15, 1914. Both parties invoked the prov</w:t>
      </w:r>
      <w:r>
        <w:t>i</w:t>
      </w:r>
      <w:r>
        <w:t>sions of the la</w:t>
      </w:r>
      <w:r>
        <w:t>t</w:t>
      </w:r>
      <w:r>
        <w:t>ter act, and both courts treated them as applicable. Complai</w:t>
      </w:r>
      <w:r>
        <w:t>n</w:t>
      </w:r>
      <w:r>
        <w:t>ant relied also upon the common law; but we shall deal first with the effect of the acts of Congress.</w:t>
      </w:r>
    </w:p>
    <w:p w:rsidR="00D06A09" w:rsidRDefault="00D06A09" w:rsidP="00D04600">
      <w:pPr>
        <w:pStyle w:val="BodyTextFirstIndent"/>
      </w:pPr>
      <w:r>
        <w:t xml:space="preserve">The facts of the case and the nature of the relief prayed are sufficiently set forth in the report of the decision of the Circuit Court of Appeals. </w:t>
      </w:r>
      <w:bookmarkStart w:id="0" w:name="_GoBack"/>
      <w:bookmarkEnd w:id="0"/>
      <w:r>
        <w:t>The case was heard before Circuit Judges Ro</w:t>
      </w:r>
      <w:r>
        <w:t>g</w:t>
      </w:r>
      <w:r>
        <w:t>ers and Hough and District Judge Learned Hand. Judge Rogers, al</w:t>
      </w:r>
      <w:r>
        <w:t>t</w:t>
      </w:r>
      <w:r>
        <w:t>hough in the minority, stated the case and the pleadings for the court, and delivered an opinion for reversal in which he correctly outlined the facts as shown by the undisputed evidence-defendants having introduced none. Judges Hough and Hand followed with separate opinions for a</w:t>
      </w:r>
      <w:r>
        <w:t>f</w:t>
      </w:r>
      <w:r>
        <w:t>firmance, not, however, disagreeing with Judge Rogers as to the facts. These may be summarized as fo</w:t>
      </w:r>
      <w:r>
        <w:t>l</w:t>
      </w:r>
      <w:r>
        <w:t>lows:</w:t>
      </w:r>
    </w:p>
    <w:p w:rsidR="00D06A09" w:rsidRDefault="00D06A09" w:rsidP="00D04600">
      <w:pPr>
        <w:pStyle w:val="BodyTextFirstIndent"/>
      </w:pPr>
      <w:r>
        <w:t xml:space="preserve">Complainant conducts its business on the </w:t>
      </w:r>
      <w:r w:rsidR="00D62592">
        <w:t>‘</w:t>
      </w:r>
      <w:r>
        <w:t>open shop</w:t>
      </w:r>
      <w:r w:rsidR="00D62592">
        <w:t>’</w:t>
      </w:r>
      <w:r>
        <w:t xml:space="preserve"> policy, without discrim</w:t>
      </w:r>
      <w:r>
        <w:t>i</w:t>
      </w:r>
      <w:r>
        <w:t>nation against either union or non-union men. The individual d</w:t>
      </w:r>
      <w:r>
        <w:t>e</w:t>
      </w:r>
      <w:r>
        <w:t>fendants and the local organizations of which they are the representatives are affiliated with the I</w:t>
      </w:r>
      <w:r>
        <w:t>n</w:t>
      </w:r>
      <w:r>
        <w:t>ternational Association of Machinists, an uni</w:t>
      </w:r>
      <w:r>
        <w:t>n</w:t>
      </w:r>
      <w:r>
        <w:lastRenderedPageBreak/>
        <w:t>corporated association having a me</w:t>
      </w:r>
      <w:r>
        <w:t>m</w:t>
      </w:r>
      <w:r>
        <w:t>bership of more than 60,000, and are united in a combination, to which the International Association also is a pa</w:t>
      </w:r>
      <w:r>
        <w:t>r</w:t>
      </w:r>
      <w:r>
        <w:t>ty, having the object of compelling co</w:t>
      </w:r>
      <w:r>
        <w:t>m</w:t>
      </w:r>
      <w:r>
        <w:t xml:space="preserve">plainant to unionize its factory and enforce the </w:t>
      </w:r>
      <w:r w:rsidR="00D62592">
        <w:t>‘</w:t>
      </w:r>
      <w:r>
        <w:t>closed shop,</w:t>
      </w:r>
      <w:r w:rsidR="00D62592">
        <w:t>’</w:t>
      </w:r>
      <w:r>
        <w:t xml:space="preserve"> the eight-hour day, and the union scale of wages, by means of interfering with and restraining its inte</w:t>
      </w:r>
      <w:r>
        <w:t>r</w:t>
      </w:r>
      <w:r>
        <w:t>state trade in the products of the factory. Co</w:t>
      </w:r>
      <w:r>
        <w:t>m</w:t>
      </w:r>
      <w:r>
        <w:t>plainant</w:t>
      </w:r>
      <w:r w:rsidR="00D62592">
        <w:t>’</w:t>
      </w:r>
      <w:r>
        <w:t>s principal manufacture is newspaper presses of large size and complicated mechanism, varying in weight from 10,000 to 100,000 pounds, and requiring a considerable force of labor and a considerable e</w:t>
      </w:r>
      <w:r>
        <w:t>x</w:t>
      </w:r>
      <w:r>
        <w:t>penditure of time-a week or more-to handle, haul, and erect them at the point of delivery. These presses are sold throughout the United States and in foreign countries; and, as they are especially designed for the production of daily papers, there is a large market for them in and about the city of New York. They are delivered there in the ordinary course of interstate co</w:t>
      </w:r>
      <w:r>
        <w:t>m</w:t>
      </w:r>
      <w:r>
        <w:t>merce; the handling, hauling, and i</w:t>
      </w:r>
      <w:r>
        <w:t>n</w:t>
      </w:r>
      <w:r>
        <w:t>stallation work at destination being done by employees of the pu</w:t>
      </w:r>
      <w:r>
        <w:t>r</w:t>
      </w:r>
      <w:r>
        <w:t>chaser under the supervision of a specially skilled machinist supplied by co</w:t>
      </w:r>
      <w:r>
        <w:t>m</w:t>
      </w:r>
      <w:r>
        <w:t>plainant. The acts complained of and sought to be restrained have nothing to do with the conduct or manag</w:t>
      </w:r>
      <w:r>
        <w:t>e</w:t>
      </w:r>
      <w:r>
        <w:t>ment of the factory in Michigan, but solely with the installation and oper</w:t>
      </w:r>
      <w:r>
        <w:t>a</w:t>
      </w:r>
      <w:r>
        <w:lastRenderedPageBreak/>
        <w:t>tion of the presses by complainant</w:t>
      </w:r>
      <w:r w:rsidR="00D62592">
        <w:t>’</w:t>
      </w:r>
      <w:r>
        <w:t>s customers. None of the defen</w:t>
      </w:r>
      <w:r>
        <w:t>d</w:t>
      </w:r>
      <w:r>
        <w:t>ants is or ever was an employee of complai</w:t>
      </w:r>
      <w:r>
        <w:t>n</w:t>
      </w:r>
      <w:r>
        <w:t>ant, and complainant at no time has had relations with either of the orga</w:t>
      </w:r>
      <w:r>
        <w:t>n</w:t>
      </w:r>
      <w:r>
        <w:t>izations that they represent. In A</w:t>
      </w:r>
      <w:r>
        <w:t>u</w:t>
      </w:r>
      <w:r>
        <w:t>gust, 1913 (eight months before the filing of the bill), the International Association called a strike at complain ant</w:t>
      </w:r>
      <w:r w:rsidR="00D62592">
        <w:t>’</w:t>
      </w:r>
      <w:r w:rsidR="007641FA">
        <w:t xml:space="preserve">s </w:t>
      </w:r>
      <w:r>
        <w:t>factory in Battle Creek, as a r</w:t>
      </w:r>
      <w:r>
        <w:t>e</w:t>
      </w:r>
      <w:r>
        <w:t>sult of which union machi</w:t>
      </w:r>
      <w:r>
        <w:t>n</w:t>
      </w:r>
      <w:r>
        <w:t>ists to the member of about 11 in the factory and</w:t>
      </w:r>
      <w:r w:rsidR="00445342">
        <w:rPr>
          <w:rStyle w:val="FootnoteReference"/>
        </w:rPr>
        <w:footnoteReference w:id="1"/>
      </w:r>
      <w:r>
        <w:t xml:space="preserve"> who supervised the erection of presses in the field left complainant</w:t>
      </w:r>
      <w:r w:rsidR="00D62592">
        <w:t>’</w:t>
      </w:r>
      <w:r>
        <w:t>s employ. But the defection of so small a nu</w:t>
      </w:r>
      <w:r>
        <w:t>m</w:t>
      </w:r>
      <w:r>
        <w:t>ber did not materially interfere with the operation of the factory, and sales and shipments in interstate commerce co</w:t>
      </w:r>
      <w:r>
        <w:t>n</w:t>
      </w:r>
      <w:r>
        <w:t>tinued.</w:t>
      </w:r>
    </w:p>
    <w:p w:rsidR="00D06A09" w:rsidRDefault="00D06A09" w:rsidP="00D04600">
      <w:pPr>
        <w:pStyle w:val="BodyTextFirstIndent"/>
      </w:pPr>
      <w:r>
        <w:lastRenderedPageBreak/>
        <w:t>The acts complained of made up the details of an elaborate programme adopted and carried out by defendants and their organizations in and about the city of New York as part of a country-wide programme adopted by the International Associ</w:t>
      </w:r>
      <w:r>
        <w:t>a</w:t>
      </w:r>
      <w:r>
        <w:t>tion, for the purpose of enforcing a boycott of complainant</w:t>
      </w:r>
      <w:r w:rsidR="00D62592">
        <w:t>’</w:t>
      </w:r>
      <w:r>
        <w:t>s product. The acts e</w:t>
      </w:r>
      <w:r>
        <w:t>m</w:t>
      </w:r>
      <w:r>
        <w:t>braced the following, with others: Warning customers that it would be better for them not to purchase, or, having purchased, not to install, presses made by complainant, and threatening them with loss should they do so; threatening customers with sympathetic strikes in other trades; notifying a trucking company, usually employed by customers to haul the presses, not to do so, and threatening it with trouble if it should; inciting employees of the trucking company, and other men employed by customers of complainant, to strike against their respective e</w:t>
      </w:r>
      <w:r>
        <w:t>m</w:t>
      </w:r>
      <w:r>
        <w:t>ployers in order to interfere with the hauling and installation of presses, and thus bring pressure to bear upon the customers; notifying repair shops not to do repair work on Duplex presses; coercing u</w:t>
      </w:r>
      <w:r>
        <w:t>n</w:t>
      </w:r>
      <w:r>
        <w:t>ion men, by threatening them with loss of u</w:t>
      </w:r>
      <w:r>
        <w:t>n</w:t>
      </w:r>
      <w:r>
        <w:t xml:space="preserve">ion cards and with being blacklisted as </w:t>
      </w:r>
      <w:r w:rsidR="00D62592">
        <w:t>‘</w:t>
      </w:r>
      <w:r>
        <w:t>scabs</w:t>
      </w:r>
      <w:r w:rsidR="00D62592">
        <w:t>’</w:t>
      </w:r>
      <w:r>
        <w:t xml:space="preserve"> if they assisted in installing the presses; threatening an exposition company with a strike if it permitted complai</w:t>
      </w:r>
      <w:r>
        <w:t>n</w:t>
      </w:r>
      <w:r>
        <w:t>ant</w:t>
      </w:r>
      <w:r w:rsidR="00D62592">
        <w:t>’</w:t>
      </w:r>
      <w:r>
        <w:t xml:space="preserve">s presses to be exhibited; and resorting to a variety of </w:t>
      </w:r>
      <w:r>
        <w:lastRenderedPageBreak/>
        <w:t>other modes of preven</w:t>
      </w:r>
      <w:r>
        <w:t>t</w:t>
      </w:r>
      <w:r>
        <w:t>ing the sale of presses of complainant</w:t>
      </w:r>
      <w:r w:rsidR="00D62592">
        <w:t>’</w:t>
      </w:r>
      <w:r>
        <w:t>s manufacture in or about New York City, and d</w:t>
      </w:r>
      <w:r>
        <w:t>e</w:t>
      </w:r>
      <w:r>
        <w:t>livery of them in interstate commerce, such as injuring and threatening to injure complainant</w:t>
      </w:r>
      <w:r w:rsidR="00D62592">
        <w:t>’</w:t>
      </w:r>
      <w:r>
        <w:t>s customers and prospective cu</w:t>
      </w:r>
      <w:r w:rsidR="007641FA">
        <w:t xml:space="preserve">stomers, and persons concerned </w:t>
      </w:r>
      <w:r>
        <w:t>in hauling, handling, or installing the presses. In some cases the threats were undi</w:t>
      </w:r>
      <w:r>
        <w:t>s</w:t>
      </w:r>
      <w:r>
        <w:t>guised; in other cases polite in form, but none the less sinister in purpose and e</w:t>
      </w:r>
      <w:r>
        <w:t>f</w:t>
      </w:r>
      <w:r>
        <w:t>fect.</w:t>
      </w:r>
    </w:p>
    <w:p w:rsidR="00D06A09" w:rsidRDefault="00D06A09" w:rsidP="00D04600">
      <w:pPr>
        <w:pStyle w:val="BodyTextFirstIndent"/>
      </w:pPr>
      <w:r>
        <w:t>All the judges of the Circuit Court of Appeals concurred in the view that d</w:t>
      </w:r>
      <w:r>
        <w:t>e</w:t>
      </w:r>
      <w:r>
        <w:t>fendants</w:t>
      </w:r>
      <w:r w:rsidR="00D62592">
        <w:t>’</w:t>
      </w:r>
      <w:r>
        <w:t xml:space="preserve"> consisted essentially of efforts to render it impossible for complainant to carry on any co</w:t>
      </w:r>
      <w:r>
        <w:t>m</w:t>
      </w:r>
      <w:r>
        <w:t>merce in printing presses between Michigan and New York and that d</w:t>
      </w:r>
      <w:r>
        <w:t>e</w:t>
      </w:r>
      <w:r>
        <w:t xml:space="preserve">fendants had agreed to do and were endeavoring to accomplish the very thing pronounced </w:t>
      </w:r>
      <w:r w:rsidR="008A60F5">
        <w:t>unlawful</w:t>
      </w:r>
      <w:r>
        <w:t xml:space="preserve"> by this court in Loewe v. Lawlor, 208 U.S. 274 , 28 Sup. Ct. 301, 13 Ann. Cas. 815, and Lawlor v. Loewe, 235 U.S. 522 , 35 Sup. Ct. 170. The judges also agreed that the interference with inte</w:t>
      </w:r>
      <w:r>
        <w:t>r</w:t>
      </w:r>
      <w:r>
        <w:t>state commerce was such as ought to be enjoined, unless the Clayton Act of October 15, 1914, forbade such i</w:t>
      </w:r>
      <w:r>
        <w:t>n</w:t>
      </w:r>
      <w:r>
        <w:t>junction.</w:t>
      </w:r>
    </w:p>
    <w:p w:rsidR="00D06A09" w:rsidRDefault="00D06A09" w:rsidP="00D04600">
      <w:pPr>
        <w:pStyle w:val="BodyTextFirstIndent"/>
      </w:pPr>
      <w:r>
        <w:t>That act was passed after the b</w:t>
      </w:r>
      <w:r>
        <w:t>e</w:t>
      </w:r>
      <w:r>
        <w:t>ginning of the suit, but more than two years before it was brought to hea</w:t>
      </w:r>
      <w:r>
        <w:t>r</w:t>
      </w:r>
      <w:r>
        <w:t>ing. We are clear that the courts b</w:t>
      </w:r>
      <w:r>
        <w:t>e</w:t>
      </w:r>
      <w:r>
        <w:t xml:space="preserve">low were right in giving effect to it; the real question being whether they </w:t>
      </w:r>
      <w:r>
        <w:lastRenderedPageBreak/>
        <w:t>gave it the proper effect. In so far as the act (a) provided for relief by i</w:t>
      </w:r>
      <w:r>
        <w:t>n</w:t>
      </w:r>
      <w:r>
        <w:t>junction to private suitors, (b) i</w:t>
      </w:r>
      <w:r>
        <w:t>m</w:t>
      </w:r>
      <w:r>
        <w:t xml:space="preserve">posed conditions upon granting such relief under particular circumstances, and (c) otherwise </w:t>
      </w:r>
      <w:r w:rsidR="008A60F5">
        <w:t>modified</w:t>
      </w:r>
      <w:r>
        <w:t xml:space="preserve"> the She</w:t>
      </w:r>
      <w:r>
        <w:t>r</w:t>
      </w:r>
      <w:r>
        <w:t>man Act, it was effective from the time of its passage, and applicable to pending suits for injunction. Obviou</w:t>
      </w:r>
      <w:r>
        <w:t>s</w:t>
      </w:r>
      <w:r>
        <w:t>ly, this form of relief operates only in futuro, and the right to it must be d</w:t>
      </w:r>
      <w:r>
        <w:t>e</w:t>
      </w:r>
      <w:r>
        <w:t xml:space="preserve">termined as of the time of the hearing. </w:t>
      </w:r>
      <w:r w:rsidR="007641FA">
        <w:t>[***]</w:t>
      </w:r>
      <w:r>
        <w:t>.</w:t>
      </w:r>
    </w:p>
    <w:p w:rsidR="00D06A09" w:rsidRDefault="00574F03" w:rsidP="00D04600">
      <w:pPr>
        <w:pStyle w:val="BodyTextFirstIndent"/>
      </w:pPr>
      <w:r>
        <w:t>The Clayton Act, in section 1,</w:t>
      </w:r>
      <w:r w:rsidR="00D06A09">
        <w:t xml:space="preserve"> i</w:t>
      </w:r>
      <w:r w:rsidR="00D06A09">
        <w:t>n</w:t>
      </w:r>
      <w:r w:rsidR="00D06A09">
        <w:t>cludes the She</w:t>
      </w:r>
      <w:r w:rsidR="00D06A09">
        <w:t>r</w:t>
      </w:r>
      <w:r w:rsidR="00D06A09">
        <w:t xml:space="preserve">man Act in a definition of </w:t>
      </w:r>
      <w:r w:rsidR="00D62592">
        <w:t>‘</w:t>
      </w:r>
      <w:r w:rsidR="00D06A09">
        <w:t>anti-trust laws,</w:t>
      </w:r>
      <w:r w:rsidR="00D62592">
        <w:t>’</w:t>
      </w:r>
      <w:r w:rsidR="00D06A09">
        <w:t xml:space="preserve"> and in section 16 gives to private parties a right to relief by injunction in any court of the Uni</w:t>
      </w:r>
      <w:r w:rsidR="00D06A09">
        <w:t>t</w:t>
      </w:r>
      <w:r w:rsidR="00D06A09">
        <w:t>ed States against threatened loss or damage by a vi</w:t>
      </w:r>
      <w:r w:rsidR="00D06A09">
        <w:t>o</w:t>
      </w:r>
      <w:r w:rsidR="00D06A09">
        <w:t>lation of the antitrust laws, under the conditions and princ</w:t>
      </w:r>
      <w:r w:rsidR="00D06A09">
        <w:t>i</w:t>
      </w:r>
      <w:r w:rsidR="00D06A09">
        <w:t>ples regulating the granting of such relief by courts of equity. Evidently this provision was intended to su</w:t>
      </w:r>
      <w:r w:rsidR="00D06A09">
        <w:t>p</w:t>
      </w:r>
      <w:r w:rsidR="00D06A09">
        <w:t>plement the Sherman Act, under which some of the federal courts had held, as this court afte</w:t>
      </w:r>
      <w:r w:rsidR="00D06A09">
        <w:t>r</w:t>
      </w:r>
      <w:r w:rsidR="00D06A09">
        <w:t>wards held in Paine Lumber Co. v. Neal, 244 U.S. 459, 471 , 37 S. Sup. Ct. 718, that a private party could not maintain a suit for injunction.</w:t>
      </w:r>
    </w:p>
    <w:p w:rsidR="00D06A09" w:rsidRDefault="00D06A09" w:rsidP="00D04600">
      <w:pPr>
        <w:pStyle w:val="BodyTextFirstIndent"/>
      </w:pPr>
      <w:r>
        <w:t>That complainant</w:t>
      </w:r>
      <w:r w:rsidR="00D62592">
        <w:t>’</w:t>
      </w:r>
      <w:r>
        <w:t>s business of manufacturing printing presses and disposing of them in commerce is a property right, entitled to protection against unlawful injury or interfe</w:t>
      </w:r>
      <w:r>
        <w:t>r</w:t>
      </w:r>
      <w:r>
        <w:t xml:space="preserve">ence; that unrestrained access to the </w:t>
      </w:r>
      <w:r>
        <w:lastRenderedPageBreak/>
        <w:t>channels of interstate commerce is necessary for the successful conduct of the business; that a widespread co</w:t>
      </w:r>
      <w:r>
        <w:t>m</w:t>
      </w:r>
      <w:r>
        <w:t>bin</w:t>
      </w:r>
      <w:r>
        <w:t>a</w:t>
      </w:r>
      <w:r>
        <w:t>tion exists, to which defendants and the associations represented by them are parties, to hinder and o</w:t>
      </w:r>
      <w:r>
        <w:t>b</w:t>
      </w:r>
      <w:r>
        <w:t>struct complainant</w:t>
      </w:r>
      <w:r w:rsidR="00D62592">
        <w:t>’</w:t>
      </w:r>
      <w:r>
        <w:t>s interstate trade and commerce by the means that have been indicated; and that as a result of it complainant has sustained substa</w:t>
      </w:r>
      <w:r>
        <w:t>n</w:t>
      </w:r>
      <w:r>
        <w:t>tial damage to its interstate trade, and is threatened with further and irrep</w:t>
      </w:r>
      <w:r>
        <w:t>a</w:t>
      </w:r>
      <w:r>
        <w:t>rable loss and damage in the future-is proved by clear and undisputed ev</w:t>
      </w:r>
      <w:r>
        <w:t>i</w:t>
      </w:r>
      <w:r>
        <w:t>dence. Hence the right to an injun</w:t>
      </w:r>
      <w:r>
        <w:t>c</w:t>
      </w:r>
      <w:r>
        <w:t>tion is clear if the threatened loss is due to a violation of the Sherman Act as amended by the Clayton Act.</w:t>
      </w:r>
    </w:p>
    <w:p w:rsidR="00D06A09" w:rsidRDefault="00D06A09" w:rsidP="00D04600">
      <w:pPr>
        <w:pStyle w:val="BodyTextFirstIndent"/>
      </w:pPr>
      <w:r>
        <w:t>Looking first to the former act, the thing declared illegal by its first se</w:t>
      </w:r>
      <w:r>
        <w:t>c</w:t>
      </w:r>
      <w:r>
        <w:t>tion</w:t>
      </w:r>
      <w:r w:rsidR="00EA3892">
        <w:t xml:space="preserve"> </w:t>
      </w:r>
      <w:r>
        <w:t>is:</w:t>
      </w:r>
    </w:p>
    <w:p w:rsidR="00D06A09" w:rsidRDefault="00D62592" w:rsidP="00EA3892">
      <w:pPr>
        <w:pStyle w:val="BlockText"/>
      </w:pPr>
      <w:r>
        <w:t>‘</w:t>
      </w:r>
      <w:r w:rsidR="00D06A09">
        <w:t>Every contract, combination in the form of trust or otherwise, or co</w:t>
      </w:r>
      <w:r w:rsidR="00D06A09">
        <w:t>n</w:t>
      </w:r>
      <w:r w:rsidR="00D06A09">
        <w:t>spiracy, in restraint of trade or commerce among the several states, or with foreign nations.</w:t>
      </w:r>
      <w:r>
        <w:t>’</w:t>
      </w:r>
    </w:p>
    <w:p w:rsidR="00D06A09" w:rsidRDefault="00D06A09" w:rsidP="00D04600">
      <w:pPr>
        <w:pStyle w:val="BodyTextFirstIndent"/>
      </w:pPr>
      <w:r>
        <w:t>The accepted definition of a co</w:t>
      </w:r>
      <w:r>
        <w:t>n</w:t>
      </w:r>
      <w:r>
        <w:t>spiracy is a combination of two or more pe</w:t>
      </w:r>
      <w:r>
        <w:t>r</w:t>
      </w:r>
      <w:r>
        <w:t>sons by concerted action to accomplish a criminal or unlawful purpose, or to accomplish some pu</w:t>
      </w:r>
      <w:r>
        <w:t>r</w:t>
      </w:r>
      <w:r>
        <w:t>pose not in itself criminal or unlawful by criminal or unlawful means. Pett</w:t>
      </w:r>
      <w:r>
        <w:t>i</w:t>
      </w:r>
      <w:r>
        <w:t>bone v. United States, 148 U</w:t>
      </w:r>
      <w:r w:rsidR="007E04BB">
        <w:t>.S. 197, 203</w:t>
      </w:r>
      <w:r>
        <w:t>. If the pu</w:t>
      </w:r>
      <w:r>
        <w:t>r</w:t>
      </w:r>
      <w:r>
        <w:t xml:space="preserve">pose be unlawful, it may not be carried out, even by means that otherwise would be legal; and, </w:t>
      </w:r>
      <w:r>
        <w:lastRenderedPageBreak/>
        <w:t>the purpose be lawful, it may not be carried out by cri</w:t>
      </w:r>
      <w:r>
        <w:t>m</w:t>
      </w:r>
      <w:r>
        <w:t>inal or unlawful means.</w:t>
      </w:r>
    </w:p>
    <w:p w:rsidR="00D06A09" w:rsidRDefault="00D06A09" w:rsidP="00D04600">
      <w:pPr>
        <w:pStyle w:val="BodyTextFirstIndent"/>
      </w:pPr>
      <w:r>
        <w:t>The substance of the matters here complained of is an interference with complainant</w:t>
      </w:r>
      <w:r w:rsidR="00D62592">
        <w:t>’</w:t>
      </w:r>
      <w:r>
        <w:t>s interstate trade, inten</w:t>
      </w:r>
      <w:r>
        <w:t>d</w:t>
      </w:r>
      <w:r>
        <w:t>ed to have coercive effect upon co</w:t>
      </w:r>
      <w:r>
        <w:t>m</w:t>
      </w:r>
      <w:r>
        <w:t xml:space="preserve">plainant, and produced by what is commonly known as a </w:t>
      </w:r>
      <w:r w:rsidR="00D62592">
        <w:t>‘</w:t>
      </w:r>
      <w:r>
        <w:t>secondary boycott</w:t>
      </w:r>
      <w:r w:rsidR="00D62592">
        <w:t>’</w:t>
      </w:r>
      <w:r>
        <w:t>; that is, a comb</w:t>
      </w:r>
      <w:r>
        <w:t>i</w:t>
      </w:r>
      <w:r>
        <w:t>nation not merely to refrain from dealing with complainant, or to advise or by peac</w:t>
      </w:r>
      <w:r>
        <w:t>e</w:t>
      </w:r>
      <w:r>
        <w:t>ful means persuade complainant</w:t>
      </w:r>
      <w:r w:rsidR="00D62592">
        <w:t>’</w:t>
      </w:r>
      <w:r>
        <w:t>s cu</w:t>
      </w:r>
      <w:r>
        <w:t>s</w:t>
      </w:r>
      <w:r>
        <w:t>tomers to refrain (</w:t>
      </w:r>
      <w:r w:rsidR="00D62592">
        <w:t>‘</w:t>
      </w:r>
      <w:r>
        <w:t>primary boycott</w:t>
      </w:r>
      <w:r w:rsidR="00D62592">
        <w:t>’</w:t>
      </w:r>
      <w:r>
        <w:t>), but to exercise coercive pressure upon such customers, actual or prospective, in order to cause them to withhold or withdraw patronage from complai</w:t>
      </w:r>
      <w:r>
        <w:t>n</w:t>
      </w:r>
      <w:r>
        <w:t>ant through fear of loss or damage to themselves should they deal with it.</w:t>
      </w:r>
    </w:p>
    <w:p w:rsidR="00D06A09" w:rsidRDefault="00D06A09" w:rsidP="00D04600">
      <w:pPr>
        <w:pStyle w:val="BodyTextFirstIndent"/>
      </w:pPr>
      <w:r>
        <w:t>As we shall see, the recognized di</w:t>
      </w:r>
      <w:r>
        <w:t>s</w:t>
      </w:r>
      <w:r>
        <w:t>tinction between a primary and a se</w:t>
      </w:r>
      <w:r>
        <w:t>c</w:t>
      </w:r>
      <w:r>
        <w:t>ondary boycott is material to be co</w:t>
      </w:r>
      <w:r>
        <w:t>n</w:t>
      </w:r>
      <w:r>
        <w:t>sidered upon the question of the pro</w:t>
      </w:r>
      <w:r>
        <w:t>p</w:t>
      </w:r>
      <w:r>
        <w:t>er construction of the Clayton Act. But, in determining the right to an injunction under that and the She</w:t>
      </w:r>
      <w:r>
        <w:t>r</w:t>
      </w:r>
      <w:r>
        <w:t>man Act, it is of minor consequence whether either kind of boycott is la</w:t>
      </w:r>
      <w:r>
        <w:t>w</w:t>
      </w:r>
      <w:r>
        <w:t>ful or unlawful at common law or u</w:t>
      </w:r>
      <w:r>
        <w:t>n</w:t>
      </w:r>
      <w:r>
        <w:t>der the statutes of particular states. Those acts, passed in the exercise of the power of Congress to regulate commerce among the states, are of paramount authority, and their proh</w:t>
      </w:r>
      <w:r>
        <w:t>i</w:t>
      </w:r>
      <w:r>
        <w:t>bitions must be given full effect, irr</w:t>
      </w:r>
      <w:r>
        <w:t>e</w:t>
      </w:r>
      <w:r>
        <w:t>spective of whether the things prohi</w:t>
      </w:r>
      <w:r>
        <w:t>b</w:t>
      </w:r>
      <w:r>
        <w:lastRenderedPageBreak/>
        <w:t>ited are lawful or unlawful at co</w:t>
      </w:r>
      <w:r>
        <w:t>m</w:t>
      </w:r>
      <w:r>
        <w:t>mon law or under local statutes.</w:t>
      </w:r>
    </w:p>
    <w:p w:rsidR="00D06A09" w:rsidRDefault="00D06A09" w:rsidP="00D04600">
      <w:pPr>
        <w:pStyle w:val="BodyTextFirstIndent"/>
      </w:pPr>
      <w:r>
        <w:t>In Loewe v. Lawlor, 208 U.S. 274 , where there was an effort to compel plai</w:t>
      </w:r>
      <w:r>
        <w:t>n</w:t>
      </w:r>
      <w:r>
        <w:t>tiffs to unionize their factory by preventing them from manufacturing articles i</w:t>
      </w:r>
      <w:r>
        <w:t>n</w:t>
      </w:r>
      <w:r>
        <w:t>tended for transportation beyond the state, and also by preven</w:t>
      </w:r>
      <w:r>
        <w:t>t</w:t>
      </w:r>
      <w:r>
        <w:t>ing vendees from reselling articles purchased from plaintiffs and negot</w:t>
      </w:r>
      <w:r>
        <w:t>i</w:t>
      </w:r>
      <w:r>
        <w:t>ating with plaintiffs for further pu</w:t>
      </w:r>
      <w:r>
        <w:t>r</w:t>
      </w:r>
      <w:r>
        <w:t>chases, by means of a boycott of plaintiffs</w:t>
      </w:r>
      <w:r w:rsidR="00D62592">
        <w:t>’</w:t>
      </w:r>
      <w:r>
        <w:t xml:space="preserve"> products and of dealers who handled them, this court held that there was a conspiracy in restraint of trade a</w:t>
      </w:r>
      <w:r>
        <w:t>c</w:t>
      </w:r>
      <w:r>
        <w:t>tionable under section 7 of the Sherman Act, and in that connection said:</w:t>
      </w:r>
    </w:p>
    <w:p w:rsidR="00D06A09" w:rsidRDefault="00D62592" w:rsidP="00F352BC">
      <w:pPr>
        <w:pStyle w:val="BlockText"/>
      </w:pPr>
      <w:r>
        <w:t>‘</w:t>
      </w:r>
      <w:r w:rsidR="00D06A09">
        <w:t>The act prohibits any combination whatever to secure action which e</w:t>
      </w:r>
      <w:r w:rsidR="00D06A09">
        <w:t>s</w:t>
      </w:r>
      <w:r w:rsidR="00D06A09">
        <w:t>sentially obstructs the free flow of commerce between the states, or restricts, in that regard, the liberty of a trader to engage in business. The combination charged falls within the class of restraints of trade aimed at compelling third parties and strangers involu</w:t>
      </w:r>
      <w:r w:rsidR="00D06A09">
        <w:t>n</w:t>
      </w:r>
      <w:r w:rsidR="00D06A09">
        <w:t>tarily not to engage in the course of trade except on conditions that the co</w:t>
      </w:r>
      <w:r w:rsidR="00D06A09">
        <w:t>m</w:t>
      </w:r>
      <w:r w:rsidR="00D06A09">
        <w:t>bination imposes.</w:t>
      </w:r>
      <w:r>
        <w:t>’</w:t>
      </w:r>
    </w:p>
    <w:p w:rsidR="00D06A09" w:rsidRDefault="00D06A09" w:rsidP="00D04600">
      <w:pPr>
        <w:pStyle w:val="BodyTextFirstIndent"/>
      </w:pPr>
      <w:r>
        <w:t>And when the case came before the court a second time, 235 U.S. 522, 534 , 35 S. Sup. Ct. 170, it was held that the use of the primary and se</w:t>
      </w:r>
      <w:r>
        <w:t>c</w:t>
      </w:r>
      <w:r>
        <w:t xml:space="preserve">ondary boycott and the circulation of a list of </w:t>
      </w:r>
      <w:r w:rsidR="00D62592">
        <w:t>‘</w:t>
      </w:r>
      <w:r>
        <w:t>unfair dealers,</w:t>
      </w:r>
      <w:r w:rsidR="00D62592">
        <w:t>’</w:t>
      </w:r>
      <w:r>
        <w:t xml:space="preserve"> intended to influence customers of plai</w:t>
      </w:r>
      <w:r>
        <w:t>n</w:t>
      </w:r>
      <w:r>
        <w:t xml:space="preserve">tiffs and thus subdue the latter to the demands </w:t>
      </w:r>
      <w:r>
        <w:lastRenderedPageBreak/>
        <w:t>of the defendants, and having the e</w:t>
      </w:r>
      <w:r>
        <w:t>f</w:t>
      </w:r>
      <w:r>
        <w:t>fect of interfering with plaintiffs</w:t>
      </w:r>
      <w:r w:rsidR="00D62592">
        <w:t>’</w:t>
      </w:r>
      <w:r>
        <w:t xml:space="preserve"> i</w:t>
      </w:r>
      <w:r>
        <w:t>n</w:t>
      </w:r>
      <w:r>
        <w:t>terstate trade, was actionable.</w:t>
      </w:r>
    </w:p>
    <w:p w:rsidR="00D06A09" w:rsidRDefault="00D06A09" w:rsidP="00D04600">
      <w:pPr>
        <w:pStyle w:val="BodyTextFirstIndent"/>
      </w:pPr>
      <w:r>
        <w:t>In Eastern States Lumber Associ</w:t>
      </w:r>
      <w:r>
        <w:t>a</w:t>
      </w:r>
      <w:r>
        <w:t>tion</w:t>
      </w:r>
      <w:r w:rsidR="00F352BC">
        <w:t xml:space="preserve"> v. United States, 234 U.S. 600</w:t>
      </w:r>
      <w:r>
        <w:t>, wholesale dealers were subjected to coercion merely through the circul</w:t>
      </w:r>
      <w:r>
        <w:t>a</w:t>
      </w:r>
      <w:r>
        <w:t>tion among retailers, who were me</w:t>
      </w:r>
      <w:r>
        <w:t>m</w:t>
      </w:r>
      <w:r>
        <w:t xml:space="preserve">bers of the association, of information in the form of a kind of </w:t>
      </w:r>
      <w:r w:rsidR="00D62592">
        <w:t>‘</w:t>
      </w:r>
      <w:r>
        <w:t>black list,</w:t>
      </w:r>
      <w:r w:rsidR="00D62592">
        <w:t>’</w:t>
      </w:r>
      <w:r>
        <w:t xml:space="preserve"> intended to influence the retailers to refrain from dealing with the listed wholesalers, and it was held that this constituted a violation of the Sherman Act. Referring to this decision, the court said, in Lawlor v. Loewe, 235 U.S. 522, 534:</w:t>
      </w:r>
    </w:p>
    <w:p w:rsidR="00D06A09" w:rsidRDefault="00D62592" w:rsidP="00F352BC">
      <w:pPr>
        <w:pStyle w:val="BlockText"/>
      </w:pPr>
      <w:r>
        <w:t>‘</w:t>
      </w:r>
      <w:r w:rsidR="00D06A09">
        <w:t>That case establishes that, irrespe</w:t>
      </w:r>
      <w:r w:rsidR="00D06A09">
        <w:t>c</w:t>
      </w:r>
      <w:r w:rsidR="00D06A09">
        <w:t>tive of compulsion or even agre</w:t>
      </w:r>
      <w:r w:rsidR="00D06A09">
        <w:t>e</w:t>
      </w:r>
      <w:r w:rsidR="00D06A09">
        <w:t xml:space="preserve">ment to observe its intimation, the circulation of a list of </w:t>
      </w:r>
      <w:r>
        <w:t>‘</w:t>
      </w:r>
      <w:r w:rsidR="00D06A09">
        <w:t>unfair dea</w:t>
      </w:r>
      <w:r w:rsidR="00D06A09">
        <w:t>l</w:t>
      </w:r>
      <w:r w:rsidR="00D06A09">
        <w:t>ers,</w:t>
      </w:r>
      <w:r>
        <w:t>’</w:t>
      </w:r>
      <w:r w:rsidR="00D06A09">
        <w:t xml:space="preserve"> manifestly intended to put the ban upon those whose names a</w:t>
      </w:r>
      <w:r w:rsidR="00D06A09">
        <w:t>p</w:t>
      </w:r>
      <w:r w:rsidR="00D06A09">
        <w:t>pear therein, among an important body of possible customers co</w:t>
      </w:r>
      <w:r w:rsidR="00D06A09">
        <w:t>m</w:t>
      </w:r>
      <w:r w:rsidR="00D06A09">
        <w:t>bined with a view to joint action and in anticipation of such r</w:t>
      </w:r>
      <w:r w:rsidR="00D06A09">
        <w:t>e</w:t>
      </w:r>
      <w:r w:rsidR="00D06A09">
        <w:t>ports, is within the prohibitions of the Sherman Act if it is intended to r</w:t>
      </w:r>
      <w:r w:rsidR="00D06A09">
        <w:t>e</w:t>
      </w:r>
      <w:r w:rsidR="00D06A09">
        <w:t>strain and restrains commerce among the states.</w:t>
      </w:r>
      <w:r>
        <w:t>’</w:t>
      </w:r>
    </w:p>
    <w:p w:rsidR="00D06A09" w:rsidRDefault="00D06A09" w:rsidP="00D04600">
      <w:pPr>
        <w:pStyle w:val="BodyTextFirstIndent"/>
      </w:pPr>
      <w:r>
        <w:t>It is settled by these decisions that such a restraint produced by peace</w:t>
      </w:r>
      <w:r>
        <w:t>a</w:t>
      </w:r>
      <w:r>
        <w:t>ble pe</w:t>
      </w:r>
      <w:r>
        <w:t>r</w:t>
      </w:r>
      <w:r>
        <w:t>suasion is as much within the prohibition as one accomplished by force or threats of force; and it is not to be justified by the fact that the pa</w:t>
      </w:r>
      <w:r>
        <w:t>r</w:t>
      </w:r>
      <w:r>
        <w:t>ticipants in the combination or co</w:t>
      </w:r>
      <w:r>
        <w:t>n</w:t>
      </w:r>
      <w:r>
        <w:t>spiracy may have some object benef</w:t>
      </w:r>
      <w:r>
        <w:t>i</w:t>
      </w:r>
      <w:r>
        <w:lastRenderedPageBreak/>
        <w:t>cial to themselves or their assoc</w:t>
      </w:r>
      <w:r>
        <w:t>i</w:t>
      </w:r>
      <w:r>
        <w:t>ates which possibly they might have been at liberty to pursue in the absence of the statute.</w:t>
      </w:r>
    </w:p>
    <w:p w:rsidR="00D06A09" w:rsidRDefault="00D06A09" w:rsidP="00D04600">
      <w:pPr>
        <w:pStyle w:val="BodyTextFirstIndent"/>
      </w:pPr>
      <w:r>
        <w:t>Upon the question whether the provisions of the Clayton Act forbade the grant of an injunction under the circumstances of the present case, the Circuit Court of Appeals was divided; the majority holding that under se</w:t>
      </w:r>
      <w:r>
        <w:t>c</w:t>
      </w:r>
      <w:r>
        <w:t xml:space="preserve">tion 20, </w:t>
      </w:r>
      <w:r w:rsidR="00D62592">
        <w:t>‘</w:t>
      </w:r>
      <w:r>
        <w:t>perhaps in co</w:t>
      </w:r>
      <w:r>
        <w:t>n</w:t>
      </w:r>
      <w:r>
        <w:t>junction with section 6,</w:t>
      </w:r>
      <w:r w:rsidR="00D62592">
        <w:t>’</w:t>
      </w:r>
      <w:r>
        <w:t xml:space="preserve"> there could be no injun</w:t>
      </w:r>
      <w:r>
        <w:t>c</w:t>
      </w:r>
      <w:r>
        <w:t>tion. These sections ar</w:t>
      </w:r>
      <w:r w:rsidR="00F352BC">
        <w:t>e set forth in the margin.</w:t>
      </w:r>
      <w:r w:rsidR="00F352BC">
        <w:rPr>
          <w:rStyle w:val="FootnoteReference"/>
        </w:rPr>
        <w:footnoteReference w:id="2"/>
      </w:r>
      <w:r>
        <w:t xml:space="preserve"> Defendants seek to derive from them some</w:t>
      </w:r>
      <w:r w:rsidR="00F352BC">
        <w:t xml:space="preserve"> </w:t>
      </w:r>
      <w:r>
        <w:t>authority for their co</w:t>
      </w:r>
      <w:r>
        <w:t>n</w:t>
      </w:r>
      <w:r>
        <w:t>duct. As to section 6, it seems to us its principal importance in this di</w:t>
      </w:r>
      <w:r>
        <w:t>s</w:t>
      </w:r>
      <w:r>
        <w:t>cussion is for what it does not autho</w:t>
      </w:r>
      <w:r>
        <w:t>r</w:t>
      </w:r>
      <w:r>
        <w:t>ize, and for the limit it sets to the i</w:t>
      </w:r>
      <w:r>
        <w:t>m</w:t>
      </w:r>
      <w:r>
        <w:t>munity conferred. The section a</w:t>
      </w:r>
      <w:r>
        <w:t>s</w:t>
      </w:r>
      <w:r>
        <w:t>sumes the normal objects of a labor organization to be legitimate, and d</w:t>
      </w:r>
      <w:r>
        <w:t>e</w:t>
      </w:r>
      <w:r>
        <w:t>clares that nothing in the anti-trust laws shall be construed to forbid the existence and operation of such o</w:t>
      </w:r>
      <w:r>
        <w:t>r</w:t>
      </w:r>
      <w:r>
        <w:t>ganizations or to forbid their me</w:t>
      </w:r>
      <w:r>
        <w:t>m</w:t>
      </w:r>
      <w:r>
        <w:t>bers from lawfully carrying out their legi</w:t>
      </w:r>
      <w:r>
        <w:t>t</w:t>
      </w:r>
      <w:r>
        <w:t>imate objects; and that such an orga</w:t>
      </w:r>
      <w:r>
        <w:t>n</w:t>
      </w:r>
      <w:r>
        <w:t>ization shall not be held in itself-merely because of its existence and operation-to be an illegal comb</w:t>
      </w:r>
      <w:r>
        <w:t>i</w:t>
      </w:r>
      <w:r>
        <w:t>nation or conspiracy in restraint of trade. But there is nothing in the section to e</w:t>
      </w:r>
      <w:r>
        <w:t>x</w:t>
      </w:r>
      <w:r>
        <w:t xml:space="preserve">empt such an organization or its members from accountability where it </w:t>
      </w:r>
      <w:r>
        <w:lastRenderedPageBreak/>
        <w:t>or they d</w:t>
      </w:r>
      <w:r>
        <w:t>e</w:t>
      </w:r>
      <w:r>
        <w:t>part from its normal and legitimate objects and engage in an actual combination or conspiracy in restraint of trade. And by no fair or permissible construction can it be ta</w:t>
      </w:r>
      <w:r>
        <w:t>k</w:t>
      </w:r>
      <w:r>
        <w:t>en as authorizing any activity othe</w:t>
      </w:r>
      <w:r>
        <w:t>r</w:t>
      </w:r>
      <w:r>
        <w:t>wise unlawful, or enabling a normally lawful organization to become a cloak for an illegal combination or conspi</w:t>
      </w:r>
      <w:r>
        <w:t>r</w:t>
      </w:r>
      <w:r>
        <w:t>acy in restraint of trade as defined by the anti-trust laws.</w:t>
      </w:r>
    </w:p>
    <w:p w:rsidR="00D06A09" w:rsidRDefault="00D06A09" w:rsidP="00D04600">
      <w:pPr>
        <w:pStyle w:val="BodyTextFirstIndent"/>
      </w:pPr>
      <w:r>
        <w:t>The principal reliance is upon se</w:t>
      </w:r>
      <w:r>
        <w:t>c</w:t>
      </w:r>
      <w:r>
        <w:t>tion 20. This regulates the granting of restrai</w:t>
      </w:r>
      <w:r>
        <w:t>n</w:t>
      </w:r>
      <w:r>
        <w:t>ing orders and injunctions by the courts of the United States in a designated class of cases, with respect to (a) the terms and conditions of the relief and the practice to be pursued, and (b) the character of acts that are to be exempted from the r</w:t>
      </w:r>
      <w:r>
        <w:t>e</w:t>
      </w:r>
      <w:r>
        <w:t>straint, and in the conclu</w:t>
      </w:r>
      <w:r>
        <w:t>d</w:t>
      </w:r>
      <w:r>
        <w:t>ing words it declares (c) that none of the acts specified shall be held to be violations of any law of the United States. All its provisions are subject to a general qualification r</w:t>
      </w:r>
      <w:r>
        <w:t>e</w:t>
      </w:r>
      <w:r>
        <w:t xml:space="preserve">specting the nature of the controversy and the parties affected. It is to be a </w:t>
      </w:r>
      <w:r w:rsidR="00D62592">
        <w:t>‘</w:t>
      </w:r>
      <w:r>
        <w:t>case between an employer and e</w:t>
      </w:r>
      <w:r>
        <w:t>m</w:t>
      </w:r>
      <w:r>
        <w:t>ployees, or b</w:t>
      </w:r>
      <w:r>
        <w:t>e</w:t>
      </w:r>
      <w:r>
        <w:t>tween employers and employees, or between employees, or between persons employed and pe</w:t>
      </w:r>
      <w:r>
        <w:t>r</w:t>
      </w:r>
      <w:r>
        <w:t>sons seeking employment, involving, or growing out of, a dispute concer</w:t>
      </w:r>
      <w:r>
        <w:t>n</w:t>
      </w:r>
      <w:r>
        <w:t>ing terms or conditions of emplo</w:t>
      </w:r>
      <w:r>
        <w:t>y</w:t>
      </w:r>
      <w:r>
        <w:t>ment.</w:t>
      </w:r>
      <w:r w:rsidR="00D62592">
        <w:t>’</w:t>
      </w:r>
    </w:p>
    <w:p w:rsidR="00D06A09" w:rsidRDefault="00D06A09" w:rsidP="00D04600">
      <w:pPr>
        <w:pStyle w:val="BodyTextFirstIndent"/>
      </w:pPr>
      <w:r>
        <w:t>The first paragraph merely puts i</w:t>
      </w:r>
      <w:r>
        <w:t>n</w:t>
      </w:r>
      <w:r>
        <w:t xml:space="preserve">to statutory form familiar restrictions </w:t>
      </w:r>
      <w:r>
        <w:lastRenderedPageBreak/>
        <w:t>upon the granting of injunctions a</w:t>
      </w:r>
      <w:r>
        <w:t>l</w:t>
      </w:r>
      <w:r>
        <w:t>ready established and of general a</w:t>
      </w:r>
      <w:r>
        <w:t>p</w:t>
      </w:r>
      <w:r>
        <w:t>plication in the equity practice of the courts of the United States. It is but declaratory of the law as it stood b</w:t>
      </w:r>
      <w:r>
        <w:t>e</w:t>
      </w:r>
      <w:r>
        <w:t xml:space="preserve">fore. The second paragraph declares that </w:t>
      </w:r>
      <w:r w:rsidR="00D62592">
        <w:t>‘</w:t>
      </w:r>
      <w:r>
        <w:t>no such restraining order or i</w:t>
      </w:r>
      <w:r>
        <w:t>n</w:t>
      </w:r>
      <w:r>
        <w:t>junction</w:t>
      </w:r>
      <w:r w:rsidR="00D62592">
        <w:t>’</w:t>
      </w:r>
      <w:r>
        <w:t xml:space="preserve"> shall prohibit certain co</w:t>
      </w:r>
      <w:r>
        <w:t>n</w:t>
      </w:r>
      <w:r>
        <w:t xml:space="preserve">duct specified-manifestly still referring to a </w:t>
      </w:r>
      <w:r w:rsidR="00D62592">
        <w:t>‘</w:t>
      </w:r>
      <w:r>
        <w:t>case between an employer and employees, ... involving, or growing out of, a di</w:t>
      </w:r>
      <w:r>
        <w:t>s</w:t>
      </w:r>
      <w:r>
        <w:t>pute concerning terms or condition of employment,</w:t>
      </w:r>
      <w:r w:rsidR="00D62592">
        <w:t>’</w:t>
      </w:r>
      <w:r>
        <w:t xml:space="preserve"> as desi</w:t>
      </w:r>
      <w:r>
        <w:t>g</w:t>
      </w:r>
      <w:r>
        <w:t>nated in the first par</w:t>
      </w:r>
      <w:r>
        <w:t>a</w:t>
      </w:r>
      <w:r>
        <w:t>graph. It is very clear that the restriction upon the use of the injunction is in favor only of those concerned as parties to such a dispute as is described. The words d</w:t>
      </w:r>
      <w:r>
        <w:t>e</w:t>
      </w:r>
      <w:r>
        <w:t>fining the permitted conduct include particular qualifications consistent with the general one respecting the nature of the case and dispute inten</w:t>
      </w:r>
      <w:r>
        <w:t>d</w:t>
      </w:r>
      <w:r>
        <w:t>ed; and the co</w:t>
      </w:r>
      <w:r>
        <w:t>n</w:t>
      </w:r>
      <w:r>
        <w:t xml:space="preserve">cluding words, </w:t>
      </w:r>
      <w:r w:rsidR="00D62592">
        <w:t>‘</w:t>
      </w:r>
      <w:r>
        <w:t>nor shall any of the acts specified in this paragraph be considered or held to be violations of any law of the United States,</w:t>
      </w:r>
      <w:r w:rsidR="00D62592">
        <w:t>’</w:t>
      </w:r>
      <w:r>
        <w:t xml:space="preserve"> are to be read in the light of the context, and mean only that those acts are not to be so held when co</w:t>
      </w:r>
      <w:r>
        <w:t>m</w:t>
      </w:r>
      <w:r>
        <w:t xml:space="preserve">mitted by parties concerned in </w:t>
      </w:r>
      <w:r w:rsidR="00D62592">
        <w:t>‘</w:t>
      </w:r>
      <w:r>
        <w:t>a di</w:t>
      </w:r>
      <w:r>
        <w:t>s</w:t>
      </w:r>
      <w:r>
        <w:t>pute concerning terms or conditions of employment.</w:t>
      </w:r>
      <w:r w:rsidR="00D62592">
        <w:t>’</w:t>
      </w:r>
      <w:r>
        <w:t xml:space="preserve"> If the qualifying words are to have any effect, they must operate to confine the restriction upon the granting of injunctions, and also the relaxation of the pr</w:t>
      </w:r>
      <w:r>
        <w:t>o</w:t>
      </w:r>
      <w:r>
        <w:t xml:space="preserve">visions of the anti-trust and other laws of the </w:t>
      </w:r>
      <w:r>
        <w:lastRenderedPageBreak/>
        <w:t>United States, to parties standing in prox</w:t>
      </w:r>
      <w:r>
        <w:t>i</w:t>
      </w:r>
      <w:r>
        <w:t>mate relation to a controversy such as is particularly described.</w:t>
      </w:r>
    </w:p>
    <w:p w:rsidR="00D06A09" w:rsidRDefault="00D06A09" w:rsidP="00D04600">
      <w:pPr>
        <w:pStyle w:val="BodyTextFirstIndent"/>
      </w:pPr>
      <w:r>
        <w:t xml:space="preserve">The majority of the Circuit Court of Appeals appear to have entertained the view that the words </w:t>
      </w:r>
      <w:r w:rsidR="00D62592">
        <w:t>‘</w:t>
      </w:r>
      <w:r>
        <w:t>employers and employees,</w:t>
      </w:r>
      <w:r w:rsidR="00D62592">
        <w:t>’</w:t>
      </w:r>
      <w:r>
        <w:t xml:space="preserve"> as used in section 20, should be treated as referring to </w:t>
      </w:r>
      <w:r w:rsidR="00D62592">
        <w:t>‘</w:t>
      </w:r>
      <w:r>
        <w:t>the business class or clan to which the parties litigant r</w:t>
      </w:r>
      <w:r>
        <w:t>e</w:t>
      </w:r>
      <w:r>
        <w:t>spectively belong,</w:t>
      </w:r>
      <w:r w:rsidR="00D62592">
        <w:t>’</w:t>
      </w:r>
      <w:r>
        <w:t xml:space="preserve"> and that, as there had been a dispute at complainant</w:t>
      </w:r>
      <w:r w:rsidR="00D62592">
        <w:t>’</w:t>
      </w:r>
      <w:r>
        <w:t>s factory in Michigan concerning the conditions of emplo</w:t>
      </w:r>
      <w:r>
        <w:t>y</w:t>
      </w:r>
      <w:r>
        <w:t>ment there-a dispute created, it is said, if it did not exist before, by the act of the Machinists</w:t>
      </w:r>
      <w:r w:rsidR="00D62592">
        <w:t>’</w:t>
      </w:r>
      <w:r>
        <w:t xml:space="preserve"> Union in calling a strike at the factory-section 20 opera</w:t>
      </w:r>
      <w:r>
        <w:t>t</w:t>
      </w:r>
      <w:r>
        <w:t>ed to permit members of the Machi</w:t>
      </w:r>
      <w:r>
        <w:t>n</w:t>
      </w:r>
      <w:r>
        <w:t>ists</w:t>
      </w:r>
      <w:r w:rsidR="00D62592">
        <w:t>’</w:t>
      </w:r>
      <w:r>
        <w:t xml:space="preserve"> Union elsewhere, some 60,000 in number, although standing in no rel</w:t>
      </w:r>
      <w:r>
        <w:t>a</w:t>
      </w:r>
      <w:r>
        <w:t>tion of employment under complai</w:t>
      </w:r>
      <w:r>
        <w:t>n</w:t>
      </w:r>
      <w:r>
        <w:t>ant, past, present, or prospective, to make that dispute their own and pr</w:t>
      </w:r>
      <w:r>
        <w:t>o</w:t>
      </w:r>
      <w:r>
        <w:t>ceed to instigate sympathetic strikes, picketing, and boycotting against e</w:t>
      </w:r>
      <w:r>
        <w:t>m</w:t>
      </w:r>
      <w:r>
        <w:t>ployers wholly unconnected with complainant</w:t>
      </w:r>
      <w:r w:rsidR="00D62592">
        <w:t>’</w:t>
      </w:r>
      <w:r>
        <w:t>s factory and having rel</w:t>
      </w:r>
      <w:r>
        <w:t>a</w:t>
      </w:r>
      <w:r>
        <w:t>tions with complainant only in the way of purchasing its product in the ordinary course of interstate co</w:t>
      </w:r>
      <w:r>
        <w:t>m</w:t>
      </w:r>
      <w:r>
        <w:t>merce, and this where there was no dispute between such emplo</w:t>
      </w:r>
      <w:r>
        <w:t>y</w:t>
      </w:r>
      <w:r>
        <w:t>ers and their employees respecting terms or conditions of employment.</w:t>
      </w:r>
    </w:p>
    <w:p w:rsidR="00D06A09" w:rsidRDefault="00D06A09" w:rsidP="00D04600">
      <w:pPr>
        <w:pStyle w:val="BodyTextFirstIndent"/>
      </w:pPr>
      <w:r>
        <w:t>We deem this construction alt</w:t>
      </w:r>
      <w:r>
        <w:t>o</w:t>
      </w:r>
      <w:r>
        <w:t xml:space="preserve">gether inadmissible. Section 20 must be given full effect according to its </w:t>
      </w:r>
      <w:r>
        <w:lastRenderedPageBreak/>
        <w:t>terms as an expression of the purpose of Congress; but it must be borne in mind that the section imposes an e</w:t>
      </w:r>
      <w:r>
        <w:t>x</w:t>
      </w:r>
      <w:r>
        <w:t>ceptional and extraordinary r</w:t>
      </w:r>
      <w:r>
        <w:t>e</w:t>
      </w:r>
      <w:r>
        <w:t>striction upon the equity powers of the courts of the United States and upon the general operation of the a</w:t>
      </w:r>
      <w:r>
        <w:t>n</w:t>
      </w:r>
      <w:r>
        <w:t>ti- trust laws, a restriction in the n</w:t>
      </w:r>
      <w:r>
        <w:t>a</w:t>
      </w:r>
      <w:r>
        <w:t>ture of a special privilege or immunity to a particular class, with correspon</w:t>
      </w:r>
      <w:r>
        <w:t>d</w:t>
      </w:r>
      <w:r>
        <w:t>ing detriment to the general public; and it would violate rules of statutory construction having general applic</w:t>
      </w:r>
      <w:r>
        <w:t>a</w:t>
      </w:r>
      <w:r>
        <w:t>tion and far-reaching importance to enlarge that special privilege by resor</w:t>
      </w:r>
      <w:r>
        <w:t>t</w:t>
      </w:r>
      <w:r>
        <w:t>ing to a loose construction of the se</w:t>
      </w:r>
      <w:r>
        <w:t>c</w:t>
      </w:r>
      <w:r>
        <w:t>tion, not to speak of ignoring or slighting the qualifying words that are found in it. Full and fair effect will be given to every word if the exceptional privilege be confined-as the natural meaning of the words confines it-to those who are proximately and su</w:t>
      </w:r>
      <w:r>
        <w:t>b</w:t>
      </w:r>
      <w:r>
        <w:t>stantially co</w:t>
      </w:r>
      <w:r>
        <w:t>n</w:t>
      </w:r>
      <w:r>
        <w:t>cerned as parties to an actual dispute respecting the terms or conditions of their own employment, past, present, or prospective. The e</w:t>
      </w:r>
      <w:r>
        <w:t>x</w:t>
      </w:r>
      <w:r>
        <w:t>tensive co</w:t>
      </w:r>
      <w:r>
        <w:t>n</w:t>
      </w:r>
      <w:r>
        <w:t>struction adopted by the majority of the court below virtually ignores the effect of the qualifying words. Congress had in mind partic</w:t>
      </w:r>
      <w:r>
        <w:t>u</w:t>
      </w:r>
      <w:r>
        <w:t>lar industrial controversies, not a ge</w:t>
      </w:r>
      <w:r>
        <w:t>n</w:t>
      </w:r>
      <w:r>
        <w:t xml:space="preserve">eral class war. </w:t>
      </w:r>
      <w:r w:rsidR="00D62592">
        <w:t>‘</w:t>
      </w:r>
      <w:r>
        <w:t>Terms or conditions of employment</w:t>
      </w:r>
      <w:r w:rsidR="00D62592">
        <w:t>’</w:t>
      </w:r>
      <w:r>
        <w:t xml:space="preserve"> are the only grounds of dispute recognized as adequate to bring into play the exemptions; and it would do violence to the guarded </w:t>
      </w:r>
      <w:r w:rsidR="008A60F5">
        <w:t>la</w:t>
      </w:r>
      <w:r w:rsidR="008A60F5">
        <w:t>n</w:t>
      </w:r>
      <w:r w:rsidR="008A60F5">
        <w:lastRenderedPageBreak/>
        <w:t>guage</w:t>
      </w:r>
      <w:r>
        <w:t xml:space="preserve"> employed were the exemption extended beyond the parties affected in a proximate and substantial, not merely a sentimental or sympathetic, sense by the cause of dispute.</w:t>
      </w:r>
    </w:p>
    <w:p w:rsidR="00D06A09" w:rsidRDefault="00D06A09" w:rsidP="00D04600">
      <w:pPr>
        <w:pStyle w:val="BodyTextFirstIndent"/>
      </w:pPr>
      <w:r>
        <w:t>Nor can section 20 be regarded as bringing in all members of a labor o</w:t>
      </w:r>
      <w:r>
        <w:t>r</w:t>
      </w:r>
      <w:r>
        <w:t xml:space="preserve">ganization as parties to a </w:t>
      </w:r>
      <w:r w:rsidR="00D62592">
        <w:t>‘</w:t>
      </w:r>
      <w:r>
        <w:t>dispute concerning terms or conditions of e</w:t>
      </w:r>
      <w:r>
        <w:t>m</w:t>
      </w:r>
      <w:r>
        <w:t>ployment,</w:t>
      </w:r>
      <w:r w:rsidR="00D62592">
        <w:t>’</w:t>
      </w:r>
      <w:r>
        <w:t xml:space="preserve"> which proximately affects only a few of them, with the result of conferring upon any and all members-no matter how many thousands there may be, nor how remote from the a</w:t>
      </w:r>
      <w:r>
        <w:t>c</w:t>
      </w:r>
      <w:r>
        <w:t>tual conflict-those exemptions which Congress in terms conferred only u</w:t>
      </w:r>
      <w:r>
        <w:t>p</w:t>
      </w:r>
      <w:r>
        <w:t>on parties to the dispute. That would enlarge by construction the provisions of section 20, which contain no me</w:t>
      </w:r>
      <w:r>
        <w:t>n</w:t>
      </w:r>
      <w:r>
        <w:t>tion of labor organizations, so as to produce an inco</w:t>
      </w:r>
      <w:r>
        <w:t>n</w:t>
      </w:r>
      <w:r>
        <w:t>sistency with section 6, which deals specifically with the subject and must be deemed to e</w:t>
      </w:r>
      <w:r>
        <w:t>x</w:t>
      </w:r>
      <w:r>
        <w:t>press the measure and limit of the immunity intended by Congress to be incident to mere membership in such an organization. At the same time it would virtually repeal by implication the prohibition of the Sherman Act, so far as labor organizations are co</w:t>
      </w:r>
      <w:r>
        <w:t>n</w:t>
      </w:r>
      <w:r>
        <w:t>cerned, notwithstanding repeals by implication are not f</w:t>
      </w:r>
      <w:r>
        <w:t>a</w:t>
      </w:r>
      <w:r>
        <w:t>vored, and in effect, as</w:t>
      </w:r>
      <w:r w:rsidR="00EF77B4">
        <w:t xml:space="preserve"> </w:t>
      </w:r>
      <w:r>
        <w:t>was noted in Loewe v. La</w:t>
      </w:r>
      <w:r>
        <w:t>w</w:t>
      </w:r>
      <w:r>
        <w:t>lor would confer upon voluntary a</w:t>
      </w:r>
      <w:r>
        <w:t>s</w:t>
      </w:r>
      <w:r>
        <w:t>sociations of individuals formed wit</w:t>
      </w:r>
      <w:r>
        <w:t>h</w:t>
      </w:r>
      <w:r>
        <w:t xml:space="preserve">in the states a control over commerce </w:t>
      </w:r>
      <w:r>
        <w:lastRenderedPageBreak/>
        <w:t>among the states that is denied to the gover</w:t>
      </w:r>
      <w:r>
        <w:t>n</w:t>
      </w:r>
      <w:r>
        <w:t>ments of the states themselves.</w:t>
      </w:r>
    </w:p>
    <w:p w:rsidR="00D06A09" w:rsidRDefault="00D06A09" w:rsidP="00D04600">
      <w:pPr>
        <w:pStyle w:val="BodyTextFirstIndent"/>
      </w:pPr>
      <w:r>
        <w:t>The qualifying effect of the words descriptive of the nature of the dispute and the parties concerned is further borne out by the phrases defining the conduct that is not to be subjected to injunction or treated as a violation of the laws of the Uni</w:t>
      </w:r>
      <w:r>
        <w:t>t</w:t>
      </w:r>
      <w:r>
        <w:t>ed States, that it to say:</w:t>
      </w:r>
    </w:p>
    <w:p w:rsidR="00D06A09" w:rsidRDefault="00D06A09" w:rsidP="002241BA">
      <w:pPr>
        <w:pStyle w:val="BlockText"/>
      </w:pPr>
      <w:r>
        <w:t xml:space="preserve">(a) </w:t>
      </w:r>
      <w:r w:rsidR="00D62592">
        <w:t>‘</w:t>
      </w:r>
      <w:r>
        <w:t>Terminating any relation of employment, ... or persuading ot</w:t>
      </w:r>
      <w:r>
        <w:t>h</w:t>
      </w:r>
      <w:r>
        <w:t>ers by peaceful means so to do;</w:t>
      </w:r>
      <w:r w:rsidR="00D62592">
        <w:t>’</w:t>
      </w:r>
      <w:r>
        <w:t xml:space="preserve"> (b) </w:t>
      </w:r>
      <w:r w:rsidR="00D62592">
        <w:t>‘</w:t>
      </w:r>
      <w:r>
        <w:t>attending at any place where any such person or persons may lawfu</w:t>
      </w:r>
      <w:r>
        <w:t>l</w:t>
      </w:r>
      <w:r>
        <w:t>ly be, for the purpose of peacefully obtaining or communicating i</w:t>
      </w:r>
      <w:r>
        <w:t>n</w:t>
      </w:r>
      <w:r>
        <w:t>formation, or from peacefully pe</w:t>
      </w:r>
      <w:r>
        <w:t>r</w:t>
      </w:r>
      <w:r>
        <w:t>suading any person to work or to abstain from working;</w:t>
      </w:r>
      <w:r w:rsidR="00D62592">
        <w:t>’</w:t>
      </w:r>
      <w:r>
        <w:t xml:space="preserve"> (c) </w:t>
      </w:r>
      <w:r w:rsidR="00D62592">
        <w:t>‘</w:t>
      </w:r>
      <w:r>
        <w:t>ceasing to patronize or to employ any party to such dispute, or ... recommen</w:t>
      </w:r>
      <w:r>
        <w:t>d</w:t>
      </w:r>
      <w:r>
        <w:t>ing, advising, or persuading ot</w:t>
      </w:r>
      <w:r>
        <w:t>h</w:t>
      </w:r>
      <w:r>
        <w:t>ers by peaceful and lawful means so to do;</w:t>
      </w:r>
      <w:r w:rsidR="00D62592">
        <w:t>’</w:t>
      </w:r>
      <w:r>
        <w:t xml:space="preserve"> (d) </w:t>
      </w:r>
      <w:r w:rsidR="00D62592">
        <w:t>‘</w:t>
      </w:r>
      <w:r>
        <w:t>paying or giving to, or withholding from, any person e</w:t>
      </w:r>
      <w:r>
        <w:t>n</w:t>
      </w:r>
      <w:r>
        <w:t>gaged in such dispute, any strike benefits; ...</w:t>
      </w:r>
      <w:r w:rsidR="00D62592">
        <w:t>’</w:t>
      </w:r>
      <w:r>
        <w:t xml:space="preserve"> (e) </w:t>
      </w:r>
      <w:r w:rsidR="00D62592">
        <w:t>‘</w:t>
      </w:r>
      <w:r>
        <w:t>doing any act or thing which might lawfully be done in the absence of such dispute by any party thereto.</w:t>
      </w:r>
      <w:r w:rsidR="00D62592">
        <w:t>’</w:t>
      </w:r>
    </w:p>
    <w:p w:rsidR="00D06A09" w:rsidRDefault="00D06A09" w:rsidP="00D04600">
      <w:pPr>
        <w:pStyle w:val="BodyTextFirstIndent"/>
      </w:pPr>
      <w:r>
        <w:t xml:space="preserve">The emphasis placed on the words </w:t>
      </w:r>
      <w:r w:rsidR="00D62592">
        <w:t>‘</w:t>
      </w:r>
      <w:r>
        <w:t>lawful</w:t>
      </w:r>
      <w:r w:rsidR="00D62592">
        <w:t>’</w:t>
      </w:r>
      <w:r>
        <w:t xml:space="preserve"> and </w:t>
      </w:r>
      <w:r w:rsidR="00D62592">
        <w:t>‘</w:t>
      </w:r>
      <w:r>
        <w:t>lawfully,</w:t>
      </w:r>
      <w:r w:rsidR="00D62592">
        <w:t>’</w:t>
      </w:r>
      <w:r>
        <w:t xml:space="preserve"> </w:t>
      </w:r>
      <w:r w:rsidR="00D62592">
        <w:t>‘</w:t>
      </w:r>
      <w:r>
        <w:t>peaceful</w:t>
      </w:r>
      <w:r w:rsidR="00D62592">
        <w:t>’</w:t>
      </w:r>
      <w:r>
        <w:t xml:space="preserve"> and </w:t>
      </w:r>
      <w:r w:rsidR="00D62592">
        <w:t>‘</w:t>
      </w:r>
      <w:r>
        <w:t>peac</w:t>
      </w:r>
      <w:r>
        <w:t>e</w:t>
      </w:r>
      <w:r>
        <w:t>fully,</w:t>
      </w:r>
      <w:r w:rsidR="00D62592">
        <w:t>’</w:t>
      </w:r>
      <w:r>
        <w:t xml:space="preserve"> and the references to the dispute and the parties to it, strongly rebut a legi</w:t>
      </w:r>
      <w:r>
        <w:t>s</w:t>
      </w:r>
      <w:r>
        <w:t>lative intent to confer a general immunity for conduct viol</w:t>
      </w:r>
      <w:r>
        <w:t>a</w:t>
      </w:r>
      <w:r>
        <w:t>tive of the anti-trust laws, or othe</w:t>
      </w:r>
      <w:r>
        <w:t>r</w:t>
      </w:r>
      <w:r>
        <w:t>wise unlawful. The subject of the bo</w:t>
      </w:r>
      <w:r>
        <w:t>y</w:t>
      </w:r>
      <w:r>
        <w:t xml:space="preserve">cott is dealt with specifically in the </w:t>
      </w:r>
      <w:r w:rsidR="00D62592">
        <w:t>‘</w:t>
      </w:r>
      <w:r>
        <w:t>ceasing to patronize</w:t>
      </w:r>
      <w:r w:rsidR="00D62592">
        <w:t>’</w:t>
      </w:r>
      <w:r>
        <w:t xml:space="preserve"> provision, and </w:t>
      </w:r>
      <w:r>
        <w:lastRenderedPageBreak/>
        <w:t>by the clear force of the language e</w:t>
      </w:r>
      <w:r>
        <w:t>m</w:t>
      </w:r>
      <w:r>
        <w:t xml:space="preserve">ployed the exemption is limited to pressure exerted upon a </w:t>
      </w:r>
      <w:r w:rsidR="00D62592">
        <w:t>‘</w:t>
      </w:r>
      <w:r>
        <w:t>party to such dispute</w:t>
      </w:r>
      <w:r w:rsidR="00D62592">
        <w:t>’</w:t>
      </w:r>
      <w:r>
        <w:t xml:space="preserve"> by means of </w:t>
      </w:r>
      <w:r w:rsidR="00D62592">
        <w:t>‘</w:t>
      </w:r>
      <w:r>
        <w:t>peaceful and lawful</w:t>
      </w:r>
      <w:r w:rsidR="00D62592">
        <w:t>’</w:t>
      </w:r>
      <w:r>
        <w:t xml:space="preserve"> influence upon neutrals. There is nothing here to justify defendants or the organizations they represent in using either threats or pe</w:t>
      </w:r>
      <w:r>
        <w:t>r</w:t>
      </w:r>
      <w:r>
        <w:t>suasion to bring about strikes or a cessation of Work on the part of employees of complainant</w:t>
      </w:r>
      <w:r w:rsidR="00D62592">
        <w:t>’</w:t>
      </w:r>
      <w:r>
        <w:t>s customers or prospe</w:t>
      </w:r>
      <w:r>
        <w:t>c</w:t>
      </w:r>
      <w:r>
        <w:t>tive customers, or of the trucking company employed by the customers, with the object of compelling such customers to withdraw or refrain from commercial relations with co</w:t>
      </w:r>
      <w:r>
        <w:t>m</w:t>
      </w:r>
      <w:r>
        <w:t>plainant, and of thereby co</w:t>
      </w:r>
      <w:r>
        <w:t>n</w:t>
      </w:r>
      <w:r>
        <w:t xml:space="preserve">straining complainant to yield the matter in dispute. To instigate a sympathetic strike in aid of a secondary boycott cannot be deemed </w:t>
      </w:r>
      <w:r w:rsidR="00D62592">
        <w:t>‘</w:t>
      </w:r>
      <w:r>
        <w:t>peaceful and la</w:t>
      </w:r>
      <w:r>
        <w:t>w</w:t>
      </w:r>
      <w:r>
        <w:t>ful</w:t>
      </w:r>
      <w:r w:rsidR="00D62592">
        <w:t>’</w:t>
      </w:r>
      <w:r>
        <w:t xml:space="preserve"> pe</w:t>
      </w:r>
      <w:r>
        <w:t>r</w:t>
      </w:r>
      <w:r>
        <w:t>suasion. In essence it is a threat to inflict damage upon the immediate employer, between whom and his e</w:t>
      </w:r>
      <w:r>
        <w:t>m</w:t>
      </w:r>
      <w:r>
        <w:t>ployees no dispute exists, in order to bring him against his will into a co</w:t>
      </w:r>
      <w:r>
        <w:t>n</w:t>
      </w:r>
      <w:r>
        <w:t>certed plan to inflict damage upon another employer who is in dispute with his employees.</w:t>
      </w:r>
    </w:p>
    <w:p w:rsidR="00D06A09" w:rsidRDefault="00D06A09" w:rsidP="00D04600">
      <w:pPr>
        <w:pStyle w:val="BodyTextFirstIndent"/>
      </w:pPr>
      <w:r>
        <w:t xml:space="preserve">The majority of the Circuit Court of Appeals, very properly treating the case as involving a secondary boycott, based the decision upon the view that it was the purpose of section 20 to legalize the secondary boycott </w:t>
      </w:r>
      <w:r w:rsidR="00D62592">
        <w:t>‘</w:t>
      </w:r>
      <w:r>
        <w:t xml:space="preserve">at least in so far as it rests on or consists of refusing to work for any one who </w:t>
      </w:r>
      <w:r>
        <w:lastRenderedPageBreak/>
        <w:t>deals with the principal offender.</w:t>
      </w:r>
      <w:r w:rsidR="00D62592">
        <w:t>’</w:t>
      </w:r>
      <w:r>
        <w:t xml:space="preserve"> Characterizing the section as </w:t>
      </w:r>
      <w:r w:rsidR="00D62592">
        <w:t>‘</w:t>
      </w:r>
      <w:r>
        <w:t>blindly drawn,</w:t>
      </w:r>
      <w:r w:rsidR="00D62592">
        <w:t>’</w:t>
      </w:r>
      <w:r>
        <w:t xml:space="preserve"> and conceding that the mea</w:t>
      </w:r>
      <w:r>
        <w:t>n</w:t>
      </w:r>
      <w:r>
        <w:t>ing attributed to it was broad, the court referred to the legislative history of the enac</w:t>
      </w:r>
      <w:r>
        <w:t>t</w:t>
      </w:r>
      <w:r>
        <w:t>ment as a warrant for the construction adopted. Let us consider this.</w:t>
      </w:r>
    </w:p>
    <w:p w:rsidR="00D06A09" w:rsidRDefault="00D06A09" w:rsidP="00D04600">
      <w:pPr>
        <w:pStyle w:val="BodyTextFirstIndent"/>
      </w:pPr>
      <w:r>
        <w:t>By repeated decisions of this court it has come to be well established that the debates in Congress expressive of the views and motives of individual members are not a safe guide, and hence may not be resorted to, in asce</w:t>
      </w:r>
      <w:r>
        <w:t>r</w:t>
      </w:r>
      <w:r>
        <w:t xml:space="preserve">taining the meaning and purpose of the law-making body. </w:t>
      </w:r>
      <w:r w:rsidR="002241BA">
        <w:t>[</w:t>
      </w:r>
      <w:r w:rsidR="00445342">
        <w:t>***</w:t>
      </w:r>
      <w:r w:rsidR="002241BA">
        <w:t>]</w:t>
      </w:r>
      <w:r>
        <w:t>. But r</w:t>
      </w:r>
      <w:r>
        <w:t>e</w:t>
      </w:r>
      <w:r>
        <w:t>ports of committees of House or Se</w:t>
      </w:r>
      <w:r>
        <w:t>n</w:t>
      </w:r>
      <w:r>
        <w:t>ate stand upon a more solid footing, and may be r</w:t>
      </w:r>
      <w:r>
        <w:t>e</w:t>
      </w:r>
      <w:r>
        <w:t>garded as an exposition of the legislative intent in a case where otherwise the meaning of a statute is o</w:t>
      </w:r>
      <w:r>
        <w:t>b</w:t>
      </w:r>
      <w:r>
        <w:t>scure. Binns v. United States, 194 U.S. 486, 495. And this has been e</w:t>
      </w:r>
      <w:r>
        <w:t>x</w:t>
      </w:r>
      <w:r>
        <w:t>tended to include explanatory stat</w:t>
      </w:r>
      <w:r>
        <w:t>e</w:t>
      </w:r>
      <w:r>
        <w:t>ments in the nature of a supplemental report made by the committee me</w:t>
      </w:r>
      <w:r>
        <w:t>m</w:t>
      </w:r>
      <w:r>
        <w:t>ber in charge of a bill in course of pa</w:t>
      </w:r>
      <w:r>
        <w:t>s</w:t>
      </w:r>
      <w:r>
        <w:t xml:space="preserve">sage. </w:t>
      </w:r>
      <w:r w:rsidR="009A1671">
        <w:t>[</w:t>
      </w:r>
      <w:r w:rsidR="00445342">
        <w:t>***</w:t>
      </w:r>
      <w:r w:rsidR="009A1671">
        <w:t>]</w:t>
      </w:r>
    </w:p>
    <w:p w:rsidR="00D06A09" w:rsidRDefault="00D06A09" w:rsidP="00D04600">
      <w:pPr>
        <w:pStyle w:val="BodyTextFirstIndent"/>
      </w:pPr>
      <w:r>
        <w:t>In the case of the Clayton Act, the printed committee reports are not e</w:t>
      </w:r>
      <w:r>
        <w:t>x</w:t>
      </w:r>
      <w:r>
        <w:t xml:space="preserve">plicit with respect to the meaning of the </w:t>
      </w:r>
      <w:r w:rsidR="00D62592">
        <w:t>‘</w:t>
      </w:r>
      <w:r>
        <w:t>ceasing to patronize</w:t>
      </w:r>
      <w:r w:rsidR="00D62592">
        <w:t>’</w:t>
      </w:r>
      <w:r>
        <w:t xml:space="preserve"> clause of what is now section 20. </w:t>
      </w:r>
      <w:r w:rsidR="009A1671">
        <w:t xml:space="preserve">[***] </w:t>
      </w:r>
      <w:r>
        <w:t>But they contain extracts from judicial opi</w:t>
      </w:r>
      <w:r>
        <w:t>n</w:t>
      </w:r>
      <w:r>
        <w:t xml:space="preserve">ions and a then recent text-book sustaining the </w:t>
      </w:r>
      <w:r w:rsidR="00D62592">
        <w:t>‘</w:t>
      </w:r>
      <w:r>
        <w:t>primary boycott,</w:t>
      </w:r>
      <w:r w:rsidR="00D62592">
        <w:t>’</w:t>
      </w:r>
      <w:r>
        <w:t xml:space="preserve"> and expressing an adverse view as to the </w:t>
      </w:r>
      <w:r>
        <w:lastRenderedPageBreak/>
        <w:t>se</w:t>
      </w:r>
      <w:r>
        <w:t>c</w:t>
      </w:r>
      <w:r>
        <w:t>ondary or coercive boycott, and, on the whole, are far from manifesting a purpose to relax the prohibition against restraints of trade in favor of the secondary bo</w:t>
      </w:r>
      <w:r>
        <w:t>y</w:t>
      </w:r>
      <w:r>
        <w:t>cott.</w:t>
      </w:r>
    </w:p>
    <w:p w:rsidR="00D06A09" w:rsidRDefault="00D06A09" w:rsidP="00D04600">
      <w:pPr>
        <w:pStyle w:val="BodyTextFirstIndent"/>
      </w:pPr>
      <w:r>
        <w:t>Moreover, the report was suppl</w:t>
      </w:r>
      <w:r>
        <w:t>e</w:t>
      </w:r>
      <w:r>
        <w:t>mented in this regard by the spoke</w:t>
      </w:r>
      <w:r>
        <w:t>s</w:t>
      </w:r>
      <w:r>
        <w:t>man of the House committee (Mr. Webb) who had the bill in charge when it was under co</w:t>
      </w:r>
      <w:r>
        <w:t>n</w:t>
      </w:r>
      <w:r>
        <w:t>sideration by the House. The question whether the bill legalized the secondary boycott having been raised, it was emphatica</w:t>
      </w:r>
      <w:r>
        <w:t>l</w:t>
      </w:r>
      <w:r>
        <w:t>ly and unequivocally answered by him in the negative.</w:t>
      </w:r>
      <w:r w:rsidR="00445342">
        <w:rPr>
          <w:rStyle w:val="FootnoteReference"/>
        </w:rPr>
        <w:footnoteReference w:id="3"/>
      </w:r>
      <w:r w:rsidR="00445342">
        <w:t xml:space="preserve"> </w:t>
      </w:r>
      <w:r>
        <w:t>The subject-he d</w:t>
      </w:r>
      <w:r>
        <w:t>e</w:t>
      </w:r>
      <w:r>
        <w:lastRenderedPageBreak/>
        <w:t>clared in substance or effect-was u</w:t>
      </w:r>
      <w:r>
        <w:t>n</w:t>
      </w:r>
      <w:r>
        <w:t>der co</w:t>
      </w:r>
      <w:r>
        <w:t>n</w:t>
      </w:r>
      <w:r>
        <w:t xml:space="preserve">sideration when the bill was </w:t>
      </w:r>
      <w:r>
        <w:lastRenderedPageBreak/>
        <w:t>framed, and the section as reported was carefully pr</w:t>
      </w:r>
      <w:r>
        <w:t>e</w:t>
      </w:r>
      <w:r>
        <w:t>pared with the settled purpose of e</w:t>
      </w:r>
      <w:r>
        <w:t>x</w:t>
      </w:r>
      <w:r>
        <w:t>cluding the secondary boycott and confining boycotting to the parties to the dispute, allowing parties to cease to patronize and to ask other to cease to patronize a party to the dispute; it was the opi</w:t>
      </w:r>
      <w:r>
        <w:t>n</w:t>
      </w:r>
      <w:r>
        <w:t>ion of the committee that it did not legalize the secondary bo</w:t>
      </w:r>
      <w:r>
        <w:t>y</w:t>
      </w:r>
      <w:r>
        <w:t>cott; it was not their purpose to authorize such a boycott, not a member of the commi</w:t>
      </w:r>
      <w:r>
        <w:t>t</w:t>
      </w:r>
      <w:r>
        <w:t>tee would vote to do so; clarifying amendment was unnecessary; the section as r</w:t>
      </w:r>
      <w:r>
        <w:t>e</w:t>
      </w:r>
      <w:r>
        <w:t>ported expressed the real purpose so well that it could not be tortured into a meaning authorizing the se</w:t>
      </w:r>
      <w:r>
        <w:t>c</w:t>
      </w:r>
      <w:r>
        <w:t>ondary boycott. This was the final word of the House committee on the subject, and was uttered under such circu</w:t>
      </w:r>
      <w:r>
        <w:t>m</w:t>
      </w:r>
      <w:r>
        <w:t>stances and with such impressive e</w:t>
      </w:r>
      <w:r>
        <w:t>m</w:t>
      </w:r>
      <w:r>
        <w:t>phasis that it is not going too far to say that, except for this e</w:t>
      </w:r>
      <w:r>
        <w:t>x</w:t>
      </w:r>
      <w:r>
        <w:t>position of the meaning of the section, it would not have been enacted in the in which it was reported. In substa</w:t>
      </w:r>
      <w:r>
        <w:t>n</w:t>
      </w:r>
      <w:r>
        <w:t>tially that form it b</w:t>
      </w:r>
      <w:r>
        <w:t>e</w:t>
      </w:r>
      <w:r>
        <w:t>came law; and since, in our opinion, its proper construction is e</w:t>
      </w:r>
      <w:r>
        <w:t>n</w:t>
      </w:r>
      <w:r>
        <w:t>tirely in accord with its purpose as thus d</w:t>
      </w:r>
      <w:r>
        <w:t>e</w:t>
      </w:r>
      <w:r>
        <w:t>clared, little need be added.</w:t>
      </w:r>
    </w:p>
    <w:p w:rsidR="00D06A09" w:rsidRDefault="00D06A09" w:rsidP="00D04600">
      <w:pPr>
        <w:pStyle w:val="BodyTextFirstIndent"/>
      </w:pPr>
      <w:r>
        <w:t>The extreme and harmful cons</w:t>
      </w:r>
      <w:r>
        <w:t>e</w:t>
      </w:r>
      <w:r>
        <w:t>quences of the construction adopted in the court below are not to be i</w:t>
      </w:r>
      <w:r>
        <w:t>g</w:t>
      </w:r>
      <w:r>
        <w:t>nored. The present case furnishes an apt and convincing example. An ord</w:t>
      </w:r>
      <w:r>
        <w:t>i</w:t>
      </w:r>
      <w:r>
        <w:t xml:space="preserve">nary controversy in a manufacturing establishment, said to concern the </w:t>
      </w:r>
      <w:r>
        <w:lastRenderedPageBreak/>
        <w:t>terms or conditions of employment there, has been held a sufficient occ</w:t>
      </w:r>
      <w:r>
        <w:t>a</w:t>
      </w:r>
      <w:r>
        <w:t>sion for imposing a general embargo upon the products of the establis</w:t>
      </w:r>
      <w:r>
        <w:t>h</w:t>
      </w:r>
      <w:r>
        <w:t>ment and a n</w:t>
      </w:r>
      <w:r>
        <w:t>a</w:t>
      </w:r>
      <w:r>
        <w:t>tion-wide blockade of the channels of interstate commerce against them, carried out by inciting sympathetic strikes and a secondary boycott against complainant</w:t>
      </w:r>
      <w:r w:rsidR="00D62592">
        <w:t>’</w:t>
      </w:r>
      <w:r>
        <w:t>s cu</w:t>
      </w:r>
      <w:r>
        <w:t>s</w:t>
      </w:r>
      <w:r>
        <w:t>tomers, to the great and incalculable damage of many innocent people far r</w:t>
      </w:r>
      <w:r>
        <w:t>e</w:t>
      </w:r>
      <w:r>
        <w:t>mote from any connection with or control over the original and actual dispute-people constituting, indeed, the general public upon whom the cost must ultimately fall, and whose vital interest in unobstructed co</w:t>
      </w:r>
      <w:r>
        <w:t>m</w:t>
      </w:r>
      <w:r>
        <w:t>merce constituted the prime and pa</w:t>
      </w:r>
      <w:r>
        <w:t>r</w:t>
      </w:r>
      <w:r>
        <w:t>amount concern of Congress in enac</w:t>
      </w:r>
      <w:r>
        <w:t>t</w:t>
      </w:r>
      <w:r>
        <w:t>ing the antitrust laws, of which the section under consideration forms a</w:t>
      </w:r>
      <w:r>
        <w:t>f</w:t>
      </w:r>
      <w:r>
        <w:t>ter all a part.</w:t>
      </w:r>
    </w:p>
    <w:p w:rsidR="00D06A09" w:rsidRDefault="00D06A09" w:rsidP="00D04600">
      <w:pPr>
        <w:pStyle w:val="BodyTextFirstIndent"/>
      </w:pPr>
      <w:r>
        <w:t>Reaching the conclusion, as we do, that complainant has a clear right to an i</w:t>
      </w:r>
      <w:r>
        <w:t>n</w:t>
      </w:r>
      <w:r>
        <w:t>junction under the Sherman Act as amended by the Clayton Act, it b</w:t>
      </w:r>
      <w:r>
        <w:t>e</w:t>
      </w:r>
      <w:r>
        <w:t>comes unnecessary to consider whet</w:t>
      </w:r>
      <w:r>
        <w:t>h</w:t>
      </w:r>
      <w:r>
        <w:t>er a like result would follow under the common law or local statutes; there being no suggestion that relief ther</w:t>
      </w:r>
      <w:r>
        <w:t>e</w:t>
      </w:r>
      <w:r>
        <w:t>under could be broader than that to which complainant is entitled under the acts of Congress.</w:t>
      </w:r>
    </w:p>
    <w:p w:rsidR="00D06A09" w:rsidRDefault="00D06A09" w:rsidP="00D04600">
      <w:pPr>
        <w:pStyle w:val="BodyTextFirstIndent"/>
      </w:pPr>
      <w:r>
        <w:t>There should be an injunction against defendants and the associ</w:t>
      </w:r>
      <w:r>
        <w:t>a</w:t>
      </w:r>
      <w:r>
        <w:t>tions represented by them, and all members of those associations, r</w:t>
      </w:r>
      <w:r>
        <w:t>e</w:t>
      </w:r>
      <w:r>
        <w:lastRenderedPageBreak/>
        <w:t>straining them, according to the pra</w:t>
      </w:r>
      <w:r>
        <w:t>y</w:t>
      </w:r>
      <w:r>
        <w:t>er of the bill, from interfering or a</w:t>
      </w:r>
      <w:r>
        <w:t>t</w:t>
      </w:r>
      <w:r>
        <w:t>tempting to interfere with the sale, transportation, or delivery in inte</w:t>
      </w:r>
      <w:r>
        <w:t>r</w:t>
      </w:r>
      <w:r>
        <w:t>state commerce of any printing press or presses manufactured by complai</w:t>
      </w:r>
      <w:r>
        <w:t>n</w:t>
      </w:r>
      <w:r>
        <w:t>ant, or the transportation, carting, installation, use, operation, exhib</w:t>
      </w:r>
      <w:r>
        <w:t>i</w:t>
      </w:r>
      <w:r>
        <w:t>tion, display, or repairing of any such press or presses, or the pe</w:t>
      </w:r>
      <w:r>
        <w:t>r</w:t>
      </w:r>
      <w:r>
        <w:t>formance of any contract or contracts made by complainant respecting the sale, transportation, delivery, or install</w:t>
      </w:r>
      <w:r>
        <w:t>a</w:t>
      </w:r>
      <w:r>
        <w:t>tion of any such press or presses, by causing or threatening to cause loss, damage, trouble, or inconvenience to any person, firm, or corporation co</w:t>
      </w:r>
      <w:r>
        <w:t>n</w:t>
      </w:r>
      <w:r>
        <w:t>cerned in the purchase, transport</w:t>
      </w:r>
      <w:r>
        <w:t>a</w:t>
      </w:r>
      <w:r>
        <w:t>tion, carting, installation, use, oper</w:t>
      </w:r>
      <w:r>
        <w:t>a</w:t>
      </w:r>
      <w:r>
        <w:t>tion, exhibition, display, or repairing of any such press or presses, or the pe</w:t>
      </w:r>
      <w:r>
        <w:t>r</w:t>
      </w:r>
      <w:r>
        <w:t>formance of any such contract or contracts, and also and especially from using any force, threats, co</w:t>
      </w:r>
      <w:r>
        <w:t>m</w:t>
      </w:r>
      <w:r>
        <w:t>mand, direction, or even persuasion with the object or having the effect of causing any person or persons to d</w:t>
      </w:r>
      <w:r>
        <w:t>e</w:t>
      </w:r>
      <w:r>
        <w:t>cline employment, cease emplo</w:t>
      </w:r>
      <w:r>
        <w:t>y</w:t>
      </w:r>
      <w:r>
        <w:t>ment, or not seek employment, or to refrain from work or cease working under any person, firm, or corporation being a purchaser or prospective purchaser of any printing pres</w:t>
      </w:r>
      <w:r w:rsidR="00A25CFA">
        <w:t xml:space="preserve">s or presses from complainant, </w:t>
      </w:r>
      <w:r>
        <w:t>or engaged in hauling, carting, delive</w:t>
      </w:r>
      <w:r>
        <w:t>r</w:t>
      </w:r>
      <w:r>
        <w:t xml:space="preserve">ing installing, handling, using, operating, or repairing any such press or presses for any customer of </w:t>
      </w:r>
      <w:r>
        <w:lastRenderedPageBreak/>
        <w:t>complainant. Other threatened co</w:t>
      </w:r>
      <w:r>
        <w:t>n</w:t>
      </w:r>
      <w:r>
        <w:t>duct by defendants or the ass</w:t>
      </w:r>
      <w:r>
        <w:t>o</w:t>
      </w:r>
      <w:r>
        <w:t>ciations they represent, or the members of such associations, in furtherance of the secondary boycott should be i</w:t>
      </w:r>
      <w:r>
        <w:t>n</w:t>
      </w:r>
      <w:r>
        <w:t>cluded in the injun</w:t>
      </w:r>
      <w:r>
        <w:t>c</w:t>
      </w:r>
      <w:r>
        <w:t>tion according to the proofs.</w:t>
      </w:r>
    </w:p>
    <w:p w:rsidR="00D06A09" w:rsidRDefault="00D06A09" w:rsidP="00D04600">
      <w:pPr>
        <w:pStyle w:val="BodyTextFirstIndent"/>
      </w:pPr>
      <w:r>
        <w:t>Complainant is entitled to its costs in this court and in both courts below.</w:t>
      </w:r>
    </w:p>
    <w:p w:rsidR="00D06A09" w:rsidRDefault="00D06A09" w:rsidP="00A25CFA">
      <w:pPr>
        <w:pStyle w:val="BodyText"/>
      </w:pPr>
      <w:r>
        <w:t>Decree reversed, and the cause r</w:t>
      </w:r>
      <w:r>
        <w:t>e</w:t>
      </w:r>
      <w:r>
        <w:t>manded to the District Court for fu</w:t>
      </w:r>
      <w:r>
        <w:t>r</w:t>
      </w:r>
      <w:r>
        <w:t>ther procee</w:t>
      </w:r>
      <w:r>
        <w:t>d</w:t>
      </w:r>
      <w:r>
        <w:t>ings in conformity with this opinion.</w:t>
      </w:r>
    </w:p>
    <w:p w:rsidR="00D06A09" w:rsidRDefault="00D06A09" w:rsidP="00A25CFA">
      <w:pPr>
        <w:pStyle w:val="Heading1"/>
      </w:pPr>
      <w:r>
        <w:t>Mr. Justice BRANDEIS, dissenting, with whom Mr. Justice HOLMES and Mr. Justice CLARKE, concur.</w:t>
      </w:r>
    </w:p>
    <w:p w:rsidR="00D06A09" w:rsidRDefault="00D06A09" w:rsidP="00D04600">
      <w:pPr>
        <w:pStyle w:val="BodyTextFirstIndent"/>
      </w:pPr>
      <w:r>
        <w:t>The Duplex Company, a manufa</w:t>
      </w:r>
      <w:r>
        <w:t>c</w:t>
      </w:r>
      <w:r>
        <w:t>turer of newspaper printing presses, seeks to enjoin officials of the machi</w:t>
      </w:r>
      <w:r>
        <w:t>n</w:t>
      </w:r>
      <w:r>
        <w:t>ists</w:t>
      </w:r>
      <w:r w:rsidR="00D62592">
        <w:t>’</w:t>
      </w:r>
      <w:r>
        <w:t xml:space="preserve"> and affiliated unions from inte</w:t>
      </w:r>
      <w:r>
        <w:t>r</w:t>
      </w:r>
      <w:r>
        <w:t>fering with its business by inducing their members not to work for plai</w:t>
      </w:r>
      <w:r>
        <w:t>n</w:t>
      </w:r>
      <w:r>
        <w:t xml:space="preserve">tiff or its customers in connection with the setting up of presses made by it. Unlike Hitchman Coal &amp; Coke Co. v. Mitchell, </w:t>
      </w:r>
      <w:r w:rsidR="00F71AAA">
        <w:t>[*</w:t>
      </w:r>
      <w:r w:rsidR="002D5ACF">
        <w:t>**]</w:t>
      </w:r>
      <w:r>
        <w:t>, there is here no charge that defendants are indu</w:t>
      </w:r>
      <w:r>
        <w:t>c</w:t>
      </w:r>
      <w:r>
        <w:t>ing employees to break their contracts. Nor is it now urged that d</w:t>
      </w:r>
      <w:r>
        <w:t>e</w:t>
      </w:r>
      <w:r>
        <w:t>fendants threaten acts of violence. But plaintiff insists that the acts complained of vi</w:t>
      </w:r>
      <w:r>
        <w:t>o</w:t>
      </w:r>
      <w:r>
        <w:t>late both the common law of New York and the Sherman Act, and that, accordingly, it is ent</w:t>
      </w:r>
      <w:r>
        <w:t>i</w:t>
      </w:r>
      <w:r>
        <w:t xml:space="preserve">tled to relief by injunction under the state law and </w:t>
      </w:r>
      <w:r>
        <w:lastRenderedPageBreak/>
        <w:t>under section sixteen of the Clayton Act</w:t>
      </w:r>
      <w:r w:rsidR="00A25CFA">
        <w:t>.</w:t>
      </w:r>
    </w:p>
    <w:p w:rsidR="00D06A09" w:rsidRDefault="00D06A09" w:rsidP="00D04600">
      <w:pPr>
        <w:pStyle w:val="BodyTextFirstIndent"/>
      </w:pPr>
      <w:r>
        <w:t>The defendants admit interference with plaintiff</w:t>
      </w:r>
      <w:r w:rsidR="00D62592">
        <w:t>’</w:t>
      </w:r>
      <w:r>
        <w:t>s business but justify on the fo</w:t>
      </w:r>
      <w:r>
        <w:t>l</w:t>
      </w:r>
      <w:r>
        <w:t>lowing ground: There are in the United States only four manufacturers of such presses; and they are in active competition. Between 1909 and 1913 the machi</w:t>
      </w:r>
      <w:r>
        <w:t>n</w:t>
      </w:r>
      <w:r>
        <w:t>ists</w:t>
      </w:r>
      <w:r w:rsidR="00D62592">
        <w:t>’</w:t>
      </w:r>
      <w:r>
        <w:t xml:space="preserve"> union induced three of them to reco</w:t>
      </w:r>
      <w:r>
        <w:t>g</w:t>
      </w:r>
      <w:r>
        <w:t>nize and deal with the union, to grant to eight-hour day, to establish a minimum wage scale, and to comply with other union requir</w:t>
      </w:r>
      <w:r>
        <w:t>e</w:t>
      </w:r>
      <w:r>
        <w:t>ments. The fourth, the Duplex Co</w:t>
      </w:r>
      <w:r>
        <w:t>m</w:t>
      </w:r>
      <w:r>
        <w:t>pany, refused to recognize the u</w:t>
      </w:r>
      <w:r>
        <w:t>n</w:t>
      </w:r>
      <w:r>
        <w:t>ion; insisted upon conducting its factory on the open shop principle; refused to introduce the eight-hour day and o</w:t>
      </w:r>
      <w:r>
        <w:t>p</w:t>
      </w:r>
      <w:r>
        <w:t>erated, for the most part, ten hours a day; r</w:t>
      </w:r>
      <w:r>
        <w:t>e</w:t>
      </w:r>
      <w:r>
        <w:t>fused to establish a minimum wage scale; and disregarded other u</w:t>
      </w:r>
      <w:r>
        <w:t>n</w:t>
      </w:r>
      <w:r>
        <w:t>ion standards. Thereupon two of the three manufacturers, who had assen</w:t>
      </w:r>
      <w:r>
        <w:t>t</w:t>
      </w:r>
      <w:r>
        <w:t>ed to union conditions, notified the union that they should be obliged to terminate their agreements with it u</w:t>
      </w:r>
      <w:r>
        <w:t>n</w:t>
      </w:r>
      <w:r>
        <w:t>less their competitor, the Duplex Company, also entered into the agreement with the union, which, in giving more favorable terms to labor, imposed correspondingly greater bu</w:t>
      </w:r>
      <w:r>
        <w:t>r</w:t>
      </w:r>
      <w:r>
        <w:t>dens upon the employer. Because the Duplex Company r</w:t>
      </w:r>
      <w:r>
        <w:t>e</w:t>
      </w:r>
      <w:r>
        <w:t>fused to enter into such an agreement, and in order to induce it to do so, the machinists</w:t>
      </w:r>
      <w:r w:rsidR="00D62592">
        <w:t>’</w:t>
      </w:r>
      <w:r>
        <w:t xml:space="preserve"> u</w:t>
      </w:r>
      <w:r>
        <w:t>n</w:t>
      </w:r>
      <w:r>
        <w:t xml:space="preserve">ion declared a strike at its factory, and in aid of that strike instructed its </w:t>
      </w:r>
      <w:r>
        <w:lastRenderedPageBreak/>
        <w:t>members and the members of affilia</w:t>
      </w:r>
      <w:r>
        <w:t>t</w:t>
      </w:r>
      <w:r>
        <w:t>ed unions not to work on the install</w:t>
      </w:r>
      <w:r>
        <w:t>a</w:t>
      </w:r>
      <w:r>
        <w:t>tion of presses which plaintiff had d</w:t>
      </w:r>
      <w:r>
        <w:t>e</w:t>
      </w:r>
      <w:r>
        <w:t>livered in New York. Defendants i</w:t>
      </w:r>
      <w:r>
        <w:t>n</w:t>
      </w:r>
      <w:r>
        <w:t>sisted that by the common law of New York, where the acts complained of were done, and where this suit was brought, and also by section 20 of the Clayton Act, 38 Stat. 730, 738, the facts constitute a justification for this interference with plaintiff</w:t>
      </w:r>
      <w:r w:rsidR="00D62592">
        <w:t>’</w:t>
      </w:r>
      <w:r>
        <w:t>s business.</w:t>
      </w:r>
    </w:p>
    <w:p w:rsidR="00D06A09" w:rsidRDefault="00D06A09" w:rsidP="00D04600">
      <w:pPr>
        <w:pStyle w:val="BodyTextFirstIndent"/>
      </w:pPr>
      <w:r>
        <w:t>First. As to the rights at common law: Defendants</w:t>
      </w:r>
      <w:r w:rsidR="00D62592">
        <w:t>’</w:t>
      </w:r>
      <w:r>
        <w:t xml:space="preserve"> justification is that of self-interest. They have supported the strike at the employer</w:t>
      </w:r>
      <w:r w:rsidR="00D62592">
        <w:t>’</w:t>
      </w:r>
      <w:r>
        <w:t>s factory by a strike els</w:t>
      </w:r>
      <w:r>
        <w:t>e</w:t>
      </w:r>
      <w:r>
        <w:t>where against its product. They have injured the plaintiff, not maliciously, but in self-defense. They contend that the Duplex Company</w:t>
      </w:r>
      <w:r w:rsidR="00D62592">
        <w:t>’</w:t>
      </w:r>
      <w:r>
        <w:t>s refusal to deal with the m</w:t>
      </w:r>
      <w:r>
        <w:t>a</w:t>
      </w:r>
      <w:r>
        <w:t>chinists</w:t>
      </w:r>
      <w:r w:rsidR="00D62592">
        <w:t>’</w:t>
      </w:r>
      <w:r>
        <w:t xml:space="preserve"> union and to observe its standards threatened the interest, not only of such union members as were its fact</w:t>
      </w:r>
      <w:r>
        <w:t>o</w:t>
      </w:r>
      <w:r>
        <w:t>ry employees, but even more of all members of the several affiliated u</w:t>
      </w:r>
      <w:r>
        <w:t>n</w:t>
      </w:r>
      <w:r>
        <w:t>ions employed by plaintiff</w:t>
      </w:r>
      <w:r w:rsidR="00D62592">
        <w:t>’</w:t>
      </w:r>
      <w:r>
        <w:t>s compet</w:t>
      </w:r>
      <w:r>
        <w:t>i</w:t>
      </w:r>
      <w:r w:rsidR="00192FE9">
        <w:t xml:space="preserve">tors and </w:t>
      </w:r>
      <w:r>
        <w:t>by others whose more a</w:t>
      </w:r>
      <w:r>
        <w:t>d</w:t>
      </w:r>
      <w:r>
        <w:t>vanced standards the plaintiff was, in reality, attacking; and that none of the defendants and no person whom they are endeavoring to induce to r</w:t>
      </w:r>
      <w:r>
        <w:t>e</w:t>
      </w:r>
      <w:r>
        <w:t>frain from working in connection with the setting up of presses made by plaintiff is an outsi</w:t>
      </w:r>
      <w:r>
        <w:t>d</w:t>
      </w:r>
      <w:r>
        <w:t>er, an interloper. In other words, that the contest between the company and the machinists</w:t>
      </w:r>
      <w:r w:rsidR="00D62592">
        <w:t>’</w:t>
      </w:r>
      <w:r>
        <w:t xml:space="preserve"> union involves vitally the interest of every </w:t>
      </w:r>
      <w:r>
        <w:lastRenderedPageBreak/>
        <w:t>person whose co-operation is sought. May not all with a common interest join in refusing to expend their labor upon articles whose very production constitutes an attack upon their standard of living and the institution which they are convinced supports it? Appl</w:t>
      </w:r>
      <w:r>
        <w:t>y</w:t>
      </w:r>
      <w:r>
        <w:t>ing common law principles the answer should, in my opinion, be: Yes, if as a ma</w:t>
      </w:r>
      <w:r>
        <w:t>t</w:t>
      </w:r>
      <w:r>
        <w:t>ter of fact those who so co-operate have a common interest.</w:t>
      </w:r>
    </w:p>
    <w:p w:rsidR="00D06A09" w:rsidRDefault="00D06A09" w:rsidP="00D04600">
      <w:pPr>
        <w:pStyle w:val="BodyTextFirstIndent"/>
      </w:pPr>
      <w:r>
        <w:t>The change in the law by which strikes once illegal and even criminal are now recognized as lawful was e</w:t>
      </w:r>
      <w:r>
        <w:t>f</w:t>
      </w:r>
      <w:r>
        <w:t>fected in America largely without the intervention of legislation. This reve</w:t>
      </w:r>
      <w:r>
        <w:t>r</w:t>
      </w:r>
      <w:r>
        <w:t>sal of a common-law rule was not due to the rejection by the courts of one principle and the adoption in its stead of another, but to a better r</w:t>
      </w:r>
      <w:r>
        <w:t>e</w:t>
      </w:r>
      <w:r>
        <w:t>alization of the facts of industrial life. It is co</w:t>
      </w:r>
      <w:r>
        <w:t>n</w:t>
      </w:r>
      <w:r>
        <w:t>ceded that, although the strike of the workmen in plaintiff</w:t>
      </w:r>
      <w:r w:rsidR="00D62592">
        <w:t>’</w:t>
      </w:r>
      <w:r>
        <w:t>s factory injured its business, the strike was not an a</w:t>
      </w:r>
      <w:r>
        <w:t>c</w:t>
      </w:r>
      <w:r>
        <w:t xml:space="preserve">tionable wrong; because the obvious self-interest of the strikers constituted a justification. </w:t>
      </w:r>
      <w:r w:rsidR="00192FE9">
        <w:t>[***]</w:t>
      </w:r>
      <w:r>
        <w:t>. Formerly courts held that self-interests could not be so served. Commons, History of Labor in the United States, vol. 2, c. 5. But even after strikes to raise wages or reduce hours were held to be legal b</w:t>
      </w:r>
      <w:r>
        <w:t>e</w:t>
      </w:r>
      <w:r>
        <w:t>cause of the self-interest, some courts held that there was not sufficient causal relationship between a strike to u</w:t>
      </w:r>
      <w:r>
        <w:t>n</w:t>
      </w:r>
      <w:r>
        <w:t xml:space="preserve">ionize a shop and the self-interest of the strikers to justify injuries inflicted. </w:t>
      </w:r>
      <w:r w:rsidR="00445342">
        <w:lastRenderedPageBreak/>
        <w:t>[***]</w:t>
      </w:r>
      <w:r w:rsidR="00445342">
        <w:t xml:space="preserve"> </w:t>
      </w:r>
      <w:r>
        <w:t>But other courts, repeating the same legal formula, found that there was justific</w:t>
      </w:r>
      <w:r>
        <w:t>a</w:t>
      </w:r>
      <w:r>
        <w:t xml:space="preserve">tion, because they viewed the facts differently. </w:t>
      </w:r>
      <w:r w:rsidR="00445342">
        <w:t>[***]</w:t>
      </w:r>
      <w:r>
        <w:t>.</w:t>
      </w:r>
    </w:p>
    <w:p w:rsidR="00D06A09" w:rsidRDefault="00D06A09" w:rsidP="00D04600">
      <w:pPr>
        <w:pStyle w:val="BodyTextFirstIndent"/>
      </w:pPr>
      <w:r>
        <w:t>When centralization in the control of business brought its corresponding ce</w:t>
      </w:r>
      <w:r>
        <w:t>n</w:t>
      </w:r>
      <w:r>
        <w:t>tralization in the organization of workingmen, new facts had to be a</w:t>
      </w:r>
      <w:r>
        <w:t>p</w:t>
      </w:r>
      <w:r>
        <w:t>praised. A single employer might, as in this case, threaten the standing of the whole organization and the stan</w:t>
      </w:r>
      <w:r>
        <w:t>d</w:t>
      </w:r>
      <w:r>
        <w:t xml:space="preserve">ards of all its members; and when he did so the union, in order to protect itself, would naturally refuse to work on his materials </w:t>
      </w:r>
      <w:r w:rsidR="008A60F5">
        <w:t>wherever</w:t>
      </w:r>
      <w:r>
        <w:t xml:space="preserve"> found. When such a situation was first pr</w:t>
      </w:r>
      <w:r>
        <w:t>e</w:t>
      </w:r>
      <w:r>
        <w:t>sented to the courts, judges concluded that the intervention of the purchaser of the materials established an insul</w:t>
      </w:r>
      <w:r>
        <w:t>a</w:t>
      </w:r>
      <w:r>
        <w:t>tion through which the direct relatio</w:t>
      </w:r>
      <w:r>
        <w:t>n</w:t>
      </w:r>
      <w:r>
        <w:t>ship of the employer and the wor</w:t>
      </w:r>
      <w:r>
        <w:t>k</w:t>
      </w:r>
      <w:r>
        <w:t>ingmen did not penetrate; and the strike against the material was consi</w:t>
      </w:r>
      <w:r>
        <w:t>d</w:t>
      </w:r>
      <w:r>
        <w:t>ered a strike against the pu</w:t>
      </w:r>
      <w:r>
        <w:t>r</w:t>
      </w:r>
      <w:r>
        <w:t xml:space="preserve">chaser by unaffected third parties. </w:t>
      </w:r>
      <w:r w:rsidR="00445342">
        <w:t>[***]</w:t>
      </w:r>
      <w:r>
        <w:t>. But other courts, with better appreciation of the facts of industry, recognized the unity of interest throughout the union, and that, in refusing to work on mat</w:t>
      </w:r>
      <w:r>
        <w:t>e</w:t>
      </w:r>
      <w:r>
        <w:t>rials which threatened it, the union was only r</w:t>
      </w:r>
      <w:r>
        <w:t>e</w:t>
      </w:r>
      <w:r>
        <w:t>fusing to aid in destroying i</w:t>
      </w:r>
      <w:r>
        <w:t>t</w:t>
      </w:r>
      <w:r>
        <w:t xml:space="preserve">self. </w:t>
      </w:r>
      <w:r w:rsidR="00445342">
        <w:t>[***]</w:t>
      </w:r>
    </w:p>
    <w:p w:rsidR="00D06A09" w:rsidRDefault="00D06A09" w:rsidP="00D04600">
      <w:pPr>
        <w:pStyle w:val="BodyTextFirstIndent"/>
      </w:pPr>
      <w:r>
        <w:t>So, in the case at bar, deciding a question of fact upon the evidence introduced and matters of common knowledge, I should say, as the two lower courts appa</w:t>
      </w:r>
      <w:r>
        <w:t>r</w:t>
      </w:r>
      <w:r>
        <w:t xml:space="preserve">ently have said, </w:t>
      </w:r>
      <w:r>
        <w:lastRenderedPageBreak/>
        <w:t>that the defendants and those from whom they sought co-operation have a common interest which the plaintiff threatened. This view is in harmony with the views of the Court of A</w:t>
      </w:r>
      <w:r>
        <w:t>p</w:t>
      </w:r>
      <w:r>
        <w:t>peals of New York. For in New York, although boycotts like that in Loewe v. Lawlor, 208 U.S. 274, are illegal because they are conducted, not against a product, but against those who deal in it, and are carried out by a combination of persons, not united by common interest, but only by sy</w:t>
      </w:r>
      <w:r>
        <w:t>m</w:t>
      </w:r>
      <w:r>
        <w:t>pathy</w:t>
      </w:r>
      <w:r w:rsidR="00445342">
        <w:t xml:space="preserve"> </w:t>
      </w:r>
      <w:r w:rsidR="00445342">
        <w:t>[***]</w:t>
      </w:r>
      <w:r>
        <w:t>, it is lawful for all me</w:t>
      </w:r>
      <w:r>
        <w:t>m</w:t>
      </w:r>
      <w:r>
        <w:t>bers of a union by whomever e</w:t>
      </w:r>
      <w:r>
        <w:t>m</w:t>
      </w:r>
      <w:r>
        <w:t>ployed to refuse to handle materials whose production weakens the union (Bossert v. Dhuy, supra; P. Reardon, Inc., v. Caton, 189 App. Div. 501, 178 N. Y. Supp. 713). Compare Paine Lumber Co. v. Neal, 244 U.S. 459, 471 , 37 S. Sup. Ct. 718.</w:t>
      </w:r>
    </w:p>
    <w:p w:rsidR="00D06A09" w:rsidRDefault="00D62592" w:rsidP="00D04600">
      <w:pPr>
        <w:pStyle w:val="BodyTextFirstIndent"/>
      </w:pPr>
      <w:r>
        <w:t>‘</w:t>
      </w:r>
      <w:r w:rsidR="00D06A09">
        <w:t>The voluntary adoption of a rule not to work on nonunion made mat</w:t>
      </w:r>
      <w:r w:rsidR="00D06A09">
        <w:t>e</w:t>
      </w:r>
      <w:r w:rsidR="00D06A09">
        <w:t>rial and its enforcement differs only in degree from such voluntary rule and its enforcement in a particular case. Such a determination also differs e</w:t>
      </w:r>
      <w:r w:rsidR="00D06A09">
        <w:t>n</w:t>
      </w:r>
      <w:r w:rsidR="00D06A09">
        <w:t>tirely from a general boycott of a pa</w:t>
      </w:r>
      <w:r w:rsidR="00D06A09">
        <w:t>r</w:t>
      </w:r>
      <w:r w:rsidR="00D06A09">
        <w:t>ticular dealer or manufacturer with a malicious intent and purpose to d</w:t>
      </w:r>
      <w:r w:rsidR="00D06A09">
        <w:t>e</w:t>
      </w:r>
      <w:r w:rsidR="00D06A09">
        <w:t>stroy the good will or business of such dealer or manufacturer.</w:t>
      </w:r>
      <w:r>
        <w:t>’</w:t>
      </w:r>
      <w:r w:rsidR="00D06A09">
        <w:t xml:space="preserve"> Bossert v. Dhuy, supra, 221 N. Y. 355, 117 N. E. 584, Ann. Cas. 1918D, 661.</w:t>
      </w:r>
    </w:p>
    <w:p w:rsidR="00D06A09" w:rsidRDefault="00D06A09" w:rsidP="00D04600">
      <w:pPr>
        <w:pStyle w:val="BodyTextFirstIndent"/>
      </w:pPr>
      <w:r>
        <w:lastRenderedPageBreak/>
        <w:t>In my opinion, therefore, plaintiff had no cause of action by the co</w:t>
      </w:r>
      <w:r>
        <w:t>m</w:t>
      </w:r>
      <w:r>
        <w:t>mon law of New York.</w:t>
      </w:r>
    </w:p>
    <w:p w:rsidR="00D06A09" w:rsidRDefault="00D06A09" w:rsidP="00D04600">
      <w:pPr>
        <w:pStyle w:val="BodyTextFirstIndent"/>
      </w:pPr>
      <w:r>
        <w:t>Second. As to the anti-trust laws of the United States: Section 20, of the Clayton Act, declares;</w:t>
      </w:r>
    </w:p>
    <w:p w:rsidR="00D06A09" w:rsidRDefault="00D62592" w:rsidP="00D04600">
      <w:pPr>
        <w:pStyle w:val="BodyTextFirstIndent"/>
      </w:pPr>
      <w:r>
        <w:t>‘</w:t>
      </w:r>
      <w:r w:rsidR="00D06A09">
        <w:t>Nor shall any of the acts specified in this paragraph be considered or held to be violations of any law of the United States.</w:t>
      </w:r>
      <w:r>
        <w:t>’</w:t>
      </w:r>
    </w:p>
    <w:p w:rsidR="00D06A09" w:rsidRDefault="00D06A09" w:rsidP="00D04600">
      <w:pPr>
        <w:pStyle w:val="BodyTextFirstIndent"/>
      </w:pPr>
      <w:r>
        <w:t>The acts which are thus referred to are whether performed singly or in concert:</w:t>
      </w:r>
    </w:p>
    <w:p w:rsidR="00D06A09" w:rsidRDefault="00D62592" w:rsidP="00D04600">
      <w:pPr>
        <w:pStyle w:val="BodyTextFirstIndent"/>
      </w:pPr>
      <w:r>
        <w:t>‘</w:t>
      </w:r>
      <w:r w:rsidR="00D06A09">
        <w:t>Terminating any relation of e</w:t>
      </w:r>
      <w:r w:rsidR="00D06A09">
        <w:t>m</w:t>
      </w:r>
      <w:r w:rsidR="00D06A09">
        <w:t>ployment, or ... ceasing to perform any work or labor, or ... recommen</w:t>
      </w:r>
      <w:r w:rsidR="00D06A09">
        <w:t>d</w:t>
      </w:r>
      <w:r w:rsidR="00D06A09">
        <w:t>ing, advising or persuading others by peaceful means so to do, or ... atten</w:t>
      </w:r>
      <w:r w:rsidR="00D06A09">
        <w:t>d</w:t>
      </w:r>
      <w:r w:rsidR="00D06A09">
        <w:t>ing at any place where such person or persons may lawfully be, for the pu</w:t>
      </w:r>
      <w:r w:rsidR="00D06A09">
        <w:t>r</w:t>
      </w:r>
      <w:r w:rsidR="00D06A09">
        <w:t>pose of obtaining or communicating information, or ... peacefully persua</w:t>
      </w:r>
      <w:r w:rsidR="00D06A09">
        <w:t>d</w:t>
      </w:r>
      <w:r w:rsidR="00D06A09">
        <w:t>ing [254 U.S. 443, 484]</w:t>
      </w:r>
      <w:r w:rsidR="00EF77B4">
        <w:t xml:space="preserve"> </w:t>
      </w:r>
      <w:r w:rsidR="00D06A09">
        <w:t>any person to work or to abstain from working, or ... cea</w:t>
      </w:r>
      <w:r w:rsidR="00D06A09">
        <w:t>s</w:t>
      </w:r>
      <w:r w:rsidR="00D06A09">
        <w:t>ing to patronize or employ any party to such dispute, ... or ... reco</w:t>
      </w:r>
      <w:r w:rsidR="00D06A09">
        <w:t>m</w:t>
      </w:r>
      <w:r w:rsidR="00D06A09">
        <w:t>mending, advising, or persuading ot</w:t>
      </w:r>
      <w:r w:rsidR="00D06A09">
        <w:t>h</w:t>
      </w:r>
      <w:r w:rsidR="00D06A09">
        <w:t>ers by peaceful and lawful means so to do, or ... paying or giving to, or wit</w:t>
      </w:r>
      <w:r w:rsidR="00D06A09">
        <w:t>h</w:t>
      </w:r>
      <w:r w:rsidR="00D06A09">
        <w:t>holding from, any person engaged in such dispute, any strike benefits or other moneys or things of value, or peacefully assembling in a lawful manner and for lawful purpo</w:t>
      </w:r>
      <w:r w:rsidR="00D06A09">
        <w:t>s</w:t>
      </w:r>
      <w:r w:rsidR="00D06A09">
        <w:t xml:space="preserve">es, or ... doing any act or thing which might </w:t>
      </w:r>
      <w:r w:rsidR="00D06A09">
        <w:lastRenderedPageBreak/>
        <w:t>lawfully be done in the absence of such dispute by any party thereto.</w:t>
      </w:r>
      <w:r>
        <w:t>’</w:t>
      </w:r>
    </w:p>
    <w:p w:rsidR="00D06A09" w:rsidRDefault="00D06A09" w:rsidP="00D04600">
      <w:pPr>
        <w:pStyle w:val="BodyTextFirstIndent"/>
      </w:pPr>
      <w:r>
        <w:t>This statute was the fruit of u</w:t>
      </w:r>
      <w:r>
        <w:t>n</w:t>
      </w:r>
      <w:r>
        <w:t>ceasing agitation, which extended over more than 20 years and was d</w:t>
      </w:r>
      <w:r>
        <w:t>e</w:t>
      </w:r>
      <w:r>
        <w:t>signed to equalize before the law the position of wor</w:t>
      </w:r>
      <w:r>
        <w:t>k</w:t>
      </w:r>
      <w:r>
        <w:t>ingmen and employer as industrial combatants. Aside from the use of the injunction, the chief source of dissatisfaction with the e</w:t>
      </w:r>
      <w:r>
        <w:t>x</w:t>
      </w:r>
      <w:r>
        <w:t>isting law lay in the doctrine of mal</w:t>
      </w:r>
      <w:r>
        <w:t>i</w:t>
      </w:r>
      <w:r>
        <w:t>cious combination,3 and, in many parts of the country, in the judicial declarations of the illegality at co</w:t>
      </w:r>
      <w:r>
        <w:t>m</w:t>
      </w:r>
      <w:r>
        <w:t>mon law of picketing and persuading others to leave work. The grounds for objection to the latter are obvious. The objection to the doctrine of mal</w:t>
      </w:r>
      <w:r>
        <w:t>i</w:t>
      </w:r>
      <w:r>
        <w:t>cious combinations requires some e</w:t>
      </w:r>
      <w:r>
        <w:t>x</w:t>
      </w:r>
      <w:r>
        <w:t>planation. [254 U.S. 443, 485]</w:t>
      </w:r>
      <w:r w:rsidR="00EF77B4">
        <w:t xml:space="preserve"> </w:t>
      </w:r>
      <w:r>
        <w:t>By vi</w:t>
      </w:r>
      <w:r>
        <w:t>r</w:t>
      </w:r>
      <w:r>
        <w:t>tue of that doctrine, damage resulting from conduct such as striking or withholding patronage or persuading others to do either, which without more might be damnum absque inj</w:t>
      </w:r>
      <w:r>
        <w:t>u</w:t>
      </w:r>
      <w:r>
        <w:t>ria because the result of trade comp</w:t>
      </w:r>
      <w:r>
        <w:t>e</w:t>
      </w:r>
      <w:r>
        <w:t>tition, became actionable when done for a purpose which a judge consi</w:t>
      </w:r>
      <w:r>
        <w:t>d</w:t>
      </w:r>
      <w:r>
        <w:t>ered socially or economically har</w:t>
      </w:r>
      <w:r>
        <w:t>m</w:t>
      </w:r>
      <w:r>
        <w:t>ful and therefore branded as malicious and unlawful.</w:t>
      </w:r>
      <w:r w:rsidR="00445342">
        <w:rPr>
          <w:rStyle w:val="FootnoteReference"/>
        </w:rPr>
        <w:footnoteReference w:id="4"/>
      </w:r>
      <w:r>
        <w:t xml:space="preserve"> It was objected that, </w:t>
      </w:r>
      <w:r>
        <w:lastRenderedPageBreak/>
        <w:t>due largely to environment, the social and economic ideas of judges, which thus b</w:t>
      </w:r>
      <w:r>
        <w:t>e</w:t>
      </w:r>
      <w:r>
        <w:t>came translated into law, were prejudicial to a position of equality between wor</w:t>
      </w:r>
      <w:r>
        <w:t>k</w:t>
      </w:r>
      <w:r>
        <w:t>ingman and employer; that due to this dependence upon the individual opinion of judges great confusion existed as to what purposes were lawful and what unla</w:t>
      </w:r>
      <w:r>
        <w:t>w</w:t>
      </w:r>
      <w:r>
        <w:t>ful;</w:t>
      </w:r>
      <w:r w:rsidR="00445342">
        <w:rPr>
          <w:rStyle w:val="FootnoteReference"/>
        </w:rPr>
        <w:footnoteReference w:id="5"/>
      </w:r>
      <w:r>
        <w:t xml:space="preserve"> and that in any event Congress, not the judges, was the body which should declare what public policy in regard to the industrial struggle demands.</w:t>
      </w:r>
    </w:p>
    <w:p w:rsidR="00D06A09" w:rsidRDefault="00D06A09" w:rsidP="00D04600">
      <w:pPr>
        <w:pStyle w:val="BodyTextFirstIndent"/>
      </w:pPr>
      <w:r>
        <w:t>By 1914 the ideas of the advocates of legislation had fairly crystalized upon the manner in which the in</w:t>
      </w:r>
      <w:r>
        <w:t>e</w:t>
      </w:r>
      <w:r>
        <w:t xml:space="preserve">quality and uncertainty of the law should be removed. It was </w:t>
      </w:r>
      <w:r w:rsidR="00192FE9">
        <w:t xml:space="preserve"> </w:t>
      </w:r>
      <w:r>
        <w:t>be done by expressly legalizing certain acts r</w:t>
      </w:r>
      <w:r>
        <w:t>e</w:t>
      </w:r>
      <w:r>
        <w:t xml:space="preserve">gardless of the effects produced by them upon other persons. As to them </w:t>
      </w:r>
      <w:r>
        <w:lastRenderedPageBreak/>
        <w:t>Congress was to extract the element of injuria from the damages thereby inflicted, instead of leaving judges to determine according to their own ec</w:t>
      </w:r>
      <w:r>
        <w:t>o</w:t>
      </w:r>
      <w:r>
        <w:t>nomic and social views whether the damage inflicted on an employer in an industrial struggle was damnum a</w:t>
      </w:r>
      <w:r>
        <w:t>b</w:t>
      </w:r>
      <w:r>
        <w:t>sque injuria, because an inc</w:t>
      </w:r>
      <w:r>
        <w:t>i</w:t>
      </w:r>
      <w:r>
        <w:t>dent of trade competition, or a legal injury, because in their opinion, economically and socially objectionable. This idea was presented to the committees which r</w:t>
      </w:r>
      <w:r>
        <w:t>e</w:t>
      </w:r>
      <w:r>
        <w:t>ported the Clayton Act.</w:t>
      </w:r>
      <w:r w:rsidR="00192FE9">
        <w:rPr>
          <w:rStyle w:val="FootnoteReference"/>
        </w:rPr>
        <w:footnoteReference w:id="6"/>
      </w:r>
      <w:r>
        <w:t xml:space="preserve"> The resulting law set out certain acts which had previously been held u</w:t>
      </w:r>
      <w:r>
        <w:t>n</w:t>
      </w:r>
      <w:r>
        <w:t>lawful, whenever courts had disa</w:t>
      </w:r>
      <w:r>
        <w:t>p</w:t>
      </w:r>
      <w:r>
        <w:t>proved of the ends for which they were performed; it then declared that, when these acts were committed in the course of an industrial dispute, they should not be held to violate any law of the United States. In other words the Clayton Act substituted the opi</w:t>
      </w:r>
      <w:r>
        <w:t>n</w:t>
      </w:r>
      <w:r>
        <w:lastRenderedPageBreak/>
        <w:t>ion of Congress as to the propriety of the purpose for that of differing jud</w:t>
      </w:r>
      <w:r>
        <w:t>g</w:t>
      </w:r>
      <w:r>
        <w:t>es; and thereby it d</w:t>
      </w:r>
      <w:r>
        <w:t>e</w:t>
      </w:r>
      <w:r>
        <w:t>clared that the relations between employers of labor and workingmen were co</w:t>
      </w:r>
      <w:r>
        <w:t>m</w:t>
      </w:r>
      <w:r>
        <w:t>petitive relations, that organized competition was not harmful and that it just</w:t>
      </w:r>
      <w:r>
        <w:t>i</w:t>
      </w:r>
      <w:r>
        <w:t>fied injuries necessarily inflicted in its course.</w:t>
      </w:r>
      <w:r w:rsidR="00445342">
        <w:rPr>
          <w:rStyle w:val="FootnoteReference"/>
        </w:rPr>
        <w:footnoteReference w:id="7"/>
      </w:r>
      <w:r>
        <w:t xml:space="preserve"> Both the</w:t>
      </w:r>
      <w:r w:rsidR="00EF77B4">
        <w:t xml:space="preserve"> </w:t>
      </w:r>
      <w:r>
        <w:t>majority and the minority report of the House commi</w:t>
      </w:r>
      <w:r>
        <w:t>t</w:t>
      </w:r>
      <w:r>
        <w:t>tee indicate that such was its pu</w:t>
      </w:r>
      <w:r>
        <w:t>r</w:t>
      </w:r>
      <w:r>
        <w:t>pose.</w:t>
      </w:r>
      <w:r w:rsidR="006B2523">
        <w:rPr>
          <w:rStyle w:val="FootnoteReference"/>
        </w:rPr>
        <w:footnoteReference w:id="8"/>
      </w:r>
      <w:r w:rsidR="006B2523">
        <w:t xml:space="preserve"> </w:t>
      </w:r>
      <w:r>
        <w:lastRenderedPageBreak/>
        <w:t>If, therefore, the act applies to the case at bar, the acts here co</w:t>
      </w:r>
      <w:r>
        <w:t>m</w:t>
      </w:r>
      <w:r>
        <w:t xml:space="preserve">plained of cannot </w:t>
      </w:r>
      <w:r w:rsidR="00D62592">
        <w:t>‘</w:t>
      </w:r>
      <w:r>
        <w:t>be considered or held to be violations of any law of the United States,</w:t>
      </w:r>
      <w:r w:rsidR="00D62592">
        <w:t>’</w:t>
      </w:r>
      <w:r>
        <w:t xml:space="preserve"> and hence do not vi</w:t>
      </w:r>
      <w:r>
        <w:t>o</w:t>
      </w:r>
      <w:r>
        <w:t>late the Sherman Act.</w:t>
      </w:r>
    </w:p>
    <w:p w:rsidR="00D06A09" w:rsidRDefault="00D06A09" w:rsidP="00D04600">
      <w:pPr>
        <w:pStyle w:val="BodyTextFirstIndent"/>
      </w:pPr>
      <w:r>
        <w:t>The Duplex Company contends that section 20 of the Clayton Act does not apply to the case at bar, b</w:t>
      </w:r>
      <w:r>
        <w:t>e</w:t>
      </w:r>
      <w:r>
        <w:t xml:space="preserve">cause it is restricted to cases </w:t>
      </w:r>
      <w:r w:rsidR="00D62592">
        <w:t>‘</w:t>
      </w:r>
      <w:r>
        <w:t>between an employer and employees, or b</w:t>
      </w:r>
      <w:r>
        <w:t>e</w:t>
      </w:r>
      <w:r>
        <w:t>tween employers and employees, or between employees or between pe</w:t>
      </w:r>
      <w:r>
        <w:t>r</w:t>
      </w:r>
      <w:r>
        <w:t>sons employed and persons seeking employment, involving, or growing out of, a dispute concerning terms or conditions of employment</w:t>
      </w:r>
      <w:r w:rsidR="00D62592">
        <w:t>’</w:t>
      </w:r>
      <w:r>
        <w:t>; whereas the case at bar arises between an e</w:t>
      </w:r>
      <w:r>
        <w:t>m</w:t>
      </w:r>
      <w:r>
        <w:t>ployer in Michigan and workingmen in New York not in its employ, and does not involve their conditions of employment. But Congress did not restrict the provision to employers and workingmen in their employ. By i</w:t>
      </w:r>
      <w:r>
        <w:t>n</w:t>
      </w:r>
      <w:r>
        <w:t xml:space="preserve">cluding </w:t>
      </w:r>
      <w:r w:rsidR="00D62592">
        <w:t>‘</w:t>
      </w:r>
      <w:r>
        <w:t>employers and employees</w:t>
      </w:r>
      <w:r w:rsidR="00D62592">
        <w:t>’</w:t>
      </w:r>
      <w:r>
        <w:t xml:space="preserve"> and </w:t>
      </w:r>
      <w:r w:rsidR="00D62592">
        <w:t>‘</w:t>
      </w:r>
      <w:r>
        <w:t>persons e</w:t>
      </w:r>
      <w:r>
        <w:t>m</w:t>
      </w:r>
      <w:r>
        <w:t>ployed and persons seeking employment</w:t>
      </w:r>
      <w:r w:rsidR="00D62592">
        <w:t>’</w:t>
      </w:r>
      <w:r>
        <w:t xml:space="preserve"> it showed that it was not aiming merely at a legal rel</w:t>
      </w:r>
      <w:r>
        <w:t>a</w:t>
      </w:r>
      <w:r>
        <w:t>tionship b</w:t>
      </w:r>
      <w:r>
        <w:t>e</w:t>
      </w:r>
      <w:r>
        <w:t>tween a specific employer and his employees. Furthermore, the plaintiff</w:t>
      </w:r>
      <w:r w:rsidR="00D62592">
        <w:t>’</w:t>
      </w:r>
      <w:r>
        <w:t>s contention proves too much. If the words are to receive a strict technical construction, the sta</w:t>
      </w:r>
      <w:r>
        <w:t>t</w:t>
      </w:r>
      <w:r>
        <w:t>ute will have no application to di</w:t>
      </w:r>
      <w:r>
        <w:t>s</w:t>
      </w:r>
      <w:r>
        <w:t xml:space="preserve">putes between employers of labor and </w:t>
      </w:r>
      <w:r>
        <w:lastRenderedPageBreak/>
        <w:t>wor</w:t>
      </w:r>
      <w:r>
        <w:t>k</w:t>
      </w:r>
      <w:r>
        <w:t xml:space="preserve">ingmen, since the very acts to which it applies sever the continuity of the legal relationship. </w:t>
      </w:r>
      <w:r w:rsidR="00445342">
        <w:t>[***]</w:t>
      </w:r>
      <w:r>
        <w:t>. The fu</w:t>
      </w:r>
      <w:r>
        <w:t>r</w:t>
      </w:r>
      <w:r>
        <w:t>ther contention that this case is not one arising out of a dispute concer</w:t>
      </w:r>
      <w:r>
        <w:t>n</w:t>
      </w:r>
      <w:r>
        <w:t>ing the conditions of work of one of the parties is, in my opinion, founded upon a misconception of the facts.</w:t>
      </w:r>
    </w:p>
    <w:p w:rsidR="00D04600" w:rsidRDefault="00D06A09" w:rsidP="00CF1B08">
      <w:pPr>
        <w:pStyle w:val="BodyTextFirstIndent"/>
      </w:pPr>
      <w:r>
        <w:t>Because I have come to the concl</w:t>
      </w:r>
      <w:r>
        <w:t>u</w:t>
      </w:r>
      <w:r>
        <w:t>sion that both the common law of a state and a statute of the United States declare the right of industrial comba</w:t>
      </w:r>
      <w:r>
        <w:t>t</w:t>
      </w:r>
      <w:r>
        <w:t>ants to push their struggle to the limits of the justification of self-interest, I do not wish to be understood as attac</w:t>
      </w:r>
      <w:r>
        <w:t>h</w:t>
      </w:r>
      <w:r>
        <w:t>ing any constitutional or moral san</w:t>
      </w:r>
      <w:r>
        <w:t>c</w:t>
      </w:r>
      <w:r>
        <w:t>tion to that right. All rights are d</w:t>
      </w:r>
      <w:r>
        <w:t>e</w:t>
      </w:r>
      <w:r>
        <w:lastRenderedPageBreak/>
        <w:t>rived from the purposes of the society in which they exist; above all rights rises duty to the community. The co</w:t>
      </w:r>
      <w:r>
        <w:t>n</w:t>
      </w:r>
      <w:r>
        <w:t>ditions developed in industry may be such that those engaged in it cannot continue their struggle without danger to the community. But it is not for judges to determine whether such conditions exist, nor is it their fun</w:t>
      </w:r>
      <w:r>
        <w:t>c</w:t>
      </w:r>
      <w:r>
        <w:t>tion to set the limits of permissible contest and to declare the duties which the new situation demands. This is the function of the legislature which, while limiting individual and group rights of aggression and d</w:t>
      </w:r>
      <w:r>
        <w:t>e</w:t>
      </w:r>
      <w:r>
        <w:t>fense, may substitute processes of ju</w:t>
      </w:r>
      <w:r>
        <w:t>s</w:t>
      </w:r>
      <w:r>
        <w:t>tice for the more prim</w:t>
      </w:r>
      <w:r w:rsidR="00CF1B08">
        <w:t>itive method of trial by combat.</w:t>
      </w:r>
    </w:p>
    <w:p w:rsidR="00CF1B08" w:rsidRDefault="00CF1B08" w:rsidP="00CF1B08">
      <w:pPr>
        <w:pStyle w:val="BodyTextFirstIndent"/>
        <w:sectPr w:rsidR="00CF1B08" w:rsidSect="002F31E5">
          <w:type w:val="continuous"/>
          <w:pgSz w:w="12240" w:h="15840" w:code="1"/>
          <w:pgMar w:top="1800" w:right="2160" w:bottom="1440" w:left="2160" w:header="1296" w:footer="1008" w:gutter="0"/>
          <w:cols w:num="2" w:space="576"/>
          <w:titlePg/>
          <w:docGrid w:linePitch="360"/>
        </w:sectPr>
      </w:pPr>
    </w:p>
    <w:p w:rsidR="0006440A" w:rsidRPr="007B0C31" w:rsidRDefault="0006440A" w:rsidP="00E7269A">
      <w:pPr>
        <w:pStyle w:val="BlockText"/>
        <w:ind w:left="0"/>
      </w:pPr>
    </w:p>
    <w:sectPr w:rsidR="0006440A" w:rsidRPr="007B0C31" w:rsidSect="002F31E5">
      <w:type w:val="continuous"/>
      <w:pgSz w:w="12240" w:h="15840" w:code="1"/>
      <w:pgMar w:top="1800" w:right="2160" w:bottom="1440" w:left="2160" w:header="1296" w:footer="1008"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230" w:rsidRDefault="00D14230" w:rsidP="0006440A">
      <w:pPr>
        <w:spacing w:line="240" w:lineRule="auto"/>
      </w:pPr>
      <w:r>
        <w:separator/>
      </w:r>
    </w:p>
  </w:endnote>
  <w:endnote w:type="continuationSeparator" w:id="0">
    <w:p w:rsidR="00D14230" w:rsidRDefault="00D14230" w:rsidP="00064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40A" w:rsidRDefault="0006440A">
    <w:pPr>
      <w:pStyle w:val="Footer"/>
    </w:pPr>
    <w:r>
      <w:tab/>
    </w:r>
    <w:r>
      <w:fldChar w:fldCharType="begin"/>
    </w:r>
    <w:r>
      <w:instrText xml:space="preserve"> PAGE   \* MERGEFORMAT </w:instrText>
    </w:r>
    <w:r>
      <w:fldChar w:fldCharType="separate"/>
    </w:r>
    <w:r w:rsidR="008F77EC">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230" w:rsidRDefault="00D14230" w:rsidP="0006440A">
      <w:pPr>
        <w:spacing w:line="240" w:lineRule="auto"/>
      </w:pPr>
      <w:r>
        <w:separator/>
      </w:r>
    </w:p>
  </w:footnote>
  <w:footnote w:type="continuationSeparator" w:id="0">
    <w:p w:rsidR="00D14230" w:rsidRDefault="00D14230" w:rsidP="0006440A">
      <w:pPr>
        <w:spacing w:line="240" w:lineRule="auto"/>
      </w:pPr>
      <w:r>
        <w:continuationSeparator/>
      </w:r>
    </w:p>
  </w:footnote>
  <w:footnote w:id="1">
    <w:p w:rsidR="00445342" w:rsidRDefault="00445342" w:rsidP="00445342">
      <w:pPr>
        <w:pStyle w:val="FootnoteText"/>
      </w:pPr>
      <w:r>
        <w:rPr>
          <w:rStyle w:val="FootnoteReference"/>
        </w:rPr>
        <w:footnoteRef/>
      </w:r>
      <w:r>
        <w:t xml:space="preserve"> </w:t>
      </w:r>
      <w:r>
        <w:t>See ‘Malice and Unlawful Interference,’ Ernest Freund, 11 Harv. L. Rev. 449, 461; ‘Rights of Traders had Laborers,’ Edw. F. McClennen, 16 Harv. L. Rev. 237, 244; ‘Crucial Issues in Labor Litigation,’ Jer</w:t>
      </w:r>
      <w:r>
        <w:t>e</w:t>
      </w:r>
      <w:r>
        <w:t>miah Smith, 20 Harv. L. Rev. 429, 451; Principles of Labor Legi</w:t>
      </w:r>
      <w:r>
        <w:t>s</w:t>
      </w:r>
      <w:r>
        <w:t>lation, Commons and Andrews, pp. 95-116; Hoxie, Trade Unionism in the United States, p. 231; Groat, Attitude of American Courts t</w:t>
      </w:r>
      <w:r>
        <w:t>o</w:t>
      </w:r>
      <w:r>
        <w:t>wards Labor Cases, pp. 76-77; 221; 246; J. W. Bryan, The Development of the En</w:t>
      </w:r>
      <w:r>
        <w:t>g</w:t>
      </w:r>
      <w:r>
        <w:t>lish Law of Conspiracy, p. 147 et seq.</w:t>
      </w:r>
    </w:p>
    <w:p w:rsidR="00445342" w:rsidRDefault="00445342" w:rsidP="00445342">
      <w:pPr>
        <w:pStyle w:val="FootnoteText"/>
      </w:pPr>
      <w:r>
        <w:t>Report of the Industrial Commission, 1901, vol. XVII, p. cxiv, p. 515, 556; R</w:t>
      </w:r>
      <w:r>
        <w:t>e</w:t>
      </w:r>
      <w:r>
        <w:t>port of Royal Commission on Trade Di</w:t>
      </w:r>
      <w:r>
        <w:t>s</w:t>
      </w:r>
      <w:r>
        <w:t>putes and Trade Combinations, 1906, p. 12; Report of Co</w:t>
      </w:r>
      <w:r>
        <w:t>m</w:t>
      </w:r>
      <w:r>
        <w:t>mission on Industrial Relations, 1915, pp. 135, 377.</w:t>
      </w:r>
    </w:p>
    <w:p w:rsidR="00445342" w:rsidRDefault="00445342" w:rsidP="00445342">
      <w:pPr>
        <w:pStyle w:val="FootnoteText"/>
      </w:pPr>
      <w:r>
        <w:t>For attempts to reach this doctrine by le</w:t>
      </w:r>
      <w:r>
        <w:t>g</w:t>
      </w:r>
      <w:r>
        <w:t>islation see also 52d Congress, H. R. 6640, 1; 56th Congress, H. R. 116</w:t>
      </w:r>
      <w:r>
        <w:t>67, 7; 57th Congress, S. 649, 7.</w:t>
      </w:r>
    </w:p>
  </w:footnote>
  <w:footnote w:id="2">
    <w:p w:rsidR="00F352BC" w:rsidRDefault="00F352BC" w:rsidP="006A46EF">
      <w:pPr>
        <w:pStyle w:val="FootnoteText"/>
      </w:pPr>
      <w:r>
        <w:rPr>
          <w:rStyle w:val="FootnoteReference"/>
        </w:rPr>
        <w:footnoteRef/>
      </w:r>
      <w:r>
        <w:t xml:space="preserve"> </w:t>
      </w:r>
      <w:r w:rsidR="006A46EF">
        <w:t xml:space="preserve"> </w:t>
      </w:r>
      <w:r w:rsidR="006A46EF">
        <w:t>[Footnote omitted]</w:t>
      </w:r>
      <w:r w:rsidR="006A46EF">
        <w:t>.</w:t>
      </w:r>
    </w:p>
  </w:footnote>
  <w:footnote w:id="3">
    <w:p w:rsidR="00445342" w:rsidRDefault="00445342" w:rsidP="00445342">
      <w:pPr>
        <w:pStyle w:val="FootnoteText"/>
      </w:pPr>
      <w:r>
        <w:rPr>
          <w:rStyle w:val="FootnoteReference"/>
        </w:rPr>
        <w:footnoteRef/>
      </w:r>
      <w:r>
        <w:t xml:space="preserve"> </w:t>
      </w:r>
      <w:r>
        <w:t>Extracts from Congressional Record, vol. 51, part 10, 63d Cong., 2d Sess.:</w:t>
      </w:r>
    </w:p>
    <w:p w:rsidR="00445342" w:rsidRDefault="00445342" w:rsidP="00445342">
      <w:pPr>
        <w:pStyle w:val="FootnoteText"/>
      </w:pPr>
      <w:r>
        <w:t>(Page 9652.)</w:t>
      </w:r>
    </w:p>
    <w:p w:rsidR="00445342" w:rsidRDefault="00445342" w:rsidP="00445342">
      <w:pPr>
        <w:pStyle w:val="FootnoteText"/>
      </w:pPr>
      <w:r>
        <w:t>Mr. Volstead. Would not this also legalize the secondary boycott? ...</w:t>
      </w:r>
    </w:p>
    <w:p w:rsidR="00445342" w:rsidRDefault="00445342" w:rsidP="00445342">
      <w:pPr>
        <w:pStyle w:val="FootnoteText"/>
      </w:pPr>
      <w:r>
        <w:t>Mr. Webb. Mr. Chairman, I do not think it legalizes a secondary boycott.</w:t>
      </w:r>
    </w:p>
    <w:p w:rsidR="00445342" w:rsidRDefault="00445342" w:rsidP="00445342">
      <w:pPr>
        <w:pStyle w:val="FootnoteText"/>
      </w:pPr>
      <w:r>
        <w:t>Mr. Volstead. Let me read the lines, if the gentleman will permit. And no such r</w:t>
      </w:r>
      <w:r>
        <w:t>e</w:t>
      </w:r>
      <w:r>
        <w:t>straining order or injunction shall prohibit any one--</w:t>
      </w:r>
    </w:p>
    <w:p w:rsidR="00445342" w:rsidRDefault="00445342" w:rsidP="00445342">
      <w:pPr>
        <w:pStyle w:val="FootnoteText"/>
      </w:pPr>
      <w:r>
        <w:t>‘from ceasing to patronize those who [or to] employ any party to such dispute, or from recommending, advising, or pe</w:t>
      </w:r>
      <w:r>
        <w:t>r</w:t>
      </w:r>
      <w:r>
        <w:t>suading others by peaceful means so to do.’</w:t>
      </w:r>
    </w:p>
    <w:p w:rsidR="00445342" w:rsidRDefault="00445342" w:rsidP="00445342">
      <w:pPr>
        <w:pStyle w:val="FootnoteText"/>
      </w:pPr>
      <w:r>
        <w:t>Now, does not the word ‘others’ in that instance refer to other than parties to the dispute?</w:t>
      </w:r>
    </w:p>
    <w:p w:rsidR="00445342" w:rsidRDefault="00445342" w:rsidP="00445342">
      <w:pPr>
        <w:pStyle w:val="FootnoteText"/>
      </w:pPr>
      <w:r>
        <w:t>Mr. Webb. No; because it says in line 15:</w:t>
      </w:r>
    </w:p>
    <w:p w:rsidR="00445342" w:rsidRDefault="00445342" w:rsidP="00445342">
      <w:pPr>
        <w:pStyle w:val="FootnoteText"/>
      </w:pPr>
      <w:r>
        <w:t>‘From ceasing to patronize or employ any parties to such dispute.’</w:t>
      </w:r>
    </w:p>
    <w:p w:rsidR="00445342" w:rsidRDefault="00445342" w:rsidP="00445342">
      <w:pPr>
        <w:pStyle w:val="FootnoteText"/>
      </w:pPr>
      <w:r>
        <w:t>Mr. Volstead. ... Can there be any doubt this is intended or does, in fact, legalize the se</w:t>
      </w:r>
      <w:r>
        <w:t>c</w:t>
      </w:r>
      <w:r>
        <w:t>ondary boycott?</w:t>
      </w:r>
    </w:p>
    <w:p w:rsidR="00445342" w:rsidRDefault="00445342" w:rsidP="00445342">
      <w:pPr>
        <w:pStyle w:val="FootnoteText"/>
      </w:pPr>
      <w:r>
        <w:t>Mr. Webb. I will say frankly to my friend when this section was drawn it was drawn with the careful purpose not to legalize the secondary boycott, and we do not think it does. There may be a difference of opinion about it, but it is the opinion of the committee that it does not legalize the secondary boycott and is not intended to do so. It does legalize the primary bo</w:t>
      </w:r>
      <w:r>
        <w:t>y</w:t>
      </w:r>
      <w:r>
        <w:t>cott; it does legalize the strike; it does l</w:t>
      </w:r>
      <w:r>
        <w:t>e</w:t>
      </w:r>
      <w:r>
        <w:t>galize persuading others to strike, to quit work, and the other acts mentioned in section 18 [ now section 20], but we did not intend, I will say frankly, to legalize the secondary boycott.</w:t>
      </w:r>
    </w:p>
    <w:p w:rsidR="00445342" w:rsidRDefault="00445342" w:rsidP="00445342">
      <w:pPr>
        <w:pStyle w:val="FootnoteText"/>
      </w:pPr>
      <w:r>
        <w:t>(Page 9653.)</w:t>
      </w:r>
    </w:p>
    <w:p w:rsidR="00445342" w:rsidRDefault="00445342" w:rsidP="00445342">
      <w:pPr>
        <w:pStyle w:val="FootnoteText"/>
      </w:pPr>
      <w:r>
        <w:t>Mr. Webb. I will say this section was drawn two years or more ago and was drawn carefu</w:t>
      </w:r>
      <w:r>
        <w:t>l</w:t>
      </w:r>
      <w:r>
        <w:t>ly, and those who drew this section drew it with the idea of excluding the secondary bo</w:t>
      </w:r>
      <w:r>
        <w:t>y</w:t>
      </w:r>
      <w:r>
        <w:t>cott. It passed the House, I think, by about 243 to 16, and the question of the secondary boycott was not raised then, because we understood so clearly it did not refer to or autho</w:t>
      </w:r>
      <w:r>
        <w:t>r</w:t>
      </w:r>
      <w:r>
        <w:t>ize the secondary boycott.</w:t>
      </w:r>
    </w:p>
    <w:p w:rsidR="00445342" w:rsidRDefault="00445342" w:rsidP="00445342">
      <w:pPr>
        <w:pStyle w:val="FootnoteText"/>
      </w:pPr>
      <w:r>
        <w:t>(Page 9658.)</w:t>
      </w:r>
    </w:p>
    <w:p w:rsidR="00445342" w:rsidRDefault="00445342" w:rsidP="00445342">
      <w:pPr>
        <w:pStyle w:val="FootnoteText"/>
      </w:pPr>
      <w:r>
        <w:t>Mr. Webb. Mr. Chairman, I should vote for the amendment offered by the gentl</w:t>
      </w:r>
      <w:r>
        <w:t>e</w:t>
      </w:r>
      <w:r>
        <w:t>man from Minnesota [Mr. Volstead] if I were not perfectly satisfied that it is taken care of in this se</w:t>
      </w:r>
      <w:r>
        <w:t>c</w:t>
      </w:r>
      <w:r>
        <w:t>tion. The language the gentleman reads does not authorize the secondary boycott, and he could not to</w:t>
      </w:r>
      <w:r>
        <w:t>r</w:t>
      </w:r>
      <w:r>
        <w:t>ture it into any such meaning. While it does authorize persons to cease to patro</w:t>
      </w:r>
      <w:r>
        <w:t>n</w:t>
      </w:r>
      <w:r>
        <w:t>ize the party to the dispute and to reco</w:t>
      </w:r>
      <w:r>
        <w:t>m</w:t>
      </w:r>
      <w:r>
        <w:t>mend to others to cease to patronize that same party to the dispute, that is not a secondary boycott, and you cannot poss</w:t>
      </w:r>
      <w:r>
        <w:t>i</w:t>
      </w:r>
      <w:r>
        <w:t>bly make it mean a secondary boycott. Therefore this section does not authorize the secondary boycott.</w:t>
      </w:r>
    </w:p>
    <w:p w:rsidR="00445342" w:rsidRDefault="00445342" w:rsidP="00445342">
      <w:pPr>
        <w:pStyle w:val="FootnoteText"/>
      </w:pPr>
      <w:r>
        <w:t>I say again-and I speak for, I believe, pra</w:t>
      </w:r>
      <w:r>
        <w:t>c</w:t>
      </w:r>
      <w:r>
        <w:t>tically every member of the Judiciary committee-that if this section did legalize the secondary boycott there would not be a man vote for it. It is not the purpose of the committee to authorize it, and I do not think any person in this House wants to do it. We confine the boycotting to the parties to the dispute, allowing pa</w:t>
      </w:r>
      <w:r>
        <w:t>r</w:t>
      </w:r>
      <w:r>
        <w:t>ties to cease to patronize that party and to ask others to cease to patronize the party to the dispute.</w:t>
      </w:r>
    </w:p>
  </w:footnote>
  <w:footnote w:id="4">
    <w:p w:rsidR="00445342" w:rsidRDefault="00445342" w:rsidP="00445342">
      <w:pPr>
        <w:pStyle w:val="FootnoteText"/>
      </w:pPr>
      <w:r>
        <w:rPr>
          <w:rStyle w:val="FootnoteReference"/>
        </w:rPr>
        <w:footnoteRef/>
      </w:r>
      <w:r>
        <w:t xml:space="preserve"> </w:t>
      </w:r>
      <w:r>
        <w:t>See James Wallace Bryan, The Develo</w:t>
      </w:r>
      <w:r>
        <w:t>p</w:t>
      </w:r>
      <w:r>
        <w:t>ment of the English Law of Conspiracy:</w:t>
      </w:r>
    </w:p>
    <w:p w:rsidR="00445342" w:rsidRDefault="00445342" w:rsidP="00445342">
      <w:pPr>
        <w:pStyle w:val="FootnoteText"/>
      </w:pPr>
      <w:r>
        <w:t>‘We find little difficulty in attributing the illegality of combinations to strike or ot</w:t>
      </w:r>
      <w:r>
        <w:t>h</w:t>
      </w:r>
      <w:r>
        <w:t>erwise to advance the interests of labor, not to the material loss inflicted upon the employer concerned, but to the harm su</w:t>
      </w:r>
      <w:r>
        <w:t>p</w:t>
      </w:r>
      <w:r>
        <w:t>posed to result from their activities to the public at large.’ And since the judge or jury believe the conduct socially bad and since it is admittedly done i</w:t>
      </w:r>
      <w:r>
        <w:t>n</w:t>
      </w:r>
      <w:r>
        <w:t>tentionally, not inadvertently, they declare that the actors are animated by malice which ne</w:t>
      </w:r>
      <w:r>
        <w:t>g</w:t>
      </w:r>
      <w:r>
        <w:t>atives the justification of ‘fair compet</w:t>
      </w:r>
      <w:r>
        <w:t>i</w:t>
      </w:r>
      <w:r>
        <w:t>tion,’ e. g. Lord Bowen in Mogul S. S. Co. v. MacGregor [254 U.S. 443, 1892] A. C. 25, ‘intentionally to do that which is ca</w:t>
      </w:r>
      <w:r>
        <w:t>l</w:t>
      </w:r>
      <w:r>
        <w:t>culated ... to damage ... and does damage another in his property or trade is actio</w:t>
      </w:r>
      <w:r>
        <w:t>n</w:t>
      </w:r>
      <w:r>
        <w:t>able if done wit</w:t>
      </w:r>
      <w:r>
        <w:t>h</w:t>
      </w:r>
      <w:r>
        <w:t>out just cause or excuse, and ... is what the law calls a malicious injury.’</w:t>
      </w:r>
    </w:p>
  </w:footnote>
  <w:footnote w:id="5">
    <w:p w:rsidR="00445342" w:rsidRDefault="00445342">
      <w:pPr>
        <w:pStyle w:val="FootnoteText"/>
      </w:pPr>
      <w:r>
        <w:rPr>
          <w:rStyle w:val="FootnoteReference"/>
        </w:rPr>
        <w:footnoteRef/>
      </w:r>
      <w:r>
        <w:t xml:space="preserve"> </w:t>
      </w:r>
      <w:r w:rsidRPr="00445342">
        <w:t>See A. V. Dicey, ‘The Combination Laws as Illustrating the Relation Between Law and Opinion in England During the Nin</w:t>
      </w:r>
      <w:r w:rsidRPr="00445342">
        <w:t>e</w:t>
      </w:r>
      <w:r w:rsidRPr="00445342">
        <w:t>teenth Century,’ 17 Harv. L. Rev. 511, 532: ‘The very confusion of the present state of the law corresponds with and i</w:t>
      </w:r>
      <w:r w:rsidRPr="00445342">
        <w:t>l</w:t>
      </w:r>
      <w:r w:rsidRPr="00445342">
        <w:t>lustrates a confused state of opinion.’</w:t>
      </w:r>
    </w:p>
  </w:footnote>
  <w:footnote w:id="6">
    <w:p w:rsidR="00192FE9" w:rsidRDefault="00192FE9" w:rsidP="00192FE9">
      <w:pPr>
        <w:pStyle w:val="FootnoteText"/>
      </w:pPr>
      <w:r>
        <w:rPr>
          <w:rStyle w:val="FootnoteReference"/>
        </w:rPr>
        <w:footnoteRef/>
      </w:r>
      <w:r>
        <w:t xml:space="preserve"> </w:t>
      </w:r>
      <w:r>
        <w:t>It was said that this doctrine ‘completely unsettle(d) the law ... and set up the cha</w:t>
      </w:r>
      <w:r>
        <w:t>n</w:t>
      </w:r>
      <w:r>
        <w:t>cellor in the midst of the labor organiz</w:t>
      </w:r>
      <w:r>
        <w:t>a</w:t>
      </w:r>
      <w:r>
        <w:t>tion at the inception of a strike as an arb</w:t>
      </w:r>
      <w:r>
        <w:t>i</w:t>
      </w:r>
      <w:r>
        <w:t>ter of their co</w:t>
      </w:r>
      <w:r>
        <w:t>n</w:t>
      </w:r>
      <w:r>
        <w:t>duct as well as a controller or their fates.’ 62d Congress, 2d Sess. Hearings Before a Su</w:t>
      </w:r>
      <w:r>
        <w:t>b</w:t>
      </w:r>
      <w:r>
        <w:t>committee of the Senate Committee on the judiciary on H. R. 23635, p. 429.</w:t>
      </w:r>
    </w:p>
    <w:p w:rsidR="00192FE9" w:rsidRDefault="00192FE9" w:rsidP="00192FE9">
      <w:pPr>
        <w:pStyle w:val="FootnoteText"/>
      </w:pPr>
      <w:r>
        <w:t>Again, it was pointed out that the inco</w:t>
      </w:r>
      <w:r>
        <w:t>r</w:t>
      </w:r>
      <w:r>
        <w:t>poration of this idea in the Sherman Law had ‘done violence to the right to strike-to cease work collectively ... and to the right to withhold pa</w:t>
      </w:r>
      <w:r>
        <w:t>t</w:t>
      </w:r>
      <w:r>
        <w:t>ronage and to agree to withhold patronage.’ Brief by Samuel Gompers, Hearings before the House Committee on the Judiciary on Trust Le</w:t>
      </w:r>
      <w:r>
        <w:t>g</w:t>
      </w:r>
      <w:r>
        <w:t>islation, 63d Congress, 2d Sess., vol. 2, p. 1808.</w:t>
      </w:r>
    </w:p>
  </w:footnote>
  <w:footnote w:id="7">
    <w:p w:rsidR="00445342" w:rsidRDefault="00445342">
      <w:pPr>
        <w:pStyle w:val="FootnoteText"/>
      </w:pPr>
      <w:r>
        <w:rPr>
          <w:rStyle w:val="FootnoteReference"/>
        </w:rPr>
        <w:footnoteRef/>
      </w:r>
      <w:r>
        <w:t xml:space="preserve"> </w:t>
      </w:r>
      <w:r w:rsidRPr="00445342">
        <w:t>Compare the following: ‘there are a</w:t>
      </w:r>
      <w:r w:rsidRPr="00445342">
        <w:t>p</w:t>
      </w:r>
      <w:r w:rsidRPr="00445342">
        <w:t>parently, only two lines of action possible: First to restrict the rights and powers of employers to correspond in substance to the powers and rights now allowed to trade unions, and second, to remove all restriction which now prevent the fre</w:t>
      </w:r>
      <w:r w:rsidRPr="00445342">
        <w:t>e</w:t>
      </w:r>
      <w:r w:rsidRPr="00445342">
        <w:t>dom of action of both parties to industrial disputes, retaining only the ordinary civil and criminal restraints for the preserv</w:t>
      </w:r>
      <w:r w:rsidRPr="00445342">
        <w:t>a</w:t>
      </w:r>
      <w:r w:rsidRPr="00445342">
        <w:t>tion of life, property and the public peace. The first method has been tried and failed absolutely. ... The only method therefore seems to be the removal of all restrictions upon both parties, thus legalizing the strike, the lockout, the boycott, the blac</w:t>
      </w:r>
      <w:r w:rsidRPr="00445342">
        <w:t>k</w:t>
      </w:r>
      <w:r w:rsidRPr="00445342">
        <w:t>list, the bringing in or strike-breakers, and peaceful picketing.’ Report of the Co</w:t>
      </w:r>
      <w:r w:rsidRPr="00445342">
        <w:t>m</w:t>
      </w:r>
      <w:r w:rsidRPr="00445342">
        <w:t>mittee on Ind</w:t>
      </w:r>
      <w:r>
        <w:t>ustrial Relations, 1915, p. 136.</w:t>
      </w:r>
    </w:p>
  </w:footnote>
  <w:footnote w:id="8">
    <w:p w:rsidR="006B2523" w:rsidRDefault="006B2523">
      <w:pPr>
        <w:pStyle w:val="FootnoteText"/>
      </w:pPr>
      <w:r>
        <w:rPr>
          <w:rStyle w:val="FootnoteReference"/>
        </w:rPr>
        <w:footnoteRef/>
      </w:r>
      <w:r>
        <w:t xml:space="preserve"> </w:t>
      </w:r>
      <w:r w:rsidRPr="006B2523">
        <w:t>The majority declared that the section sets out specific acts which the best opi</w:t>
      </w:r>
      <w:r w:rsidRPr="006B2523">
        <w:t>n</w:t>
      </w:r>
      <w:r w:rsidRPr="006B2523">
        <w:t>ion of the courts holds to be within the right of parties involved upon one side or the other of a trade dispute,’ which it has been necessary to affirm because of ‘the divergent views which the courts have expressed on the subject and the diffe</w:t>
      </w:r>
      <w:r w:rsidRPr="006B2523">
        <w:t>r</w:t>
      </w:r>
      <w:r w:rsidRPr="006B2523">
        <w:t>ence between courts in the application of recognized rules.’ The minority insisted that the section prescribes ‘a set rule fo</w:t>
      </w:r>
      <w:r w:rsidRPr="006B2523">
        <w:t>r</w:t>
      </w:r>
      <w:r w:rsidRPr="006B2523">
        <w:t>bidding under any circumstances the e</w:t>
      </w:r>
      <w:r w:rsidRPr="006B2523">
        <w:t>n</w:t>
      </w:r>
      <w:r w:rsidRPr="006B2523">
        <w:t>joining of certain acts which may or may not be actuated by a malicious motive or for the purpose of working an unlawful injury, etc.’ 63d Congress, 2d Session, House Report 627, p. 30; Id., part 2, A</w:t>
      </w:r>
      <w:r w:rsidRPr="006B2523">
        <w:t>p</w:t>
      </w:r>
      <w:r w:rsidRPr="006B2523">
        <w:t>pendix A, p. 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40A" w:rsidRDefault="0006440A">
    <w:pPr>
      <w:pStyle w:val="Header"/>
    </w:pPr>
    <w:r>
      <w:tab/>
    </w:r>
    <w:r w:rsidR="007A1C95">
      <w:t>Duplex Printing v. Deering (US 1920)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69A"/>
    <w:rsid w:val="0006440A"/>
    <w:rsid w:val="00171110"/>
    <w:rsid w:val="00192FE9"/>
    <w:rsid w:val="001A2C77"/>
    <w:rsid w:val="001C541A"/>
    <w:rsid w:val="001F69B9"/>
    <w:rsid w:val="002241BA"/>
    <w:rsid w:val="00270AA3"/>
    <w:rsid w:val="002D5ACF"/>
    <w:rsid w:val="002E5F9F"/>
    <w:rsid w:val="002F31E5"/>
    <w:rsid w:val="0033517A"/>
    <w:rsid w:val="003B200D"/>
    <w:rsid w:val="004026A4"/>
    <w:rsid w:val="00435D89"/>
    <w:rsid w:val="00445342"/>
    <w:rsid w:val="0046740E"/>
    <w:rsid w:val="005016E3"/>
    <w:rsid w:val="0050587F"/>
    <w:rsid w:val="00562EE2"/>
    <w:rsid w:val="00574F03"/>
    <w:rsid w:val="00602B1C"/>
    <w:rsid w:val="00651F0D"/>
    <w:rsid w:val="0066081E"/>
    <w:rsid w:val="006A46EF"/>
    <w:rsid w:val="006B2523"/>
    <w:rsid w:val="00713B21"/>
    <w:rsid w:val="007432FE"/>
    <w:rsid w:val="007641FA"/>
    <w:rsid w:val="007A1C95"/>
    <w:rsid w:val="007B0C31"/>
    <w:rsid w:val="007E04BB"/>
    <w:rsid w:val="00823035"/>
    <w:rsid w:val="008A60F5"/>
    <w:rsid w:val="008F77EC"/>
    <w:rsid w:val="00927B24"/>
    <w:rsid w:val="009514FE"/>
    <w:rsid w:val="009A1671"/>
    <w:rsid w:val="009B3D41"/>
    <w:rsid w:val="009D5BEA"/>
    <w:rsid w:val="009E65AA"/>
    <w:rsid w:val="00A25CFA"/>
    <w:rsid w:val="00A3684B"/>
    <w:rsid w:val="00A45AAC"/>
    <w:rsid w:val="00A73635"/>
    <w:rsid w:val="00A77544"/>
    <w:rsid w:val="00A81980"/>
    <w:rsid w:val="00A849A8"/>
    <w:rsid w:val="00AD4B2B"/>
    <w:rsid w:val="00B6482A"/>
    <w:rsid w:val="00BE230F"/>
    <w:rsid w:val="00BE62BC"/>
    <w:rsid w:val="00C7652C"/>
    <w:rsid w:val="00CD45F7"/>
    <w:rsid w:val="00CF1B08"/>
    <w:rsid w:val="00D04600"/>
    <w:rsid w:val="00D06A09"/>
    <w:rsid w:val="00D14230"/>
    <w:rsid w:val="00D5166A"/>
    <w:rsid w:val="00D62592"/>
    <w:rsid w:val="00DF6012"/>
    <w:rsid w:val="00E57235"/>
    <w:rsid w:val="00E6622F"/>
    <w:rsid w:val="00E7269A"/>
    <w:rsid w:val="00EA3892"/>
    <w:rsid w:val="00EB4EDD"/>
    <w:rsid w:val="00EC69C6"/>
    <w:rsid w:val="00EF1823"/>
    <w:rsid w:val="00EF77B4"/>
    <w:rsid w:val="00F21DCF"/>
    <w:rsid w:val="00F27A66"/>
    <w:rsid w:val="00F352BC"/>
    <w:rsid w:val="00F36509"/>
    <w:rsid w:val="00F64770"/>
    <w:rsid w:val="00F7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445342"/>
    <w:pPr>
      <w:suppressAutoHyphens/>
      <w:spacing w:line="312" w:lineRule="auto"/>
    </w:pPr>
  </w:style>
  <w:style w:type="paragraph" w:styleId="Heading1">
    <w:name w:val="heading 1"/>
    <w:basedOn w:val="Heading2"/>
    <w:next w:val="Normal"/>
    <w:link w:val="Heading1Char"/>
    <w:uiPriority w:val="9"/>
    <w:qFormat/>
    <w:rsid w:val="00A849A8"/>
    <w:pPr>
      <w:jc w:val="left"/>
      <w:outlineLvl w:val="0"/>
    </w:pPr>
  </w:style>
  <w:style w:type="paragraph" w:styleId="Heading2">
    <w:name w:val="heading 2"/>
    <w:basedOn w:val="BodyText"/>
    <w:next w:val="Normal"/>
    <w:link w:val="Heading2Char"/>
    <w:uiPriority w:val="9"/>
    <w:qFormat/>
    <w:rsid w:val="009B3D41"/>
    <w:pPr>
      <w:keepNext/>
      <w:keepLines/>
      <w:spacing w:before="240"/>
      <w:jc w:val="center"/>
      <w:outlineLvl w:val="1"/>
    </w:pPr>
    <w:rPr>
      <w:b/>
    </w:rPr>
  </w:style>
  <w:style w:type="paragraph" w:styleId="Heading3">
    <w:name w:val="heading 3"/>
    <w:basedOn w:val="Heading2"/>
    <w:next w:val="Normal"/>
    <w:link w:val="Heading3Char"/>
    <w:uiPriority w:val="9"/>
    <w:qFormat/>
    <w:rsid w:val="002E5F9F"/>
    <w:pPr>
      <w:jc w:val="left"/>
      <w:outlineLvl w:val="2"/>
    </w:pPr>
    <w:rPr>
      <w:b w:val="0"/>
      <w:i/>
    </w:rPr>
  </w:style>
  <w:style w:type="paragraph" w:styleId="Heading4">
    <w:name w:val="heading 4"/>
    <w:basedOn w:val="Heading3"/>
    <w:next w:val="Normal"/>
    <w:link w:val="Heading4Char"/>
    <w:uiPriority w:val="9"/>
    <w:unhideWhenUsed/>
    <w:qFormat/>
    <w:rsid w:val="005016E3"/>
    <w:pPr>
      <w:outlineLvl w:val="3"/>
    </w:pPr>
    <w:rPr>
      <w:bCs/>
      <w:iCs/>
    </w:rPr>
  </w:style>
  <w:style w:type="paragraph" w:styleId="Heading5">
    <w:name w:val="heading 5"/>
    <w:basedOn w:val="Heading4"/>
    <w:next w:val="Normal"/>
    <w:link w:val="Heading5Char"/>
    <w:uiPriority w:val="9"/>
    <w:unhideWhenUsed/>
    <w:qFormat/>
    <w:rsid w:val="005016E3"/>
    <w:pPr>
      <w:outlineLvl w:val="4"/>
    </w:pPr>
    <w:rPr>
      <w:bCs w:val="0"/>
    </w:rPr>
  </w:style>
  <w:style w:type="paragraph" w:styleId="Heading6">
    <w:name w:val="heading 6"/>
    <w:basedOn w:val="Heading5"/>
    <w:next w:val="Normal"/>
    <w:link w:val="Heading6Char"/>
    <w:uiPriority w:val="9"/>
    <w:unhideWhenUsed/>
    <w:qFormat/>
    <w:rsid w:val="00F64770"/>
    <w:pPr>
      <w:outlineLvl w:val="5"/>
    </w:pPr>
    <w:rPr>
      <w:b/>
      <w:bCs/>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A8"/>
    <w:rPr>
      <w:b/>
    </w:rPr>
  </w:style>
  <w:style w:type="character" w:customStyle="1" w:styleId="Heading2Char">
    <w:name w:val="Heading 2 Char"/>
    <w:basedOn w:val="DefaultParagraphFont"/>
    <w:link w:val="Heading2"/>
    <w:uiPriority w:val="9"/>
    <w:rsid w:val="009B3D41"/>
    <w:rPr>
      <w:b/>
    </w:rPr>
  </w:style>
  <w:style w:type="character" w:customStyle="1" w:styleId="Heading3Char">
    <w:name w:val="Heading 3 Char"/>
    <w:basedOn w:val="DefaultParagraphFont"/>
    <w:link w:val="Heading3"/>
    <w:uiPriority w:val="9"/>
    <w:rsid w:val="002E5F9F"/>
    <w:rPr>
      <w:i/>
    </w:rPr>
  </w:style>
  <w:style w:type="character" w:customStyle="1" w:styleId="Heading4Char">
    <w:name w:val="Heading 4 Char"/>
    <w:basedOn w:val="DefaultParagraphFont"/>
    <w:link w:val="Heading4"/>
    <w:uiPriority w:val="9"/>
    <w:rsid w:val="005016E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rsid w:val="005016E3"/>
    <w:rPr>
      <w:rFonts w:asciiTheme="majorHAnsi" w:eastAsiaTheme="majorEastAsia" w:hAnsiTheme="majorHAnsi" w:cstheme="majorBidi"/>
      <w:b/>
      <w:bCs/>
      <w:iCs/>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EC69C6"/>
    <w:pPr>
      <w:suppressAutoHyphens w:val="0"/>
      <w:spacing w:after="120"/>
      <w:jc w:val="both"/>
    </w:pPr>
  </w:style>
  <w:style w:type="character" w:customStyle="1" w:styleId="BodyTextChar">
    <w:name w:val="Body Text Char"/>
    <w:basedOn w:val="DefaultParagraphFont"/>
    <w:link w:val="BodyText"/>
    <w:uiPriority w:val="3"/>
    <w:rsid w:val="00EC69C6"/>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F352BC"/>
    <w:pPr>
      <w:suppressAutoHyphens w:val="0"/>
      <w:spacing w:before="120" w:after="120" w:line="264" w:lineRule="auto"/>
      <w:ind w:left="288" w:right="288"/>
      <w:jc w:val="both"/>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9514FE"/>
    <w:pPr>
      <w:ind w:firstLine="288"/>
    </w:pPr>
    <w:rPr>
      <w:szCs w:val="24"/>
    </w:rPr>
  </w:style>
  <w:style w:type="character" w:customStyle="1" w:styleId="BodyTextFirstIndentChar">
    <w:name w:val="Body Text First Indent Char"/>
    <w:basedOn w:val="BodyTextChar"/>
    <w:link w:val="BodyTextFirstIndent"/>
    <w:uiPriority w:val="4"/>
    <w:rsid w:val="009514FE"/>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06440A"/>
    <w:pPr>
      <w:tabs>
        <w:tab w:val="center" w:pos="3960"/>
        <w:tab w:val="right" w:pos="7920"/>
      </w:tabs>
      <w:spacing w:line="240" w:lineRule="auto"/>
    </w:pPr>
    <w:rPr>
      <w:rFonts w:asciiTheme="majorHAnsi" w:hAnsiTheme="majorHAnsi"/>
      <w:sz w:val="20"/>
    </w:rPr>
  </w:style>
  <w:style w:type="character" w:customStyle="1" w:styleId="FooterChar">
    <w:name w:val="Footer Char"/>
    <w:basedOn w:val="DefaultParagraphFont"/>
    <w:link w:val="Footer"/>
    <w:uiPriority w:val="99"/>
    <w:rsid w:val="0006440A"/>
    <w:rPr>
      <w:rFonts w:asciiTheme="majorHAnsi" w:hAnsiTheme="majorHAnsi"/>
      <w:sz w:val="20"/>
    </w:rPr>
  </w:style>
  <w:style w:type="paragraph" w:styleId="FootnoteText">
    <w:name w:val="footnote text"/>
    <w:basedOn w:val="Normal"/>
    <w:link w:val="FootnoteTextChar"/>
    <w:uiPriority w:val="99"/>
    <w:rsid w:val="00445342"/>
    <w:pPr>
      <w:suppressAutoHyphens w:val="0"/>
      <w:spacing w:line="240" w:lineRule="auto"/>
      <w:jc w:val="both"/>
    </w:pPr>
    <w:rPr>
      <w:sz w:val="20"/>
      <w:szCs w:val="20"/>
    </w:rPr>
  </w:style>
  <w:style w:type="character" w:customStyle="1" w:styleId="FootnoteTextChar">
    <w:name w:val="Footnote Text Char"/>
    <w:basedOn w:val="DefaultParagraphFont"/>
    <w:link w:val="FootnoteText"/>
    <w:uiPriority w:val="99"/>
    <w:rsid w:val="00445342"/>
    <w:rPr>
      <w:sz w:val="20"/>
      <w:szCs w:val="20"/>
    </w:rPr>
  </w:style>
  <w:style w:type="character" w:styleId="FootnoteReference">
    <w:name w:val="footnote reference"/>
    <w:basedOn w:val="DefaultParagraphFont"/>
    <w:uiPriority w:val="99"/>
    <w:semiHidden/>
    <w:unhideWhenUsed/>
    <w:rsid w:val="00F352B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445342"/>
    <w:pPr>
      <w:suppressAutoHyphens/>
      <w:spacing w:line="312" w:lineRule="auto"/>
    </w:pPr>
  </w:style>
  <w:style w:type="paragraph" w:styleId="Heading1">
    <w:name w:val="heading 1"/>
    <w:basedOn w:val="Heading2"/>
    <w:next w:val="Normal"/>
    <w:link w:val="Heading1Char"/>
    <w:uiPriority w:val="9"/>
    <w:qFormat/>
    <w:rsid w:val="00A849A8"/>
    <w:pPr>
      <w:jc w:val="left"/>
      <w:outlineLvl w:val="0"/>
    </w:pPr>
  </w:style>
  <w:style w:type="paragraph" w:styleId="Heading2">
    <w:name w:val="heading 2"/>
    <w:basedOn w:val="BodyText"/>
    <w:next w:val="Normal"/>
    <w:link w:val="Heading2Char"/>
    <w:uiPriority w:val="9"/>
    <w:qFormat/>
    <w:rsid w:val="009B3D41"/>
    <w:pPr>
      <w:keepNext/>
      <w:keepLines/>
      <w:spacing w:before="240"/>
      <w:jc w:val="center"/>
      <w:outlineLvl w:val="1"/>
    </w:pPr>
    <w:rPr>
      <w:b/>
    </w:rPr>
  </w:style>
  <w:style w:type="paragraph" w:styleId="Heading3">
    <w:name w:val="heading 3"/>
    <w:basedOn w:val="Heading2"/>
    <w:next w:val="Normal"/>
    <w:link w:val="Heading3Char"/>
    <w:uiPriority w:val="9"/>
    <w:qFormat/>
    <w:rsid w:val="002E5F9F"/>
    <w:pPr>
      <w:jc w:val="left"/>
      <w:outlineLvl w:val="2"/>
    </w:pPr>
    <w:rPr>
      <w:b w:val="0"/>
      <w:i/>
    </w:rPr>
  </w:style>
  <w:style w:type="paragraph" w:styleId="Heading4">
    <w:name w:val="heading 4"/>
    <w:basedOn w:val="Heading3"/>
    <w:next w:val="Normal"/>
    <w:link w:val="Heading4Char"/>
    <w:uiPriority w:val="9"/>
    <w:unhideWhenUsed/>
    <w:qFormat/>
    <w:rsid w:val="005016E3"/>
    <w:pPr>
      <w:outlineLvl w:val="3"/>
    </w:pPr>
    <w:rPr>
      <w:bCs/>
      <w:iCs/>
    </w:rPr>
  </w:style>
  <w:style w:type="paragraph" w:styleId="Heading5">
    <w:name w:val="heading 5"/>
    <w:basedOn w:val="Heading4"/>
    <w:next w:val="Normal"/>
    <w:link w:val="Heading5Char"/>
    <w:uiPriority w:val="9"/>
    <w:unhideWhenUsed/>
    <w:qFormat/>
    <w:rsid w:val="005016E3"/>
    <w:pPr>
      <w:outlineLvl w:val="4"/>
    </w:pPr>
    <w:rPr>
      <w:bCs w:val="0"/>
    </w:rPr>
  </w:style>
  <w:style w:type="paragraph" w:styleId="Heading6">
    <w:name w:val="heading 6"/>
    <w:basedOn w:val="Heading5"/>
    <w:next w:val="Normal"/>
    <w:link w:val="Heading6Char"/>
    <w:uiPriority w:val="9"/>
    <w:unhideWhenUsed/>
    <w:qFormat/>
    <w:rsid w:val="00F64770"/>
    <w:pPr>
      <w:outlineLvl w:val="5"/>
    </w:pPr>
    <w:rPr>
      <w:b/>
      <w:bCs/>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A8"/>
    <w:rPr>
      <w:b/>
    </w:rPr>
  </w:style>
  <w:style w:type="character" w:customStyle="1" w:styleId="Heading2Char">
    <w:name w:val="Heading 2 Char"/>
    <w:basedOn w:val="DefaultParagraphFont"/>
    <w:link w:val="Heading2"/>
    <w:uiPriority w:val="9"/>
    <w:rsid w:val="009B3D41"/>
    <w:rPr>
      <w:b/>
    </w:rPr>
  </w:style>
  <w:style w:type="character" w:customStyle="1" w:styleId="Heading3Char">
    <w:name w:val="Heading 3 Char"/>
    <w:basedOn w:val="DefaultParagraphFont"/>
    <w:link w:val="Heading3"/>
    <w:uiPriority w:val="9"/>
    <w:rsid w:val="002E5F9F"/>
    <w:rPr>
      <w:i/>
    </w:rPr>
  </w:style>
  <w:style w:type="character" w:customStyle="1" w:styleId="Heading4Char">
    <w:name w:val="Heading 4 Char"/>
    <w:basedOn w:val="DefaultParagraphFont"/>
    <w:link w:val="Heading4"/>
    <w:uiPriority w:val="9"/>
    <w:rsid w:val="005016E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rsid w:val="005016E3"/>
    <w:rPr>
      <w:rFonts w:asciiTheme="majorHAnsi" w:eastAsiaTheme="majorEastAsia" w:hAnsiTheme="majorHAnsi" w:cstheme="majorBidi"/>
      <w:b/>
      <w:bCs/>
      <w:iCs/>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EC69C6"/>
    <w:pPr>
      <w:suppressAutoHyphens w:val="0"/>
      <w:spacing w:after="120"/>
      <w:jc w:val="both"/>
    </w:pPr>
  </w:style>
  <w:style w:type="character" w:customStyle="1" w:styleId="BodyTextChar">
    <w:name w:val="Body Text Char"/>
    <w:basedOn w:val="DefaultParagraphFont"/>
    <w:link w:val="BodyText"/>
    <w:uiPriority w:val="3"/>
    <w:rsid w:val="00EC69C6"/>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F352BC"/>
    <w:pPr>
      <w:suppressAutoHyphens w:val="0"/>
      <w:spacing w:before="120" w:after="120" w:line="264" w:lineRule="auto"/>
      <w:ind w:left="288" w:right="288"/>
      <w:jc w:val="both"/>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9514FE"/>
    <w:pPr>
      <w:ind w:firstLine="288"/>
    </w:pPr>
    <w:rPr>
      <w:szCs w:val="24"/>
    </w:rPr>
  </w:style>
  <w:style w:type="character" w:customStyle="1" w:styleId="BodyTextFirstIndentChar">
    <w:name w:val="Body Text First Indent Char"/>
    <w:basedOn w:val="BodyTextChar"/>
    <w:link w:val="BodyTextFirstIndent"/>
    <w:uiPriority w:val="4"/>
    <w:rsid w:val="009514FE"/>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06440A"/>
    <w:pPr>
      <w:tabs>
        <w:tab w:val="center" w:pos="3960"/>
        <w:tab w:val="right" w:pos="7920"/>
      </w:tabs>
      <w:spacing w:line="240" w:lineRule="auto"/>
    </w:pPr>
    <w:rPr>
      <w:rFonts w:asciiTheme="majorHAnsi" w:hAnsiTheme="majorHAnsi"/>
      <w:sz w:val="20"/>
    </w:rPr>
  </w:style>
  <w:style w:type="character" w:customStyle="1" w:styleId="FooterChar">
    <w:name w:val="Footer Char"/>
    <w:basedOn w:val="DefaultParagraphFont"/>
    <w:link w:val="Footer"/>
    <w:uiPriority w:val="99"/>
    <w:rsid w:val="0006440A"/>
    <w:rPr>
      <w:rFonts w:asciiTheme="majorHAnsi" w:hAnsiTheme="majorHAnsi"/>
      <w:sz w:val="20"/>
    </w:rPr>
  </w:style>
  <w:style w:type="paragraph" w:styleId="FootnoteText">
    <w:name w:val="footnote text"/>
    <w:basedOn w:val="Normal"/>
    <w:link w:val="FootnoteTextChar"/>
    <w:uiPriority w:val="99"/>
    <w:rsid w:val="00445342"/>
    <w:pPr>
      <w:suppressAutoHyphens w:val="0"/>
      <w:spacing w:line="240" w:lineRule="auto"/>
      <w:jc w:val="both"/>
    </w:pPr>
    <w:rPr>
      <w:sz w:val="20"/>
      <w:szCs w:val="20"/>
    </w:rPr>
  </w:style>
  <w:style w:type="character" w:customStyle="1" w:styleId="FootnoteTextChar">
    <w:name w:val="Footnote Text Char"/>
    <w:basedOn w:val="DefaultParagraphFont"/>
    <w:link w:val="FootnoteText"/>
    <w:uiPriority w:val="99"/>
    <w:rsid w:val="00445342"/>
    <w:rPr>
      <w:sz w:val="20"/>
      <w:szCs w:val="20"/>
    </w:rPr>
  </w:style>
  <w:style w:type="character" w:styleId="FootnoteReference">
    <w:name w:val="footnote reference"/>
    <w:basedOn w:val="DefaultParagraphFont"/>
    <w:uiPriority w:val="99"/>
    <w:semiHidden/>
    <w:unhideWhenUsed/>
    <w:rsid w:val="00F352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5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9B551-EF71-49FC-B56D-388E5256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Duplex Printing v Deering.docx</Template>
  <TotalTime>30</TotalTime>
  <Pages>20</Pages>
  <Words>6904</Words>
  <Characters>39355</Characters>
  <Application>Microsoft Office Word</Application>
  <DocSecurity>0</DocSecurity>
  <Lines>327</Lines>
  <Paragraphs>92</Paragraphs>
  <ScaleCrop>false</ScaleCrop>
  <Company>Elon University</Company>
  <LinksUpToDate>false</LinksUpToDate>
  <CharactersWithSpaces>46167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31</cp:revision>
  <dcterms:created xsi:type="dcterms:W3CDTF">2016-01-27T23:52:00Z</dcterms:created>
  <dcterms:modified xsi:type="dcterms:W3CDTF">2016-01-28T00:22:00Z</dcterms:modified>
</cp:coreProperties>
</file>