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D05968">
      <w:bookmarkStart w:id="0" w:name="_Hlk148899910"/>
      <w:bookmarkEnd w:id="0"/>
    </w:p>
    <w:p w14:paraId="6907E1EB"/>
    <w:p w14:paraId="479906DA"/>
    <w:p w14:paraId="0247EB39"/>
    <w:p w14:paraId="04AFF912">
      <w:pPr>
        <w:jc w:val="center"/>
        <w:rPr>
          <w:rFonts w:hint="eastAsia" w:ascii="黑体" w:hAnsi="黑体" w:eastAsia="黑体"/>
          <w:b/>
          <w:sz w:val="48"/>
          <w:szCs w:val="48"/>
        </w:rPr>
      </w:pPr>
      <w:r>
        <w:rPr>
          <w:rFonts w:hint="eastAsia" w:ascii="黑体" w:hAnsi="黑体" w:eastAsia="黑体"/>
          <w:b/>
          <w:sz w:val="48"/>
          <w:szCs w:val="48"/>
        </w:rPr>
        <w:t>Accelerating Model Training in Multi-cluster</w:t>
      </w:r>
    </w:p>
    <w:p w14:paraId="46383576">
      <w:pPr>
        <w:jc w:val="center"/>
        <w:rPr>
          <w:rFonts w:ascii="黑体" w:hAnsi="黑体" w:eastAsia="黑体"/>
          <w:b/>
          <w:sz w:val="48"/>
          <w:szCs w:val="48"/>
        </w:rPr>
      </w:pPr>
      <w:r>
        <w:rPr>
          <w:rFonts w:hint="eastAsia" w:ascii="黑体" w:hAnsi="黑体" w:eastAsia="黑体"/>
          <w:b/>
          <w:sz w:val="48"/>
          <w:szCs w:val="48"/>
        </w:rPr>
        <w:t>Environments with Consumer-grade GPUs</w:t>
      </w:r>
    </w:p>
    <w:p w14:paraId="113CE116"/>
    <w:p w14:paraId="213E7CB8">
      <w:pPr>
        <w:jc w:val="center"/>
        <w:rPr>
          <w:rFonts w:ascii="黑体" w:hAnsi="黑体" w:eastAsia="黑体"/>
          <w:b/>
          <w:sz w:val="48"/>
          <w:szCs w:val="48"/>
        </w:rPr>
      </w:pPr>
      <w:r>
        <w:rPr>
          <w:rFonts w:hint="eastAsia" w:ascii="黑体" w:hAnsi="黑体" w:eastAsia="黑体"/>
          <w:b/>
          <w:sz w:val="48"/>
          <w:szCs w:val="48"/>
        </w:rPr>
        <w:t>利用消费级GPU加速多集群环境下的模型训练</w:t>
      </w:r>
    </w:p>
    <w:p w14:paraId="2AF9CA86"/>
    <w:p w14:paraId="3631610F">
      <w:pPr>
        <w:jc w:val="center"/>
        <w:rPr>
          <w:rFonts w:hint="eastAsia" w:eastAsiaTheme="minorEastAsia"/>
          <w:b/>
          <w:bCs/>
          <w:color w:val="FF0000"/>
          <w:lang w:eastAsia="zh-CN"/>
        </w:rPr>
      </w:pPr>
    </w:p>
    <w:p w14:paraId="0EA35B70"/>
    <w:p w14:paraId="5132AC7C"/>
    <w:p w14:paraId="1C31A978"/>
    <w:p w14:paraId="6705FB54"/>
    <w:p w14:paraId="79645EA4"/>
    <w:p w14:paraId="7FFD3D70"/>
    <w:p w14:paraId="64DFE4DB"/>
    <w:p w14:paraId="17FC3237"/>
    <w:p w14:paraId="62A67B14"/>
    <w:p w14:paraId="5EB15AE0">
      <w:pPr>
        <w:tabs>
          <w:tab w:val="left" w:pos="4435"/>
        </w:tabs>
        <w:ind w:firstLine="1320" w:firstLineChars="600"/>
        <w:rPr>
          <w:rFonts w:hint="default" w:eastAsia="宋体"/>
          <w:sz w:val="20"/>
          <w:szCs w:val="20"/>
          <w:lang w:val="en-US" w:eastAsia="zh-CN"/>
        </w:rPr>
      </w:pPr>
      <w:r>
        <w:rPr>
          <w:sz w:val="22"/>
        </w:rPr>
        <mc:AlternateContent>
          <mc:Choice Requires="wps">
            <w:drawing>
              <wp:anchor distT="0" distB="0" distL="114300" distR="114300" simplePos="0" relativeHeight="251659264" behindDoc="1" locked="0" layoutInCell="0" allowOverlap="1">
                <wp:simplePos x="0" y="0"/>
                <wp:positionH relativeFrom="column">
                  <wp:posOffset>2134235</wp:posOffset>
                </wp:positionH>
                <wp:positionV relativeFrom="paragraph">
                  <wp:posOffset>372110</wp:posOffset>
                </wp:positionV>
                <wp:extent cx="2550795" cy="0"/>
                <wp:effectExtent l="0" t="0" r="0" b="0"/>
                <wp:wrapNone/>
                <wp:docPr id="741202610" name="直接连接符 741202610"/>
                <wp:cNvGraphicFramePr/>
                <a:graphic xmlns:a="http://schemas.openxmlformats.org/drawingml/2006/main">
                  <a:graphicData uri="http://schemas.microsoft.com/office/word/2010/wordprocessingShape">
                    <wps:wsp>
                      <wps:cNvCnPr/>
                      <wps:spPr>
                        <a:xfrm>
                          <a:off x="0" y="0"/>
                          <a:ext cx="2550795" cy="0"/>
                        </a:xfrm>
                        <a:prstGeom prst="line">
                          <a:avLst/>
                        </a:prstGeom>
                        <a:solidFill>
                          <a:srgbClr val="FFFFFF"/>
                        </a:solidFill>
                        <a:ln w="10667">
                          <a:solidFill>
                            <a:srgbClr val="000000"/>
                          </a:solidFill>
                          <a:miter lim="800000"/>
                        </a:ln>
                      </wps:spPr>
                      <wps:bodyPr/>
                    </wps:wsp>
                  </a:graphicData>
                </a:graphic>
              </wp:anchor>
            </w:drawing>
          </mc:Choice>
          <mc:Fallback>
            <w:pict>
              <v:line id="_x0000_s1026" o:spid="_x0000_s1026" o:spt="20" style="position:absolute;left:0pt;margin-left:168.05pt;margin-top:29.3pt;height:0pt;width:200.85pt;z-index:-251657216;mso-width-relative:page;mso-height-relative:page;" fillcolor="#FFFFFF" filled="t" stroked="t" coordsize="21600,21600" o:allowincell="f" o:gfxdata="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H4syy9UAAAAJAQAADwAAAAAAAAABACAAAAAiAAAA&#10;ZHJzL2Rvd25yZXYueG1sUEsBAhQAFAAAAAgAh07iQNTPZR3RAQAAsQMAAA4AAAAAAAAAAQAgAAAA&#10;JAEAAGRycy9lMm9Eb2MueG1sUEsFBgAAAAAGAAYAWQEAAGcFAAAAAA==&#10;">
                <v:fill on="t" focussize="0,0"/>
                <v:stroke weight="0.83992125984252pt" color="#000000" miterlimit="8" joinstyle="miter"/>
                <v:imagedata o:title=""/>
                <o:lock v:ext="edit" aspectratio="f"/>
              </v:line>
            </w:pict>
          </mc:Fallback>
        </mc:AlternateContent>
      </w:r>
      <w:r>
        <w:rPr>
          <w:rFonts w:hint="eastAsia" w:ascii="宋体" w:hAnsi="宋体" w:eastAsia="宋体" w:cs="宋体"/>
          <w:b/>
          <w:bCs/>
          <w:sz w:val="32"/>
          <w:szCs w:val="32"/>
        </w:rPr>
        <w:t xml:space="preserve">组 </w:t>
      </w:r>
      <w:r>
        <w:rPr>
          <w:rFonts w:ascii="宋体" w:hAnsi="宋体" w:eastAsia="宋体" w:cs="宋体"/>
          <w:b/>
          <w:bCs/>
          <w:sz w:val="32"/>
          <w:szCs w:val="32"/>
        </w:rPr>
        <w:t xml:space="preserve">  </w:t>
      </w:r>
      <w:r>
        <w:rPr>
          <w:rFonts w:hint="eastAsia" w:ascii="宋体" w:hAnsi="宋体" w:eastAsia="宋体" w:cs="宋体"/>
          <w:b/>
          <w:bCs/>
          <w:sz w:val="32"/>
          <w:szCs w:val="32"/>
        </w:rPr>
        <w:t>名：</w:t>
      </w:r>
      <w:r>
        <w:rPr>
          <w:rFonts w:ascii="宋体" w:hAnsi="宋体" w:eastAsia="宋体" w:cs="宋体"/>
          <w:b/>
          <w:bCs/>
          <w:sz w:val="32"/>
          <w:szCs w:val="32"/>
        </w:rPr>
        <w:t xml:space="preserve">             </w:t>
      </w:r>
      <w:r>
        <w:rPr>
          <w:rFonts w:hint="default" w:ascii="宋体" w:hAnsi="宋体" w:eastAsia="宋体" w:cs="宋体"/>
          <w:b/>
          <w:bCs/>
          <w:sz w:val="32"/>
          <w:szCs w:val="32"/>
          <w:lang w:val="en-US"/>
        </w:rPr>
        <w:t>VMe50</w:t>
      </w:r>
    </w:p>
    <w:p w14:paraId="54F82C80">
      <w:pPr>
        <w:spacing w:line="20" w:lineRule="exact"/>
        <w:rPr>
          <w:sz w:val="20"/>
          <w:szCs w:val="20"/>
        </w:rPr>
      </w:pPr>
    </w:p>
    <w:p w14:paraId="4FCFFE45">
      <w:pPr>
        <w:spacing w:line="216" w:lineRule="exact"/>
        <w:rPr>
          <w:sz w:val="20"/>
          <w:szCs w:val="20"/>
        </w:rPr>
      </w:pPr>
    </w:p>
    <w:tbl>
      <w:tblPr>
        <w:tblStyle w:val="12"/>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113" w:type="dxa"/>
          <w:left w:w="113" w:type="dxa"/>
          <w:bottom w:w="113" w:type="dxa"/>
          <w:right w:w="113" w:type="dxa"/>
        </w:tblCellMar>
      </w:tblPr>
      <w:tblGrid>
        <w:gridCol w:w="2840"/>
        <w:gridCol w:w="2841"/>
        <w:gridCol w:w="2841"/>
      </w:tblGrid>
      <w:tr w14:paraId="4CAAF2B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15C5943">
            <w:pPr>
              <w:spacing w:line="240" w:lineRule="auto"/>
              <w:jc w:val="center"/>
              <w:rPr>
                <w:rFonts w:hint="default" w:eastAsiaTheme="minorEastAsia"/>
                <w:sz w:val="28"/>
                <w:szCs w:val="28"/>
                <w:vertAlign w:val="baseline"/>
                <w:lang w:val="en-US" w:eastAsia="zh-CN"/>
              </w:rPr>
            </w:pPr>
            <w:r>
              <w:rPr>
                <w:rFonts w:hint="eastAsia" w:ascii="黑体" w:hAnsi="黑体" w:eastAsia="黑体"/>
                <w:lang w:val="en-US" w:eastAsia="zh-CN"/>
              </w:rPr>
              <w:t>学号</w:t>
            </w:r>
          </w:p>
        </w:tc>
        <w:tc>
          <w:tcPr>
            <w:tcW w:w="2841" w:type="dxa"/>
            <w:tcBorders>
              <w:tl2br w:val="nil"/>
              <w:tr2bl w:val="nil"/>
            </w:tcBorders>
            <w:vAlign w:val="center"/>
          </w:tcPr>
          <w:p w14:paraId="4B9F1D80">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姓名</w:t>
            </w:r>
          </w:p>
        </w:tc>
        <w:tc>
          <w:tcPr>
            <w:tcW w:w="2841" w:type="dxa"/>
            <w:tcBorders>
              <w:tl2br w:val="nil"/>
              <w:tr2bl w:val="nil"/>
            </w:tcBorders>
            <w:vAlign w:val="center"/>
          </w:tcPr>
          <w:p w14:paraId="7CB2E1D3">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分工</w:t>
            </w:r>
          </w:p>
        </w:tc>
      </w:tr>
      <w:tr w14:paraId="3D001D2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16D1BFE1">
            <w:pPr>
              <w:spacing w:line="240" w:lineRule="auto"/>
              <w:jc w:val="center"/>
              <w:rPr>
                <w:rFonts w:hint="default" w:eastAsiaTheme="minorEastAsia"/>
                <w:sz w:val="28"/>
                <w:szCs w:val="28"/>
                <w:vertAlign w:val="baseline"/>
                <w:lang w:val="en-US" w:eastAsia="zh-CN"/>
              </w:rPr>
            </w:pPr>
            <w:r>
              <w:rPr>
                <w:rFonts w:hint="default"/>
                <w:sz w:val="28"/>
                <w:szCs w:val="28"/>
                <w:vertAlign w:val="baseline"/>
                <w:lang w:val="en-US" w:eastAsia="zh-CN"/>
              </w:rPr>
              <w:t>231380121</w:t>
            </w:r>
          </w:p>
        </w:tc>
        <w:tc>
          <w:tcPr>
            <w:tcW w:w="2841" w:type="dxa"/>
            <w:tcBorders>
              <w:tl2br w:val="nil"/>
              <w:tr2bl w:val="nil"/>
            </w:tcBorders>
            <w:vAlign w:val="center"/>
          </w:tcPr>
          <w:p w14:paraId="1553DF7E">
            <w:pPr>
              <w:spacing w:line="240" w:lineRule="auto"/>
              <w:jc w:val="center"/>
              <w:rPr>
                <w:rFonts w:hint="default" w:eastAsiaTheme="minorEastAsia"/>
                <w:sz w:val="28"/>
                <w:szCs w:val="28"/>
                <w:vertAlign w:val="baseline"/>
                <w:lang w:val="en-US" w:eastAsia="zh-CN"/>
              </w:rPr>
            </w:pPr>
            <w:r>
              <w:rPr>
                <w:rFonts w:hint="eastAsia"/>
                <w:sz w:val="28"/>
                <w:szCs w:val="28"/>
                <w:vertAlign w:val="baseline"/>
                <w:lang w:val="en-US" w:eastAsia="zh-CN"/>
              </w:rPr>
              <w:t>王禹智</w:t>
            </w:r>
          </w:p>
        </w:tc>
        <w:tc>
          <w:tcPr>
            <w:tcW w:w="2841" w:type="dxa"/>
            <w:tcBorders>
              <w:tl2br w:val="nil"/>
              <w:tr2bl w:val="nil"/>
            </w:tcBorders>
            <w:vAlign w:val="center"/>
          </w:tcPr>
          <w:p w14:paraId="204EC2A1">
            <w:pPr>
              <w:spacing w:line="240" w:lineRule="auto"/>
              <w:jc w:val="center"/>
              <w:rPr>
                <w:sz w:val="28"/>
                <w:szCs w:val="28"/>
                <w:vertAlign w:val="baseline"/>
              </w:rPr>
            </w:pPr>
            <w:r>
              <w:rPr>
                <w:rFonts w:hint="eastAsia" w:ascii="黑体" w:hAnsi="黑体" w:eastAsia="黑体"/>
              </w:rPr>
              <w:t>文献1-5页翻译</w:t>
            </w:r>
            <w:r>
              <w:rPr>
                <w:rFonts w:hint="eastAsia" w:ascii="黑体" w:hAnsi="黑体" w:eastAsia="黑体"/>
                <w:lang w:val="en-US" w:eastAsia="zh-CN"/>
              </w:rPr>
              <w:t>与订正</w:t>
            </w:r>
            <w:r>
              <w:rPr>
                <w:rFonts w:hint="eastAsia" w:ascii="黑体" w:hAnsi="黑体" w:eastAsia="黑体"/>
              </w:rPr>
              <w:t>和相关专业词汇整理</w:t>
            </w:r>
          </w:p>
        </w:tc>
      </w:tr>
      <w:tr w14:paraId="3638CA9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5132DBC1">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12</w:t>
            </w:r>
          </w:p>
        </w:tc>
        <w:tc>
          <w:tcPr>
            <w:tcW w:w="2841" w:type="dxa"/>
            <w:tcBorders>
              <w:tl2br w:val="nil"/>
              <w:tr2bl w:val="nil"/>
            </w:tcBorders>
            <w:vAlign w:val="center"/>
          </w:tcPr>
          <w:p w14:paraId="0B1C655A">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李方意</w:t>
            </w:r>
          </w:p>
        </w:tc>
        <w:tc>
          <w:tcPr>
            <w:tcW w:w="2841" w:type="dxa"/>
            <w:tcBorders>
              <w:tl2br w:val="nil"/>
              <w:tr2bl w:val="nil"/>
            </w:tcBorders>
            <w:vAlign w:val="center"/>
          </w:tcPr>
          <w:p w14:paraId="07C292B8">
            <w:pPr>
              <w:spacing w:line="240" w:lineRule="auto"/>
              <w:jc w:val="center"/>
              <w:rPr>
                <w:rFonts w:hint="eastAsia" w:ascii="黑体" w:hAnsi="黑体" w:eastAsia="黑体"/>
                <w:sz w:val="24"/>
                <w:szCs w:val="24"/>
              </w:rPr>
            </w:pPr>
            <w:r>
              <w:rPr>
                <w:rFonts w:hint="eastAsia" w:ascii="黑体" w:hAnsi="黑体" w:eastAsia="黑体"/>
              </w:rPr>
              <w:t>文献6-</w:t>
            </w:r>
            <w:r>
              <w:rPr>
                <w:rFonts w:hint="eastAsia" w:ascii="黑体" w:hAnsi="黑体" w:eastAsia="黑体"/>
                <w:lang w:val="en-US" w:eastAsia="zh-CN"/>
              </w:rPr>
              <w:t>10</w:t>
            </w:r>
            <w:r>
              <w:rPr>
                <w:rFonts w:hint="eastAsia" w:ascii="黑体" w:hAnsi="黑体" w:eastAsia="黑体"/>
              </w:rPr>
              <w:t>页翻译</w:t>
            </w:r>
            <w:r>
              <w:rPr>
                <w:rFonts w:hint="eastAsia" w:ascii="黑体" w:hAnsi="黑体" w:eastAsia="黑体"/>
                <w:lang w:val="en-US" w:eastAsia="zh-CN"/>
              </w:rPr>
              <w:t>与订正</w:t>
            </w:r>
            <w:r>
              <w:rPr>
                <w:rFonts w:hint="eastAsia" w:ascii="黑体" w:hAnsi="黑体" w:eastAsia="黑体"/>
              </w:rPr>
              <w:t>和相关专业词汇整理</w:t>
            </w:r>
          </w:p>
        </w:tc>
      </w:tr>
      <w:tr w14:paraId="114AC5B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E9F1D7D">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20</w:t>
            </w:r>
          </w:p>
        </w:tc>
        <w:tc>
          <w:tcPr>
            <w:tcW w:w="2841" w:type="dxa"/>
            <w:tcBorders>
              <w:tl2br w:val="nil"/>
              <w:tr2bl w:val="nil"/>
            </w:tcBorders>
            <w:vAlign w:val="center"/>
          </w:tcPr>
          <w:p w14:paraId="5F9E4E24">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王梦梦</w:t>
            </w:r>
          </w:p>
        </w:tc>
        <w:tc>
          <w:tcPr>
            <w:tcW w:w="2841" w:type="dxa"/>
            <w:tcBorders>
              <w:tl2br w:val="nil"/>
              <w:tr2bl w:val="nil"/>
            </w:tcBorders>
            <w:vAlign w:val="center"/>
          </w:tcPr>
          <w:p w14:paraId="031B6B14">
            <w:pPr>
              <w:spacing w:line="240" w:lineRule="auto"/>
              <w:jc w:val="center"/>
              <w:rPr>
                <w:rFonts w:hint="eastAsia" w:ascii="黑体" w:hAnsi="黑体" w:eastAsia="黑体"/>
              </w:rPr>
            </w:pPr>
            <w:r>
              <w:rPr>
                <w:rFonts w:hint="eastAsia" w:ascii="黑体" w:hAnsi="黑体" w:eastAsia="黑体"/>
              </w:rPr>
              <w:t>文献</w:t>
            </w:r>
            <w:r>
              <w:rPr>
                <w:rFonts w:hint="eastAsia" w:ascii="黑体" w:hAnsi="黑体" w:eastAsia="黑体"/>
                <w:lang w:val="en-US" w:eastAsia="zh-CN"/>
              </w:rPr>
              <w:t>11</w:t>
            </w:r>
            <w:r>
              <w:rPr>
                <w:rFonts w:hint="eastAsia" w:ascii="黑体" w:hAnsi="黑体" w:eastAsia="黑体"/>
              </w:rPr>
              <w:t>-1</w:t>
            </w:r>
            <w:r>
              <w:rPr>
                <w:rFonts w:hint="eastAsia" w:ascii="黑体" w:hAnsi="黑体" w:eastAsia="黑体"/>
                <w:lang w:val="en-US" w:eastAsia="zh-CN"/>
              </w:rPr>
              <w:t>4</w:t>
            </w:r>
            <w:r>
              <w:rPr>
                <w:rFonts w:hint="eastAsia" w:ascii="黑体" w:hAnsi="黑体" w:eastAsia="黑体"/>
              </w:rPr>
              <w:t>翻译</w:t>
            </w:r>
            <w:r>
              <w:rPr>
                <w:rFonts w:hint="eastAsia" w:ascii="黑体" w:hAnsi="黑体" w:eastAsia="黑体"/>
                <w:lang w:val="en-US" w:eastAsia="zh-CN"/>
              </w:rPr>
              <w:t>与订正</w:t>
            </w:r>
            <w:r>
              <w:rPr>
                <w:rFonts w:hint="eastAsia" w:ascii="黑体" w:hAnsi="黑体" w:eastAsia="黑体"/>
              </w:rPr>
              <w:t>页和相关专业词汇整理</w:t>
            </w:r>
          </w:p>
        </w:tc>
      </w:tr>
    </w:tbl>
    <w:p w14:paraId="00A89711">
      <w:pPr>
        <w:spacing w:line="216" w:lineRule="exact"/>
        <w:rPr>
          <w:sz w:val="20"/>
          <w:szCs w:val="20"/>
        </w:rPr>
      </w:pPr>
    </w:p>
    <w:p w14:paraId="2ED95042">
      <w:pPr>
        <w:spacing w:line="216" w:lineRule="exact"/>
        <w:rPr>
          <w:rFonts w:ascii="黑体" w:hAnsi="黑体" w:eastAsia="黑体"/>
          <w:szCs w:val="21"/>
        </w:rPr>
      </w:pPr>
    </w:p>
    <w:p w14:paraId="6A2CFC9F">
      <w:pPr>
        <w:rPr>
          <w:rFonts w:ascii="黑体" w:hAnsi="黑体" w:eastAsia="黑体"/>
          <w:szCs w:val="21"/>
        </w:rPr>
      </w:pPr>
    </w:p>
    <w:p w14:paraId="79DF8453"/>
    <w:p w14:paraId="1434432C">
      <w:pPr>
        <w:jc w:val="center"/>
        <w:rPr>
          <w:rFonts w:ascii="黑体" w:hAnsi="黑体" w:eastAsia="黑体"/>
          <w:b/>
          <w:color w:val="auto"/>
          <w:sz w:val="28"/>
          <w:szCs w:val="28"/>
        </w:rPr>
      </w:pPr>
      <w:r>
        <w:rPr>
          <w:rFonts w:hint="eastAsia" w:ascii="黑体" w:hAnsi="黑体" w:eastAsia="黑体"/>
          <w:b/>
          <w:color w:val="auto"/>
          <w:sz w:val="28"/>
          <w:szCs w:val="28"/>
          <w:lang w:val="en-US" w:eastAsia="zh-CN"/>
        </w:rPr>
        <w:t>利用消费级GPU加速多集群环境下的模型训练</w:t>
      </w:r>
    </w:p>
    <w:p w14:paraId="3C35AC63">
      <w:pPr>
        <w:spacing w:line="400" w:lineRule="exact"/>
        <w:jc w:val="center"/>
        <w:rPr>
          <w:rFonts w:hint="default" w:ascii="黑体" w:hAnsi="黑体" w:eastAsia="黑体"/>
          <w:b/>
          <w:color w:val="auto"/>
          <w:sz w:val="24"/>
          <w:lang w:val="en-US" w:eastAsia="zh-CN"/>
        </w:rPr>
      </w:pPr>
      <w:r>
        <w:rPr>
          <w:rFonts w:hint="eastAsia" w:ascii="黑体" w:hAnsi="黑体" w:eastAsia="黑体"/>
          <w:b/>
          <w:color w:val="auto"/>
          <w:sz w:val="24"/>
          <w:lang w:val="en-US" w:eastAsia="zh-CN"/>
        </w:rPr>
        <w:t>Hwijoon Lim</w:t>
      </w:r>
      <w:r>
        <w:rPr>
          <w:rFonts w:hint="eastAsia" w:ascii="黑体" w:hAnsi="黑体" w:eastAsia="黑体"/>
          <w:b/>
          <w:color w:val="auto"/>
          <w:sz w:val="24"/>
          <w:vertAlign w:val="superscript"/>
        </w:rPr>
        <w:t>a</w:t>
      </w:r>
      <w:r>
        <w:rPr>
          <w:rFonts w:hint="eastAsia" w:ascii="黑体" w:hAnsi="黑体" w:eastAsia="黑体"/>
          <w:b/>
          <w:color w:val="auto"/>
          <w:sz w:val="24"/>
        </w:rPr>
        <w:t xml:space="preserve"> </w:t>
      </w:r>
      <w:r>
        <w:rPr>
          <w:rFonts w:hint="eastAsia" w:ascii="黑体" w:hAnsi="黑体" w:eastAsia="黑体"/>
          <w:b/>
          <w:color w:val="auto"/>
          <w:sz w:val="24"/>
          <w:lang w:val="en-US" w:eastAsia="zh-CN"/>
        </w:rPr>
        <w:t>Juncheol Ye</w:t>
      </w:r>
      <w:r>
        <w:rPr>
          <w:rFonts w:hint="eastAsia" w:ascii="黑体" w:hAnsi="黑体" w:eastAsia="黑体"/>
          <w:b/>
          <w:color w:val="auto"/>
          <w:sz w:val="24"/>
          <w:vertAlign w:val="superscript"/>
        </w:rPr>
        <w:t>a</w:t>
      </w:r>
      <w:r>
        <w:rPr>
          <w:rFonts w:hint="default" w:ascii="黑体" w:hAnsi="黑体" w:eastAsia="黑体"/>
          <w:b/>
          <w:color w:val="auto"/>
          <w:sz w:val="24"/>
          <w:vertAlign w:val="superscript"/>
          <w:lang w:val="en-US" w:eastAsia="zh-CN"/>
        </w:rPr>
        <w:t xml:space="preserve"> </w:t>
      </w:r>
      <w:r>
        <w:rPr>
          <w:rFonts w:hint="eastAsia" w:ascii="黑体" w:hAnsi="黑体" w:eastAsia="黑体"/>
          <w:b/>
          <w:color w:val="auto"/>
          <w:sz w:val="24"/>
        </w:rPr>
        <w:t>Dongsu Han</w:t>
      </w:r>
      <w:r>
        <w:rPr>
          <w:rFonts w:hint="eastAsia" w:ascii="黑体" w:hAnsi="黑体" w:eastAsia="黑体"/>
          <w:b/>
          <w:color w:val="auto"/>
          <w:sz w:val="24"/>
          <w:vertAlign w:val="superscript"/>
        </w:rPr>
        <w:t>a</w:t>
      </w:r>
      <w:r>
        <w:rPr>
          <w:rFonts w:hint="eastAsia" w:ascii="黑体" w:hAnsi="黑体" w:eastAsia="黑体"/>
          <w:b/>
          <w:color w:val="auto"/>
          <w:sz w:val="24"/>
          <w:lang w:val="en-US" w:eastAsia="zh-CN"/>
        </w:rPr>
        <w:t xml:space="preserve"> Sangeetha Abdu Jyothi</w:t>
      </w:r>
      <w:r>
        <w:rPr>
          <w:rFonts w:hint="eastAsia" w:ascii="黑体" w:hAnsi="黑体" w:eastAsia="黑体"/>
          <w:b/>
          <w:color w:val="auto"/>
          <w:sz w:val="24"/>
          <w:vertAlign w:val="superscript"/>
          <w:lang w:val="en-US" w:eastAsia="zh-CN"/>
        </w:rPr>
        <w:t>b</w:t>
      </w:r>
    </w:p>
    <w:p w14:paraId="34594F46">
      <w:pPr>
        <w:spacing w:line="400" w:lineRule="exact"/>
        <w:jc w:val="center"/>
        <w:rPr>
          <w:rFonts w:hint="eastAsia" w:ascii="黑体" w:hAnsi="黑体" w:eastAsia="黑体"/>
          <w:color w:val="auto"/>
          <w:sz w:val="21"/>
          <w:szCs w:val="21"/>
          <w:lang w:val="en-US" w:eastAsia="zh-CN"/>
        </w:rPr>
      </w:pPr>
      <w:r>
        <w:rPr>
          <w:rFonts w:hint="eastAsia" w:ascii="黑体" w:hAnsi="黑体" w:eastAsia="黑体"/>
          <w:b/>
          <w:color w:val="auto"/>
          <w:sz w:val="21"/>
          <w:szCs w:val="21"/>
          <w:vertAlign w:val="superscript"/>
        </w:rPr>
        <w:t>a</w:t>
      </w:r>
      <w:r>
        <w:rPr>
          <w:rFonts w:hint="eastAsia" w:ascii="黑体" w:hAnsi="黑体" w:eastAsia="黑体"/>
          <w:color w:val="auto"/>
          <w:sz w:val="21"/>
          <w:szCs w:val="21"/>
        </w:rPr>
        <w:t>韩国科学技术院 (KAIST</w:t>
      </w:r>
      <w:r>
        <w:rPr>
          <w:rFonts w:hint="eastAsia" w:ascii="黑体" w:hAnsi="黑体" w:eastAsia="黑体"/>
          <w:color w:val="auto"/>
          <w:sz w:val="21"/>
          <w:szCs w:val="21"/>
          <w:lang w:eastAsia="zh-CN"/>
        </w:rPr>
        <w:t>）</w:t>
      </w:r>
      <w:r>
        <w:rPr>
          <w:rFonts w:hint="eastAsia" w:ascii="黑体" w:hAnsi="黑体" w:eastAsia="黑体"/>
          <w:color w:val="auto"/>
          <w:sz w:val="21"/>
          <w:szCs w:val="21"/>
        </w:rPr>
        <w:t>，</w:t>
      </w:r>
      <w:r>
        <w:rPr>
          <w:rFonts w:hint="eastAsia" w:ascii="黑体" w:hAnsi="黑体" w:eastAsia="黑体"/>
          <w:color w:val="auto"/>
          <w:sz w:val="21"/>
          <w:szCs w:val="21"/>
          <w:lang w:val="en-US" w:eastAsia="zh-CN"/>
        </w:rPr>
        <w:t>大田，大韩民国</w:t>
      </w:r>
    </w:p>
    <w:p w14:paraId="4FB162F8">
      <w:pPr>
        <w:spacing w:line="400" w:lineRule="exact"/>
        <w:jc w:val="center"/>
        <w:rPr>
          <w:rFonts w:hint="default" w:ascii="黑体" w:hAnsi="黑体" w:eastAsia="黑体"/>
          <w:color w:val="auto"/>
          <w:sz w:val="21"/>
          <w:szCs w:val="21"/>
          <w:lang w:val="en-US" w:eastAsia="zh-CN"/>
        </w:rPr>
      </w:pPr>
      <w:r>
        <w:rPr>
          <w:rFonts w:hint="eastAsia" w:ascii="黑体" w:hAnsi="黑体" w:eastAsia="黑体"/>
          <w:b/>
          <w:color w:val="auto"/>
          <w:sz w:val="21"/>
          <w:szCs w:val="21"/>
          <w:vertAlign w:val="superscript"/>
          <w:lang w:val="en-US" w:eastAsia="zh-CN"/>
        </w:rPr>
        <w:t>b</w:t>
      </w:r>
      <w:r>
        <w:rPr>
          <w:rFonts w:hint="eastAsia" w:ascii="黑体" w:hAnsi="黑体" w:eastAsia="黑体"/>
          <w:color w:val="auto"/>
          <w:sz w:val="21"/>
          <w:szCs w:val="21"/>
          <w:lang w:val="en-US" w:eastAsia="zh-CN"/>
        </w:rPr>
        <w:t>加州大学尔湾分校&amp;VMware研究院，尔湾市，加利福尼亚州，美国</w:t>
      </w:r>
    </w:p>
    <w:p w14:paraId="631074B2">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ascii="黑体" w:hAnsi="黑体" w:eastAsia="黑体"/>
          <w:color w:val="auto"/>
          <w:sz w:val="24"/>
          <w:szCs w:val="24"/>
        </w:rPr>
      </w:pPr>
      <w:r>
        <w:rPr>
          <w:rFonts w:hint="eastAsia" w:ascii="黑体" w:hAnsi="黑体" w:eastAsia="黑体"/>
          <w:b/>
          <w:color w:val="auto"/>
          <w:sz w:val="24"/>
          <w:szCs w:val="24"/>
        </w:rPr>
        <w:t>摘 要</w:t>
      </w:r>
      <w:r>
        <w:rPr>
          <w:rFonts w:hint="eastAsia" w:ascii="黑体" w:hAnsi="黑体" w:eastAsia="黑体"/>
          <w:color w:val="auto"/>
          <w:sz w:val="24"/>
          <w:szCs w:val="24"/>
        </w:rPr>
        <w:t xml:space="preserve"> </w:t>
      </w:r>
      <w:r>
        <w:rPr>
          <w:rFonts w:hint="eastAsia" w:ascii="黑体" w:hAnsi="黑体" w:eastAsia="黑体"/>
          <w:color w:val="auto"/>
          <w:sz w:val="24"/>
          <w:szCs w:val="24"/>
          <w:lang w:val="en-US" w:eastAsia="zh-CN"/>
        </w:rPr>
        <w:t>机器学习的快速发展需要大量的计算能力和内存来进行训练，而这目前只有大型企业才能负担得起。像学术机构这样的小型用户通常只有本地的消费级GPU集群，并且只能有限地使用云端GPU实例。然而，在多集群环境下，训练性能会显著下降。本文旨在探索加速训练的独特机遇，并提出StellaTrain——一个能够在多云环境下实现接近最优训练速度的整体框架。StellaTrain动态地调整多种加速技术的组合，以最大限度地缩短模型训练达到准确所需的时间。StellaTrain引入了诸如缓存感知梯度压缩和基于CPU的稀疏优化器等新型加速技术，以最大限度地利用GPU并优化训练流程。借助优化后的流程，StellaTrain能够整体确定训练配置，从而优化总训练时间。我们证明，StellaTrain 在集群间环境中，通过调整训练配置以适应动态波动的网络带宽，实现了比 PyTorch DDP 高达 104 倍的加速。StellaTrain 还证明，我们可以通过系统优化来应对有限的网络带宽，在100 Mbps 和500 Mbps 的网络带宽上分别实现了高达 257.3 倍和 78.1 倍的加速。最后，StellaTrain 支持利用本地和云集群进行高效的协同训练，从而将成本降低 64.5%，同时将训练时间缩短 28.9%</w:t>
      </w:r>
      <w:r>
        <w:rPr>
          <w:rFonts w:hint="eastAsia" w:ascii="黑体" w:hAnsi="黑体" w:eastAsia="黑体"/>
          <w:color w:val="auto"/>
          <w:sz w:val="24"/>
          <w:szCs w:val="24"/>
        </w:rPr>
        <w:t>。</w:t>
      </w:r>
    </w:p>
    <w:p w14:paraId="694A74A1">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color w:val="auto"/>
          <w:sz w:val="24"/>
          <w:szCs w:val="24"/>
          <w:lang w:val="en-US" w:eastAsia="zh-CN"/>
        </w:rPr>
      </w:pPr>
      <w:r>
        <w:rPr>
          <w:rFonts w:hint="eastAsia" w:ascii="黑体" w:hAnsi="黑体" w:eastAsia="黑体"/>
          <w:b/>
          <w:color w:val="auto"/>
          <w:sz w:val="24"/>
          <w:szCs w:val="24"/>
          <w:lang w:val="en-US" w:eastAsia="zh-CN"/>
        </w:rPr>
        <w:t>分类概念</w:t>
      </w:r>
      <w:r>
        <w:rPr>
          <w:rFonts w:hint="eastAsia" w:ascii="黑体" w:hAnsi="黑体" w:eastAsia="黑体"/>
          <w:b/>
          <w:color w:val="auto"/>
          <w:sz w:val="24"/>
          <w:szCs w:val="24"/>
        </w:rPr>
        <w:t xml:space="preserve"> </w:t>
      </w:r>
      <w:r>
        <w:rPr>
          <w:rFonts w:hint="eastAsia" w:ascii="黑体" w:hAnsi="黑体" w:eastAsia="黑体"/>
          <w:color w:val="auto"/>
          <w:sz w:val="24"/>
          <w:szCs w:val="24"/>
          <w:lang w:val="en-US" w:eastAsia="zh-CN"/>
        </w:rPr>
        <w:t>• 计算机系统组织 → 云计算；• 计算方法 → 机器学习</w:t>
      </w:r>
    </w:p>
    <w:p w14:paraId="516D3756">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b/>
          <w:color w:val="auto"/>
          <w:sz w:val="24"/>
          <w:szCs w:val="24"/>
        </w:rPr>
      </w:pPr>
      <w:r>
        <w:rPr>
          <w:rFonts w:hint="eastAsia" w:ascii="黑体" w:hAnsi="黑体" w:eastAsia="黑体"/>
          <w:b/>
          <w:color w:val="auto"/>
          <w:sz w:val="24"/>
          <w:szCs w:val="24"/>
        </w:rPr>
        <w:t xml:space="preserve">关键词 </w:t>
      </w:r>
      <w:r>
        <w:rPr>
          <w:rFonts w:hint="eastAsia" w:ascii="黑体" w:hAnsi="黑体" w:eastAsia="黑体"/>
          <w:color w:val="auto"/>
          <w:sz w:val="24"/>
          <w:szCs w:val="24"/>
          <w:lang w:val="en-US" w:eastAsia="zh-CN"/>
        </w:rPr>
        <w:t>机器学习系统；分布式训练；云计算；消费级GPU</w:t>
      </w:r>
    </w:p>
    <w:p w14:paraId="65F0AC9D">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1. 引言</w:t>
      </w:r>
    </w:p>
    <w:p w14:paraId="2F95FDC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机器学习 (ML) 领域经历了令人瞩目的增长，这主要得益于日益复杂的模型 [7, 12, 51] 和大型数据集 [10] 的发展。由于训练这些模型需要大量的计算能力和内存，因此跨多个节点和 GPU 的分布式训练方法逐渐受到重视 [26]。然而，大规模分布式学习成本高昂，需要数据中心级 GPU [30]（单价超过 10,000 美元）、GPU 之间的高速互连（例如 NVLink 或 NVSwitch [31]）以及速度高达 800 Gbps 的 GPU 专用网络 [45]。</w:t>
      </w:r>
    </w:p>
    <w:p w14:paraId="1D07C49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许多人工智能研究人员由于消费级 GPU 的成本效益，在实验室规模的环境中利用它们进行训练 [11]。例如，RTX 4090 的训练速度仅为数据中心级 A100 GPU 的五分之一，但训练速度却达到了后者的 73%。</w:t>
      </w:r>
    </w:p>
    <w:p w14:paraId="0B1448C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然而，使用消费级GPU进行分布式训练速度极慢，因为梯度交换常常受限于稀缺的网络带宽，最终导致GPU利用率不足[2]。这种瓶颈在混合集群环境中更为严重，因为研究人员会使用有限的云端GPU实例来增强本地实验室资源，并且通过带宽受限且波动较大的广域网</w:t>
      </w:r>
      <w:r>
        <w:rPr>
          <w:rFonts w:hint="eastAsia" w:ascii="宋体" w:hAnsi="宋体" w:eastAsia="宋体" w:cs="宋体"/>
          <w:color w:val="auto"/>
          <w:sz w:val="24"/>
          <w:szCs w:val="28"/>
          <w:lang w:val="en-US" w:eastAsia="zh-CN"/>
        </w:rPr>
        <w:t>（</w:t>
      </w:r>
      <w:r>
        <w:rPr>
          <w:rFonts w:hint="eastAsia" w:ascii="宋体" w:hAnsi="宋体" w:eastAsia="宋体" w:cs="宋体"/>
          <w:color w:val="auto"/>
          <w:sz w:val="24"/>
          <w:szCs w:val="28"/>
          <w:lang w:val="en-US"/>
        </w:rPr>
        <w:t>WAN</w:t>
      </w:r>
      <w:r>
        <w:rPr>
          <w:rFonts w:hint="eastAsia" w:ascii="宋体" w:hAnsi="宋体" w:eastAsia="宋体" w:cs="宋体"/>
          <w:color w:val="auto"/>
          <w:sz w:val="24"/>
          <w:szCs w:val="28"/>
          <w:lang w:val="en-US" w:eastAsia="zh-CN"/>
        </w:rPr>
        <w:t>）</w:t>
      </w:r>
      <w:r>
        <w:rPr>
          <w:rFonts w:hint="eastAsia" w:ascii="宋体" w:hAnsi="宋体" w:eastAsia="宋体" w:cs="宋体"/>
          <w:color w:val="auto"/>
          <w:sz w:val="24"/>
          <w:szCs w:val="28"/>
          <w:lang w:val="en-US"/>
        </w:rPr>
        <w:t>在多个集群间协作训练单个模型[20]（图1）。</w:t>
      </w:r>
    </w:p>
    <w:p w14:paraId="5D1B03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现有的加速训练方法，例如梯度压缩[3, 4, 14, 19, 38, 43, 48]和流水线技术[23, 33, 41, 46, 53]，需要在具有100Gbps以上GPU间连接的数据中心环境中运行。这些解决方案需要至少25Gbps的节点间带宽[41, 45, 46]才能实现高效率。然而，在带宽低几个数量级的典型广域网环境中，这些方法面临着巨大的挑战。首先，在依赖同步更新的系统中，即使采用压缩，现有流水线也会因梯度传输时间延长而失效，导致GPU流水线停滞。其次，依赖异步更新的系统[8, 49, 52, 54]会导致数据过度滞后，显著降低模型收敛速度。</w:t>
      </w:r>
    </w:p>
    <w:p w14:paraId="6237BB13">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五十年来，图像去噪技术都备受关注。最初，非线性和非自适应被用于图像应用。与线性滤波器不同，非线性滤波器可以保留边缘信息以抑制噪声。</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E1026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2932066">
            <w:pPr>
              <w:keepNext w:val="0"/>
              <w:keepLines w:val="0"/>
              <w:pageBreakBefore w:val="0"/>
              <w:widowControl w:val="0"/>
              <w:tabs>
                <w:tab w:val="left" w:pos="6510"/>
              </w:tabs>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935" distR="114935">
                  <wp:extent cx="5262245" cy="1422400"/>
                  <wp:effectExtent l="0" t="0" r="8255" b="0"/>
                  <wp:docPr id="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
                          <pic:cNvPicPr>
                            <a:picLocks noChangeAspect="1"/>
                          </pic:cNvPicPr>
                        </pic:nvPicPr>
                        <pic:blipFill>
                          <a:blip r:embed="rId6"/>
                          <a:stretch>
                            <a:fillRect/>
                          </a:stretch>
                        </pic:blipFill>
                        <pic:spPr>
                          <a:xfrm>
                            <a:off x="0" y="0"/>
                            <a:ext cx="5262245" cy="1422400"/>
                          </a:xfrm>
                          <a:prstGeom prst="rect">
                            <a:avLst/>
                          </a:prstGeom>
                          <a:noFill/>
                          <a:ln>
                            <a:noFill/>
                          </a:ln>
                        </pic:spPr>
                      </pic:pic>
                    </a:graphicData>
                  </a:graphic>
                </wp:inline>
              </w:drawing>
            </w:r>
          </w:p>
        </w:tc>
      </w:tr>
      <w:tr w14:paraId="195C9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F51C132">
            <w:pPr>
              <w:jc w:val="center"/>
              <w:rPr>
                <w:rFonts w:hint="default" w:ascii="Times New Roman" w:hAnsi="Times New Roman" w:eastAsia="宋体" w:cs="Times New Roman"/>
                <w:sz w:val="24"/>
                <w:szCs w:val="28"/>
                <w:vertAlign w:val="baseline"/>
              </w:rPr>
            </w:pPr>
            <w:r>
              <w:rPr>
                <w:rFonts w:hint="default" w:ascii="Times New Roman" w:hAnsi="Times New Roman" w:eastAsia="宋体" w:cs="Times New Roman"/>
                <w:sz w:val="21"/>
                <w:szCs w:val="21"/>
              </w:rPr>
              <w:t>图:一个包含两个本地实验室集群和一个云集群的多集群环境。</w:t>
            </w:r>
          </w:p>
        </w:tc>
      </w:tr>
    </w:tbl>
    <w:p w14:paraId="2BDEF84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lang w:val="en-US"/>
        </w:rPr>
      </w:pPr>
      <w:r>
        <w:rPr>
          <w:rFonts w:hint="default" w:ascii="Times New Roman" w:hAnsi="Times New Roman" w:eastAsia="宋体" w:cs="Times New Roman"/>
          <w:sz w:val="24"/>
          <w:szCs w:val="28"/>
        </w:rPr>
        <w:t>本文提出了 StellaTrain，这是首个用于分布式训练的框架，旨在最大限度地缩短模型在广域网 (WAN) 分隔的多集群环境中的训练时间。它也是首个在多云环境中实现接近最优训练速度的框架。我们引入了两个关键技术来实现如此高的训练速度。首先，StellaTrain 采用梯度压缩技术，在低带宽环境下有效利用网络，并利用由此产生的梯度稀疏性来设计计算高效的压缩和优化方法。</w:t>
      </w:r>
    </w:p>
    <w:p w14:paraId="677C4C4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在 99% 的压缩率下，优化速度提升了 128 倍，从而可以将优化任务卸载到 CPU 上，进一步简化训练流程。其次，StellaTrain 引入了逐层部分延迟机制，即某些层立即接收梯度更新，而其他层则延迟一次迭代。这确保梯度更新以最小的延迟同步执行，并且压缩梯度的传输与计算完全交错进行。</w:t>
      </w:r>
    </w:p>
    <w:p w14:paraId="0FC901A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然而，同时引入部分延迟和压缩带来了新的挑战。与依赖同步更新的现有系统相比，部分延迟的使用使得收敛速度对压缩率和训练批次大小更加敏感。这意味着盲目地优化 GPU 利用率可能无法在我们的环境中最大限度地缩短达到准确所需的时间。此外，超参数（例如批次大小和压缩率）的最优值会随着 WAN 带宽的变化而动态变化，因此必须实时调整这些参数。例如，WAN 带宽降低需要更高的压缩率和/或更大的批次大小，但这些调整可能会影响收敛速度，因此需要仔细的实时优化。为此，我们重新评估了各种超参数在“陈旧性”条件下对 TTA 的两个关键决定因素——收敛速度和迭代速度——的影响。最后，为了在给定当前带宽的情况下找到最佳批大小和压缩率，StellaTrain 采用了贝叶斯优化和 Nelder-Mead 方法，该方法能够有效地从庞大的搜索空间中找到最优解。</w:t>
      </w:r>
    </w:p>
    <w:p w14:paraId="29828EC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我们的评估表明，StellaTrain 能够有效地利用分布在多个集群上的消费级 GPU 来最小化达到准确所需的时间 (TTA</w:t>
      </w:r>
      <w:r>
        <w:rPr>
          <w:rFonts w:hint="eastAsia" w:ascii="Times New Roman" w:hAnsi="Times New Roman" w:eastAsia="宋体" w:cs="Times New Roman"/>
          <w:sz w:val="24"/>
          <w:szCs w:val="28"/>
          <w:lang w:eastAsia="zh-CN"/>
        </w:rPr>
        <w:t>）</w:t>
      </w:r>
      <w:r>
        <w:rPr>
          <w:rFonts w:hint="default" w:ascii="Times New Roman" w:hAnsi="Times New Roman" w:eastAsia="宋体" w:cs="Times New Roman"/>
          <w:sz w:val="24"/>
          <w:szCs w:val="28"/>
        </w:rPr>
        <w:t>。我们的实现表明，StellaTrain 能够成功地将训练策略适应不同的网络条件 [13]，并且在广域网带宽可变的环境中，与 PyTorch DDP [26] 相比，TTA 最多可降低 104 倍。</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28B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E1DD7B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300" distR="114300">
                  <wp:extent cx="3994150" cy="1709420"/>
                  <wp:effectExtent l="0" t="0" r="6350" b="5080"/>
                  <wp:docPr id="1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3"/>
                          <pic:cNvPicPr>
                            <a:picLocks noChangeAspect="1"/>
                          </pic:cNvPicPr>
                        </pic:nvPicPr>
                        <pic:blipFill>
                          <a:blip r:embed="rId7"/>
                          <a:stretch>
                            <a:fillRect/>
                          </a:stretch>
                        </pic:blipFill>
                        <pic:spPr>
                          <a:xfrm>
                            <a:off x="0" y="0"/>
                            <a:ext cx="3994150" cy="1709420"/>
                          </a:xfrm>
                          <a:prstGeom prst="rect">
                            <a:avLst/>
                          </a:prstGeom>
                          <a:noFill/>
                          <a:ln>
                            <a:noFill/>
                          </a:ln>
                        </pic:spPr>
                      </pic:pic>
                    </a:graphicData>
                  </a:graphic>
                </wp:inline>
              </w:drawing>
            </w:r>
          </w:p>
        </w:tc>
      </w:tr>
      <w:tr w14:paraId="3992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4960E43">
            <w:pPr>
              <w:jc w:val="center"/>
              <w:rPr>
                <w:rFonts w:hint="default" w:ascii="Times New Roman" w:hAnsi="Times New Roman" w:eastAsia="宋体" w:cs="Times New Roman"/>
                <w:sz w:val="24"/>
                <w:szCs w:val="28"/>
                <w:vertAlign w:val="baseline"/>
              </w:rPr>
            </w:pPr>
            <w:r>
              <w:rPr>
                <w:rFonts w:hint="eastAsia" w:ascii="Times New Roman" w:hAnsi="Times New Roman" w:eastAsia="宋体" w:cs="Times New Roman"/>
                <w:sz w:val="21"/>
                <w:szCs w:val="21"/>
                <w:lang w:val="en-US" w:eastAsia="zh-CN"/>
              </w:rPr>
              <w:t xml:space="preserve">图2: </w:t>
            </w:r>
            <w:r>
              <w:rPr>
                <w:rFonts w:hint="default" w:ascii="Times New Roman" w:hAnsi="Times New Roman" w:eastAsia="宋体" w:cs="Times New Roman"/>
                <w:sz w:val="21"/>
                <w:szCs w:val="21"/>
              </w:rPr>
              <w:t>模型大小与批处理时间的关系。带宽线显示了模型大小与批处理时间的比率</w:t>
            </w:r>
            <w:r>
              <w:rPr>
                <w:rFonts w:hint="default" w:ascii="Times New Roman" w:hAnsi="Times New Roman" w:eastAsia="宋体" w:cs="Times New Roman"/>
                <w:sz w:val="21"/>
                <w:szCs w:val="21"/>
                <w:lang w:val="en-US"/>
              </w:rPr>
              <w:t>。</w:t>
            </w:r>
            <w:r>
              <w:rPr>
                <w:rFonts w:hint="default" w:ascii="Times New Roman" w:hAnsi="Times New Roman" w:eastAsia="宋体" w:cs="Times New Roman"/>
                <w:sz w:val="21"/>
                <w:szCs w:val="21"/>
              </w:rPr>
              <w:t>大多数模型需要较大的带宽进行梯度交换，超出了 CloudLab [13] 的广域网带宽范围。</w:t>
            </w:r>
          </w:p>
        </w:tc>
      </w:tr>
    </w:tbl>
    <w:p w14:paraId="68941B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我们验证了在 100 Mbps 和 500 Mbps 的集群间带宽设置下，StellaTrain 相较于 PyTorch DDP 分别可将训练时间 (TTA) 缩短高达 257.3 倍和 78.1 倍。最后，我们证明，通过在多集群架构中结合公有云和本地集群，StellaTrain 可以降低 64.5% 的云成本，同时将训练时间缩短 28.9%。</w:t>
      </w:r>
    </w:p>
    <w:p w14:paraId="511F7A51">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rPr>
        <w:t>2.</w:t>
      </w:r>
      <w:r>
        <w:rPr>
          <w:rFonts w:hint="eastAsia" w:eastAsiaTheme="minorHAnsi"/>
          <w:color w:val="auto"/>
          <w:sz w:val="24"/>
          <w:szCs w:val="24"/>
        </w:rPr>
        <w:t xml:space="preserve"> </w:t>
      </w:r>
      <w:r>
        <w:rPr>
          <w:rFonts w:hint="eastAsia" w:eastAsiaTheme="minorHAnsi"/>
          <w:color w:val="auto"/>
          <w:sz w:val="24"/>
          <w:szCs w:val="24"/>
          <w:lang w:val="en-US" w:eastAsia="zh-CN"/>
        </w:rPr>
        <w:t>动机</w:t>
      </w:r>
    </w:p>
    <w:p w14:paraId="0E8B758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719C97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2.1实验室规模集群中的深度学习训练</w:t>
      </w:r>
    </w:p>
    <w:p w14:paraId="678E9CB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420CD4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由于成本效益高，许多学术研究人员和机器学习从业者在其本地实验室环境中采用消费级GPU。为了验证模型有效性并快速获得反馈，研究人员更倾向于始终拥有可用的GPU资源，而不是在共享集群上排队等待。由于成本高昂（例如，8块A100 GPU每月费用为23,924美元[39]），使用公共云并非可行之选。</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22AAC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9D3D15E">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rPr>
              <w:t>表1 加速策略对训练指标的影响。每项技术可能对训练效果产生积极（标记为</w:t>
            </w:r>
            <w:r>
              <w:rPr>
                <w:rFonts w:hint="eastAsia" w:ascii="Times New Roman" w:hAnsi="Times New Roman" w:eastAsia="宋体" w:cs="Times New Roman"/>
                <w:sz w:val="21"/>
                <w:szCs w:val="21"/>
              </w:rPr>
              <w:sym w:font="Wingdings" w:char="004A"/>
            </w:r>
            <w:r>
              <w:rPr>
                <w:rFonts w:hint="eastAsia" w:ascii="Times New Roman" w:hAnsi="Times New Roman" w:eastAsia="宋体" w:cs="Times New Roman"/>
                <w:sz w:val="21"/>
                <w:szCs w:val="21"/>
              </w:rPr>
              <w:t>）或消极（标记为</w:t>
            </w:r>
            <w:r>
              <w:rPr>
                <w:rFonts w:hint="eastAsia" w:ascii="Times New Roman" w:hAnsi="Times New Roman" w:eastAsia="宋体" w:cs="Times New Roman"/>
                <w:sz w:val="21"/>
                <w:szCs w:val="21"/>
              </w:rPr>
              <w:sym w:font="Wingdings" w:char="004C"/>
            </w:r>
            <w:r>
              <w:rPr>
                <w:rFonts w:hint="eastAsia" w:ascii="Times New Roman" w:hAnsi="Times New Roman" w:eastAsia="宋体" w:cs="Times New Roman"/>
                <w:sz w:val="21"/>
                <w:szCs w:val="21"/>
              </w:rPr>
              <w:t>）的影响。标记为？的组成部分的性能会根据参数的选择而变化。</w:t>
            </w:r>
          </w:p>
        </w:tc>
      </w:tr>
      <w:tr w14:paraId="58A16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156083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8595" cy="2586355"/>
                  <wp:effectExtent l="0" t="0" r="1905" b="4445"/>
                  <wp:docPr id="1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4"/>
                          <pic:cNvPicPr>
                            <a:picLocks noChangeAspect="1"/>
                          </pic:cNvPicPr>
                        </pic:nvPicPr>
                        <pic:blipFill>
                          <a:blip r:embed="rId8"/>
                          <a:stretch>
                            <a:fillRect/>
                          </a:stretch>
                        </pic:blipFill>
                        <pic:spPr>
                          <a:xfrm>
                            <a:off x="0" y="0"/>
                            <a:ext cx="5268595" cy="2586355"/>
                          </a:xfrm>
                          <a:prstGeom prst="rect">
                            <a:avLst/>
                          </a:prstGeom>
                          <a:noFill/>
                          <a:ln>
                            <a:noFill/>
                          </a:ln>
                        </pic:spPr>
                      </pic:pic>
                    </a:graphicData>
                  </a:graphic>
                </wp:inline>
              </w:drawing>
            </w:r>
          </w:p>
        </w:tc>
      </w:tr>
    </w:tbl>
    <w:p w14:paraId="55B8F7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随着机器学习从业者扩展模型规模并处理更大的数据集，计算需求可能会超出本地GPU集群的承载能力，导致每个训练周期的周转时间过长。因此，他们可能需要利用远程资源来增强计算能力，从而加速训练。例如，合作的学术团队可以汇集资源，以提高大规模训练任务的整体性能。CloudLab集群[13]就是这样一种模式，它在广域网上部署了各种GPU，供学术界共享使用。此外，学术界还可以将公共云资源与实验室资源结合使用。</w:t>
      </w:r>
    </w:p>
    <w:p w14:paraId="2ACC60B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这种环境下进行训练的核心问题是，广域网带宽相对较低且波动较大，导致梯度传输严重受限，从而显著影响高端GPU的性能。尖端模型需要传输数十GB的梯度数据，如图2所示。模型大小除以训练批次的处理时间，即可得出所需的带宽，图中用十字表示。大多数模型的带宽需求超出了犹他州和威斯康星州CloudLab集群[13]之间测得的WAN带宽范围，该带宽在50Mbps到600Mbps之间波动，平均为193Mbps。在我们的实验中，使用1Gbps的节点间连接，训练ResNet50模型会导致集群在整个训练期间仅利用云端17%的资源。这种低效导致训练时间延长和资源浪费。StellaTrain确保跨多个集群充分利用所有可用的GPU，有效消除空闲等待时间。因此，StellaTrain在多集群环境中可以提供与纯公共云环境相当的训练性能。正如我们的评估所示，这减少了训练时间和云资源的使用，从而分别使 FP32 和 FP16 训练的成本节省了 64.5% 和 45.1%。</w:t>
      </w:r>
    </w:p>
    <w:p w14:paraId="2147F74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2.2 TTA方向优化的必要性</w:t>
      </w:r>
    </w:p>
    <w:p w14:paraId="07BDE9B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不同的加速策略对 TTA（迭代时间）的影响各不相同，TTA 是迭代速度和收敛速度的乘积。一些策略，例如流水线技术，可以在不影响收敛速度的情况下提高迭代速度。</w:t>
      </w:r>
    </w:p>
    <w:p w14:paraId="5E8DB4D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然而，其他一些解决方案，例如梯度压缩和陈旧性，则可能产生双刃剑效应——它们可以提高迭代速度，但会降低收敛速度。表 1 总结了 StellaTrain 的策略如何影响决定 TTA 的一个或两个因素：迭代时间和收敛速度。在这些策略中，表中的最后三个策略——流水线技术、稀疏优化器和缓存感知梯度压缩——都是系统优化，它们可以提高 GPU 利用率，从而提高迭代速度，而不会影响收敛速度。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195BA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50FB6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drawing>
                <wp:inline distT="0" distB="0" distL="114300" distR="114300">
                  <wp:extent cx="5262880" cy="1700530"/>
                  <wp:effectExtent l="0" t="0" r="7620" b="1270"/>
                  <wp:docPr id="158" name="图片 158" descr="截屏2025-11-26 上午3.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截屏2025-11-26 上午3.25.54"/>
                          <pic:cNvPicPr>
                            <a:picLocks noChangeAspect="1"/>
                          </pic:cNvPicPr>
                        </pic:nvPicPr>
                        <pic:blipFill>
                          <a:blip r:embed="rId9"/>
                          <a:stretch>
                            <a:fillRect/>
                          </a:stretch>
                        </pic:blipFill>
                        <pic:spPr>
                          <a:xfrm>
                            <a:off x="0" y="0"/>
                            <a:ext cx="5262880" cy="1700530"/>
                          </a:xfrm>
                          <a:prstGeom prst="rect">
                            <a:avLst/>
                          </a:prstGeom>
                        </pic:spPr>
                      </pic:pic>
                    </a:graphicData>
                  </a:graphic>
                </wp:inline>
              </w:drawing>
            </w:r>
          </w:p>
        </w:tc>
      </w:tr>
      <w:tr w14:paraId="5973E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BFB46CD">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3 显示了不同批大小和压缩率组合的收敛速度。</w:t>
            </w:r>
          </w:p>
        </w:tc>
      </w:tr>
    </w:tbl>
    <w:p w14:paraId="5C40CD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前三个策略具有可调参数，其总体影响取决于这些参数。因此，需要谨慎使用这些策略。即使单独来看，确定上述技术的最佳配置也极具挑战性，因为它取决于可变的网络状况和模型的复杂性/规模。此外，当同时采用两种或多种加速技术时，调整其中一种技术可能会无意中降低收敛速度；因此，联合优化参数是必要的。例如，两种配置在无过时的情况下实现了相同的迭代时间和 TTA，但在出现过时梯度更新（延迟一次迭代）的情况下，可能会表现出不同的收敛速度。</w:t>
      </w:r>
    </w:p>
    <w:p w14:paraId="745185E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尽管它们在迭代时间方面都相同，但它们的收敛速度，以及它们的 TTA，却不同。由于这些策略之间的相互依赖性，预测多策略系统中配置更改的影响要复杂得多。因此，在广域网 (WAN) 分隔的多集群环境中，采用整体方法来最小化传输时间差 (TTA) 至关重要。</w:t>
      </w:r>
    </w:p>
    <w:p w14:paraId="1FD6AF0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最后，由于集群间的网络带宽有限且波动频繁 [37]，最佳配置会根据网络状况随时间而变化。</w:t>
      </w:r>
    </w:p>
    <w:p w14:paraId="2D7F176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lang w:val="en-US" w:eastAsia="zh-CN"/>
        </w:rPr>
        <w:t>3 优化训练流程</w:t>
      </w:r>
    </w:p>
    <w:p w14:paraId="44E100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重新审视了 CPU 卸载和模型过时问题，以简化流程，并提出了以下观察结果：</w:t>
      </w:r>
    </w:p>
    <w:p w14:paraId="147E387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GPU 之间直接数据交换 [32] 在消费级 GPU 中不受支持。因此，CPU 在梯度传输中扮演着关键角色。路径上 CPU 的存在为卸载压缩和模型优化等任务提供了机会。然而，CPU 的优化和压缩速度比 GPU 慢一个数量级。因此，迫切需要增强基于 CPU 的优化能力。</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8838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3E835EE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455035" cy="3569970"/>
                  <wp:effectExtent l="0" t="0" r="1206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455035" cy="3569970"/>
                          </a:xfrm>
                          <a:prstGeom prst="rect">
                            <a:avLst/>
                          </a:prstGeom>
                          <a:noFill/>
                          <a:ln>
                            <a:noFill/>
                          </a:ln>
                        </pic:spPr>
                      </pic:pic>
                    </a:graphicData>
                  </a:graphic>
                </wp:inline>
              </w:drawing>
            </w:r>
          </w:p>
        </w:tc>
      </w:tr>
      <w:tr w14:paraId="04B38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4C64317">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 xml:space="preserve">图 </w:t>
            </w:r>
            <w:r>
              <w:rPr>
                <w:rFonts w:hint="default" w:ascii="Times New Roman" w:hAnsi="Times New Roman" w:eastAsia="宋体" w:cs="Times New Roman"/>
                <w:sz w:val="21"/>
                <w:szCs w:val="21"/>
                <w:lang w:val="en-US" w:eastAsia="zh-CN"/>
              </w:rPr>
              <w:t>4</w:t>
            </w:r>
            <w:r>
              <w:rPr>
                <w:rFonts w:hint="eastAsia" w:ascii="Times New Roman" w:hAnsi="Times New Roman" w:eastAsia="宋体" w:cs="Times New Roman"/>
                <w:sz w:val="21"/>
                <w:szCs w:val="21"/>
                <w:lang w:val="en-US" w:eastAsia="zh-CN"/>
              </w:rPr>
              <w:t xml:space="preserve"> 训练流程比较。</w:t>
            </w:r>
          </w:p>
        </w:tc>
      </w:tr>
    </w:tbl>
    <w:p w14:paraId="067A118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在广域网环境中，带宽通常比数据中心网络低几个数量级，因此无法及时传输梯度以供下一次迭代使用。如图 4(a) 所示，即使采用梯度压缩，这种同步更新也必然会导致 GPU 利用率不足。</w:t>
      </w:r>
    </w:p>
    <w:p w14:paraId="374405C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策略性地将压缩和优化任务卸载到CPU，并在梯度更新中采用精心设计的局部过期机制，从而创建了一个充分利用 GPU 的流水线，如图 4(b) 所示。基于 CPU 的稀疏优化器（§3.1）和梯度稀疏化/压缩（§3.2）相结合，通过利用计算稀疏性和缓存感知，实现了128 倍的加速。StellaTrain 通过优先处理流水线中最先出现的层来调度梯度传输，并对剩余层利用局部过期更新（§3.3）。</w:t>
      </w:r>
    </w:p>
    <w:p w14:paraId="37981E4F">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优势。</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总体而言，我们的流水线设计提供了三大关键优势。首先，静态数据使我们能够高效地将基于 GPU 的计算（包括前向传播和反向传播）与基于 CPU 的操作（例如压缩和优化）以及通信（包括节点内部和节点之间的通信）重叠。其次，CPU 卸载设计利用了 CPU 内存中已有的梯度进行梯度传递。第三，它释放了 GPU 资源，用于计算量更大的前向传播和反向传播。受内存限制的消费级 GPU 只能使用较小的批处理大小。这导致优化和压缩阶段占用了相对较大的处理时间。它们占总处理时间的 43% 以上。通过将这些计算密集型任务卸载到 CPU，StellaTrain 不仅更好地利用了可用资源，而且避免了整个训练过程的显著减速，最高可实现 7.6 倍的加速。</w:t>
      </w:r>
    </w:p>
    <w:p w14:paraId="325BBF2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3.1 基于 CPU 的稀疏优化器</w:t>
      </w:r>
    </w:p>
    <w:p w14:paraId="491E84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优化步骤涉及参数张量和梯度张量之间的大量矩阵运算。由于 CPU 固有的计算并行性限制，这些运算在 CPU 上速度很慢。例如，使用 CPU 优化 ViT-B 模型所需的时间是使用 GPU（RTX 2080 Ti）的 17.2 倍。为了加速 CPU 上的优化，我们引入了稀疏优化器，它利用了以下两个关键特性：</w:t>
      </w:r>
    </w:p>
    <w:p w14:paraId="626D81B0">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每个模型参数的独立性：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每个模型参数都是独立更新的，这一特性适用于大多数标准优化算法，包括随机梯度下降 (SGD) [36]。这种独立的更新过程通常可以用方程 </w:t>
      </w:r>
      <m:oMath>
        <m:r>
          <m:rPr/>
          <w:rPr>
            <w:rFonts w:hint="default" w:ascii="DejaVu Math TeX Gyre" w:hAnsi="DejaVu Math TeX Gyre"/>
            <w:sz w:val="24"/>
          </w:rPr>
          <m:t>x←x+λg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表示，其中</w:t>
      </w:r>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DejaVu Math TeX Gyre" w:hAnsi="DejaVu Math TeX Gyre"/>
            <w:sz w:val="24"/>
          </w:rPr>
          <m:t>λ</m:t>
        </m:r>
      </m:oMath>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表示学习率，</w:t>
      </w:r>
      <m:oMath>
        <m:r>
          <m:rPr/>
          <w:rPr>
            <w:rFonts w:hint="default" w:ascii="DejaVu Math TeX Gyre" w:hAnsi="DejaVu Math TeX Gyre"/>
            <w:sz w:val="24"/>
          </w:rPr>
          <m:t>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表示参数的梯度。</w:t>
      </w:r>
    </w:p>
    <w:p w14:paraId="390E10D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稀疏化梯度显著减少：</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在采用压缩（稀疏化）的情况下，稀疏化梯度中的元素数量与原始参数集相比大大减少。</w:t>
      </w:r>
    </w:p>
    <w:p w14:paraId="7DB96EE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现有的处理压缩梯度的优化器[46]忽略了这些特性，并简单地执行解压缩，即，在应用优化之前，通过填充稀疏元素的零值来生成稠密梯度张量。因此，无论梯度多么稀疏，优化时间都保持不变。</w:t>
      </w:r>
    </w:p>
    <w:p w14:paraId="1B24164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相比之下，我们的稀疏优化器计算量与非零梯度的数量呈线性正比，这在我们梯度高度压缩的环境中带来了显著的优势。该优化器直接对稀疏梯度进行优化，无需解压缩成稠密矩阵。利用每个模型参数的独立性，它逐元素地更新与非零梯度相关的参数，避免了更新零梯度参数的计算冗余。因此，我们观察到总计算量</w:t>
      </w:r>
    </w:p>
    <w:p w14:paraId="423E42D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显著减少了 </w:t>
      </w:r>
      <m:oMath>
        <m:f>
          <m:fPr>
            <m:ctrlPr>
              <w:rPr>
                <w:rFonts w:hint="default" w:ascii="DejaVu Math TeX Gyre" w:hAnsi="DejaVu Math TeX Gyre"/>
                <w:i/>
                <w:sz w:val="24"/>
              </w:rPr>
            </m:ctrlPr>
          </m:fPr>
          <m:num>
            <m:r>
              <m:rPr/>
              <w:rPr>
                <w:rFonts w:hint="default" w:ascii="DejaVu Math TeX Gyre" w:hAnsi="DejaVu Math TeX Gyre"/>
                <w:sz w:val="24"/>
              </w:rPr>
              <m:t>1</m:t>
            </m:r>
            <m:ctrlPr>
              <w:rPr>
                <w:rFonts w:ascii="DejaVu Math TeX Gyre" w:hAnsi="DejaVu Math TeX Gyre"/>
                <w:sz w:val="24"/>
              </w:rPr>
            </m:ctrlPr>
          </m:num>
          <m:den>
            <m:r>
              <m:rPr/>
              <w:rPr>
                <w:rFonts w:hint="default" w:ascii="DejaVu Math TeX Gyre" w:hAnsi="DejaVu Math TeX Gyre"/>
                <w:sz w:val="24"/>
              </w:rPr>
              <m:t>1−r</m:t>
            </m:r>
            <m:ctrlPr>
              <w:rPr>
                <w:rFonts w:ascii="DejaVu Math TeX Gyre" w:hAnsi="DejaVu Math TeX Gyre"/>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倍，其中 </w:t>
      </w:r>
      <m:oMath>
        <m:r>
          <m:rPr/>
          <w:rPr>
            <w:rFonts w:hint="default" w:ascii="DejaVu Math TeX Gyre" w:hAnsi="DejaVu Math TeX Gyre" w:eastAsia="宋体"/>
            <w:sz w:val="24"/>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指的是压缩率。例如，99% 的压缩率（仅传输 1% </w:t>
      </w:r>
    </w:p>
    <w:p w14:paraId="3DA1595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的梯度）会导致 1% 的计算量。</w:t>
      </w:r>
    </w:p>
    <w:p w14:paraId="00050AC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在行为上，只有基于动量的优化器才会存在细微差异，这些优化器使用移动平均法更新参数，即使当前梯度为零也是如此。由于 StellaTrain 中的稀疏优化器在梯度值为零时不会更新参数，这可能会导致一个小误差。然而，我们的经验分析表明，由此产生的误差可以忽略不计，并且对收敛速度的影响很小。</w:t>
      </w:r>
    </w:p>
    <w:p w14:paraId="6F9834A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3.2 基于 CPU 的梯度稀疏化</w:t>
      </w:r>
    </w:p>
    <w:p w14:paraId="3599375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稀疏优化器显著降低了优化过程中的计算需求，但它在缩短优化时间方面并没有体现出同样的效率，也就是说，梯度压缩99%并不意味着优化时间也缩短了99%。这是因为在优化阶段应用稀疏梯度会导致对模型参数的随机访问。这与CPU从DRAM中以缓存行大小的块（64字节或16个4字节元素）获取数据的机制不兼容[21]。因此，只有将稀疏优化与更利于缓存的梯度压缩方法相结合，才能充分发挥其优势。</w:t>
      </w:r>
    </w:p>
    <w:p w14:paraId="4665599A">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缓存感知稀疏化。</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为了充分发挥稀疏优化的优势，我们设计了一种新颖的压缩方案，该方案考虑了缓存行大小来确定前几位元素。我们扩展了阈值-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[14]，</w:t>
      </w:r>
    </w:p>
    <w:p w14:paraId="5751B67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已知其速度比需要部分排序的 Top-</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方法 [3] 更快。与使用阈值选择前 </w:t>
      </w:r>
      <m:oMath>
        <m:f>
          <m:fPr>
            <m:ctrlPr>
              <w:rPr>
                <w:rFonts w:ascii="Cambria Math" w:hAnsi="Cambria Math" w:cs="Times New Roman"/>
                <w:i/>
                <w:color w:val="000000" w:themeColor="text1"/>
                <w:sz w:val="24"/>
                <w:szCs w:val="28"/>
                <w:lang w:val="en-US"/>
                <w14:textFill>
                  <w14:solidFill>
                    <w14:schemeClr w14:val="tx1"/>
                  </w14:solidFill>
                </w14:textFill>
              </w:rPr>
            </m:ctrlPr>
          </m:fPr>
          <m:num>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num>
          <m:den>
            <m:r>
              <m:rPr/>
              <w:rPr>
                <w:rFonts w:hint="default" w:ascii="Cambria Math" w:hAnsi="Cambria Math" w:cs="Times New Roman"/>
                <w:color w:val="000000" w:themeColor="text1"/>
                <w:sz w:val="24"/>
                <w:szCs w:val="28"/>
                <w:lang w:val="en-US" w:eastAsia="zh-CN"/>
                <w14:textFill>
                  <w14:solidFill>
                    <w14:schemeClr w14:val="tx1"/>
                  </w14:solidFill>
                </w14:textFill>
              </w:rPr>
              <m:t>16</m:t>
            </m:r>
            <m:ctrlPr>
              <w:rPr>
                <w:rFonts w:ascii="Cambria Math" w:hAnsi="Cambria Math" w:cs="Times New Roman"/>
                <w:i/>
                <w:color w:val="000000" w:themeColor="text1"/>
                <w:sz w:val="24"/>
                <w:szCs w:val="28"/>
                <w:lang w:val="en-US"/>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w:t>
      </w:r>
    </w:p>
    <w:p w14:paraId="4525EBB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元素的原始版本不同，StellaTrain 基于每个块内的最高累积幅度选择前 16 个缓存对齐块，然后选择这些选定块中的所有 16 个元素进行更新。该策略确保 CPU 缓存中的每个元素都得到充分利用，从而提高缓存命中率并减少 CPU 流水线停顿。这种缓存感知阈值-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方案本身比原始版本快 7.6 倍，同时压缩速度也提高了 3.3 倍。该方案仅表现出模型收敛速度略微减慢，如第5节所示。</w:t>
      </w:r>
    </w:p>
    <w:p w14:paraId="29B578F9">
      <w:pPr>
        <w:keepNext w:val="0"/>
        <w:keepLines w:val="0"/>
        <w:pageBreakBefore w:val="0"/>
        <w:widowControl w:val="0"/>
        <w:tabs>
          <w:tab w:val="left" w:pos="8190"/>
        </w:tabs>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利用自动反馈回路来调整阈值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。首先，StellaTrain 对梯度块进行过滤，每个梯度块的大小等于缓存行的大小，使得每个梯度块内梯度幅值的总和超过阈值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。接下来，系统检查过滤后的梯度块数量是否大于或小于目标值 </w:t>
      </w:r>
    </w:p>
    <w:p w14:paraId="47AF5953">
      <w:pPr>
        <w:keepNext w:val="0"/>
        <w:keepLines w:val="0"/>
        <w:pageBreakBefore w:val="0"/>
        <w:widowControl w:val="0"/>
        <w:tabs>
          <w:tab w:val="left" w:pos="8190"/>
        </w:tabs>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。注意，</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f>
          <m:fP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fPr>
          <m:num>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k</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num>
          <m:den>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16</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，因为缓存行块由 16 个元素组成。当过滤后的梯度块</w:t>
      </w:r>
    </w:p>
    <w:p w14:paraId="72C1DCC4">
      <w:pPr>
        <w:keepNext w:val="0"/>
        <w:keepLines w:val="0"/>
        <w:pageBreakBefore w:val="0"/>
        <w:widowControl w:val="0"/>
        <w:tabs>
          <w:tab w:val="left" w:pos="8190"/>
        </w:tabs>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数量大于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时，StellaTrain 增加阈值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；反之，如果过滤后的梯度块数量小于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则减小阈值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使用基于加性增加乘性减少 (AIMD) 的估计器来更新阈值 v。乘性减少阶段确保当总负载超过阈值时，系统能够快速回退。为了进一步提高效率，压缩后的梯度以 COO（坐标）格式存储——我们不再存储整个梯度矩阵，而是只存储非零值及其对应的索引。</w:t>
      </w:r>
    </w:p>
    <w:p w14:paraId="53246C7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方案具有多项性能优势。首先，它最大限度地减少了从CPU缓存中获取的数据块数量。对于给定的目标值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方案最多只会</w:t>
      </w:r>
    </w:p>
    <w:p w14:paraId="2CF3F2F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hAnsi="Cambria Math" w:eastAsia="宋体" w:cs="Times New Roman"/>
          <w:i w:val="0"/>
          <w:color w:val="000000" w:themeColor="text1"/>
          <w:kern w:val="2"/>
          <w:sz w:val="24"/>
          <w:szCs w:val="28"/>
          <w:lang w:val="en-US" w:eastAsia="zh-CN" w:bidi="ar-SA"/>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获取 </w:t>
      </w:r>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m:oMath>
        <m:f>
          <m:fPr>
            <m:ctrlPr>
              <w:rPr>
                <w:rFonts w:ascii="Cambria Math" w:hAnsi="Cambria Math" w:cs="Lucida Sans Unicode"/>
                <w:i/>
                <w:color w:val="000000" w:themeColor="text1"/>
                <w:sz w:val="24"/>
                <w:szCs w:val="28"/>
                <w:lang w:val="en-US"/>
                <w14:textFill>
                  <w14:solidFill>
                    <w14:schemeClr w14:val="tx1"/>
                  </w14:solidFill>
                </w14:textFill>
              </w:rPr>
            </m:ctrlPr>
          </m:fPr>
          <m:num>
            <m:r>
              <m:rPr/>
              <w:rPr>
                <w:rFonts w:hint="default" w:ascii="Cambria Math" w:hAnsi="Cambria Math" w:cs="Lucida Sans Unicode"/>
                <w:color w:val="000000" w:themeColor="text1"/>
                <w:sz w:val="24"/>
                <w:szCs w:val="28"/>
                <w:lang w:val="en-US" w:eastAsia="zh-CN"/>
                <w14:textFill>
                  <w14:solidFill>
                    <w14:schemeClr w14:val="tx1"/>
                  </w14:solidFill>
                </w14:textFill>
              </w:rPr>
              <m:t>k</m:t>
            </m:r>
            <m:ctrlPr>
              <w:rPr>
                <w:rFonts w:ascii="Cambria Math" w:hAnsi="Cambria Math" w:cs="Lucida Sans Unicode"/>
                <w:i/>
                <w:color w:val="000000" w:themeColor="text1"/>
                <w:sz w:val="24"/>
                <w:szCs w:val="28"/>
                <w:lang w:val="en-US"/>
                <w14:textFill>
                  <w14:solidFill>
                    <w14:schemeClr w14:val="tx1"/>
                  </w14:solidFill>
                </w14:textFill>
              </w:rPr>
            </m:ctrlPr>
          </m:num>
          <m:den>
            <m:r>
              <m:rPr/>
              <w:rPr>
                <w:rFonts w:hint="default" w:ascii="Cambria Math" w:hAnsi="Cambria Math" w:cs="Lucida Sans Unicode"/>
                <w:color w:val="000000" w:themeColor="text1"/>
                <w:sz w:val="24"/>
                <w:szCs w:val="28"/>
                <w:lang w:val="en-US" w:eastAsia="zh-CN"/>
                <w14:textFill>
                  <w14:solidFill>
                    <w14:schemeClr w14:val="tx1"/>
                  </w14:solidFill>
                </w14:textFill>
              </w:rPr>
              <m:t>16</m:t>
            </m:r>
            <m:ctrlPr>
              <w:rPr>
                <w:rFonts w:ascii="Cambria Math" w:hAnsi="Cambria Math" w:cs="Lucida Sans Unicode"/>
                <w:i/>
                <w:color w:val="000000" w:themeColor="text1"/>
                <w:sz w:val="24"/>
                <w:szCs w:val="28"/>
                <w:lang w:val="en-US"/>
                <w14:textFill>
                  <w14:solidFill>
                    <w14:schemeClr w14:val="tx1"/>
                  </w14:solidFill>
                </w14:textFill>
              </w:rPr>
            </m:ctrlPr>
          </m:den>
        </m:f>
      </m:oMath>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个数据块，而传统的阈值-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方案在最坏情况下最多可能需要获取</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p>
    <w:p w14:paraId="756BAA4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个数据块。其次，当访问一个数据块时，缓存感知阈值-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方案会更新该数据块内的所有参数，从而实现近乎完美的缓存命中率。相比之下，传统的阈值-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方案在16个数据块中可能只会更新一个参数，导致最坏情况下的缓存命中率低至6.25%。这使得CPU端的优化速度提升了128倍。</w:t>
      </w:r>
    </w:p>
    <w:p w14:paraId="4CC2BAFF">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3.3 高效的流水线管理</w:t>
      </w:r>
    </w:p>
    <w:p w14:paraId="295149F8">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精心调度 CPU 流水线中的任务，以最大限度地减少训练停滞并提高训练效率。</w:t>
      </w:r>
    </w:p>
    <w:p w14:paraId="2D3A6FD1">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基于优先级的任务调度。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传统的深度神经网络（DNN）训练调度流程采用先到先服务（FCFS）的方式，按照任务到达的顺序进行处理，而忽略了初始层（即最接近输入层的层）的梯度最后计算，但下一次迭代却需要首先使用初始层的更新参数。这导致计算资源利用率低下，GPU 在等待初始层梯度时处于闲置状态。此外，初始层的延迟还会传递到后续层，从而增加整个迭代的耗时。</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0264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5BA61E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ascii="Times New Roman" w:hAnsi="Times New Roman" w:eastAsia="宋体" w:cs="Times New Roman"/>
                <w:kern w:val="0"/>
                <w:sz w:val="24"/>
                <w:szCs w:val="24"/>
              </w:rPr>
              <w:drawing>
                <wp:inline distT="0" distB="0" distL="114300" distR="114300">
                  <wp:extent cx="5269230" cy="1245235"/>
                  <wp:effectExtent l="0" t="0" r="127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269230" cy="1245235"/>
                          </a:xfrm>
                          <a:prstGeom prst="rect">
                            <a:avLst/>
                          </a:prstGeom>
                          <a:noFill/>
                          <a:ln>
                            <a:noFill/>
                          </a:ln>
                        </pic:spPr>
                      </pic:pic>
                    </a:graphicData>
                  </a:graphic>
                </wp:inline>
              </w:drawing>
            </w:r>
          </w:p>
        </w:tc>
      </w:tr>
      <w:tr w14:paraId="71302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15E0631">
            <w:pPr>
              <w:keepNext w:val="0"/>
              <w:keepLines w:val="0"/>
              <w:pageBreakBefore w:val="0"/>
              <w:widowControl w:val="0"/>
              <w:kinsoku/>
              <w:wordWrap/>
              <w:overflowPunct/>
              <w:topLinePunct w:val="0"/>
              <w:autoSpaceDE/>
              <w:autoSpaceDN/>
              <w:bidi w:val="0"/>
              <w:adjustRightInd/>
              <w:snapToGrid/>
              <w:spacing w:line="240" w:lineRule="auto"/>
              <w:ind w:left="0" w:firstLine="0" w:firstLineChars="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5：StellaTrain 允许使用来自上一次迭代的新参数对某些图层进行即时更</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新。</w:t>
            </w:r>
          </w:p>
        </w:tc>
      </w:tr>
    </w:tbl>
    <w:p w14:paraId="75CE77B0">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为了解决这个问题，StellaTrain采用了一种基于最早截止时间优先（EDF）算法的</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优先级调度方案</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。与先来先服务（FCFS）方法不同，StellaTrain赋予与早期训练迭代和初始层相关的任务更高的优先级(图4(b) )。优先处理初始层可以有效地防止GPU流水线停滞，并通过减少关键路径上的延迟来最大化GPU利用率。然而，当前正在执行的低优先级任务可以继续执行，而不会被抢占，以确保高效的资源利用。</w:t>
      </w:r>
    </w:p>
    <w:p w14:paraId="155D255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尽管之前的研究已采用基于优先级的调度方法来实现工作节点间的网络传输[16, 22]，但据我们所知，StellaTrain 是第一个利用分层优先级进行节点内流水线传输的方案。由于 StellaTrain 巧妙地结合了有限过期时间和 CPU 卸载技术，优先级在节点内处理中展现出独特的优势。</w:t>
      </w:r>
    </w:p>
    <w:p w14:paraId="6D8847E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部分数据更新滞后。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采用了基于优先级的任务调度，但有时，由于初始层的反向传播尚未完成，后几层（更接近输出的层）的参数会先于初始层的参数更新。在这种情况下，我们会高效地将后几层的任务调度到初始层之前，而无需等待初始层完成反向传播。例如，在图 5 中，与第 6 层相关的任务调度早于其他任何层，因为其他层的反向传播尚未完成。</w:t>
      </w:r>
    </w:p>
    <w:p w14:paraId="5BEACB0E">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这提供了一个机会，可以利用前一次迭代中某些层的最新参数来进行下一次迭代。例如，在图 5 中，第 6 层的新参数在第 n+1 次迭代的前向传播之前就已经准备就绪。我们发现，在 ViT-B 模型中，有 15% 的层可以从这种即时更新的参数中受益。</w:t>
      </w:r>
    </w:p>
    <w:p w14:paraId="27332C1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考虑到这一点，StellaTrain 引入了部分参数过时性——所有层的最大过时性限制为 1，同时允许某些层在没有任何过时性的情况下立即更新。如果某个层的参数在下一次迭代的前向传播开始之前更新，StellaTrain 将使用最新更新的参数，从而有可能提高收敛速度。需要注意的是，这种使用不一致的参数过时性训练模型的方法仍然可以提供收敛保证 [8]。</w:t>
      </w:r>
    </w:p>
    <w:p w14:paraId="29750757">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 全面最小化TTA</w:t>
      </w:r>
    </w:p>
    <w:p w14:paraId="75721AB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凭借其优化的流水线，执行协同优化以确定能够最小化训练时间差 (TTA) 的训练配置。为此，它采用集中式控制器来优化异构集群上的 GPU 配置，如图 7 所示。与机器学习领域中通常通过随机搜索或经验法则 [42] 确定的超参数（例如学习率、优化器和学习率调度）不同，用于优化 TTA 的配置可以系统地确定。</w:t>
      </w:r>
    </w:p>
    <w:p w14:paraId="63FED86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协同优化问题可以可视化为图 6。在图 6a 所示的梯度压缩率、网络带宽和单设备批处理大小的三维空间中，给定模型的迭代速度最优工作点位于灰色曲面（由公式 (6) 确定）与由当前网络带宽确定的平面的交线上。协同优化问题的目标是找到最优点，使得迭代速度和收敛速度（在图 6b 中以颜色表示）的乘积最大化。</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3946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2520F3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921885" cy="3134360"/>
                  <wp:effectExtent l="0" t="0" r="5715" b="254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4921885" cy="3134360"/>
                          </a:xfrm>
                          <a:prstGeom prst="rect">
                            <a:avLst/>
                          </a:prstGeom>
                          <a:noFill/>
                          <a:ln>
                            <a:noFill/>
                          </a:ln>
                        </pic:spPr>
                      </pic:pic>
                    </a:graphicData>
                  </a:graphic>
                </wp:inline>
              </w:drawing>
            </w:r>
          </w:p>
        </w:tc>
      </w:tr>
      <w:tr w14:paraId="7395F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59AE4D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6：协同优化策略：（a）迭代速度配置空间与（b）收敛速度配置空间之间的映射。</w:t>
            </w:r>
          </w:p>
        </w:tc>
      </w:tr>
    </w:tbl>
    <w:p w14:paraId="2D5A363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4.1 优化周期</w:t>
      </w:r>
    </w:p>
    <w:p w14:paraId="26576F5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实现了一个集中式控制器，该控制器从 GPU 收集遥测数据，并确定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的最佳配置以最小化 TTA，然后指示 GPU 使用更新后的配置，如图 7 所示。训练之前，控制器加载通过离线分析获得的模型配置文件。训练期间，控制器定期从每个工作节点收集遥测数据，并估计每个 GPU 的性能和网络带宽。接下来，控制器基于实时遥测数据和模型配置文件确定最佳压缩率和每个设备的批处理大小。最后，控制器异步地将更新后的配置应用到工作节点。</w:t>
      </w:r>
    </w:p>
    <w:p w14:paraId="45658C8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具体来说，在训练之前，控制器加载模型配置文件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，该配置文件是一个从压缩率和总批次大小到收敛速度的映射，由离线贝叶斯优化（§4.3）获得。在训练过程中，控制器从多个 GPU 收集遥测数据，包括当前批次大小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训练吞吐量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GPU 空闲率。收到这些遥测数据 (❶) 后，控制器执行以下步骤：</w:t>
      </w:r>
    </w:p>
    <w:p w14:paraId="70AA13F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❷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GPU吞吐量估计：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控制器使用Nelder-Mead方法，利用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更新每个GPU吞吐量模型的参数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w:t>
      </w:r>
    </w:p>
    <w:p w14:paraId="177D359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❸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网络带宽估计：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基于GPU的空闲率，控制器更新网络带宽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的估计值。我们使用反馈回路，根据GPU的空闲率来估计网络带宽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。当GPU的空闲率低于5%时，控制器增加估计带宽，因为这表明网络带宽被高估了。否则，控制器降低估计带宽。</w:t>
      </w:r>
    </w:p>
    <w:p w14:paraId="402A06B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❹ 最优配置搜索：控制器利用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，在满足约束条件 (6) 的情况下，找到使方程 (1) 最小化的最佳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组合。</w:t>
      </w:r>
    </w:p>
    <w:p w14:paraId="2EE8A5A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找到最优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后，控制器指示 GPU 使用指定迭代 (❺) 中的更新配置。因此，此过程不会减慢训练速度。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00C61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48CFB00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lang w:val="en-US" w:eastAsia="zh-CN"/>
              </w:rPr>
            </w:pPr>
            <w:r>
              <w:drawing>
                <wp:inline distT="0" distB="0" distL="114300" distR="114300">
                  <wp:extent cx="4956810" cy="2491105"/>
                  <wp:effectExtent l="0" t="0" r="8890" b="1079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rcRect t="5714" r="3398" b="5427"/>
                          <a:stretch>
                            <a:fillRect/>
                          </a:stretch>
                        </pic:blipFill>
                        <pic:spPr>
                          <a:xfrm>
                            <a:off x="0" y="0"/>
                            <a:ext cx="4956810" cy="2491105"/>
                          </a:xfrm>
                          <a:prstGeom prst="rect">
                            <a:avLst/>
                          </a:prstGeom>
                          <a:noFill/>
                          <a:ln>
                            <a:noFill/>
                          </a:ln>
                        </pic:spPr>
                      </pic:pic>
                    </a:graphicData>
                  </a:graphic>
                </wp:inline>
              </w:drawing>
            </w:r>
          </w:p>
        </w:tc>
      </w:tr>
      <w:tr w14:paraId="58924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301A11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7：StellaTrain 利用基于遥测数据的 GPU 训练吞吐量和网络带宽估计，找到使 TTA 最小化的最佳</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sz w:val="21"/>
                <w:szCs w:val="21"/>
                <w:lang w:val="en-US" w:eastAsia="zh-CN"/>
              </w:rPr>
              <w:t>设置。</w:t>
            </w:r>
          </w:p>
        </w:tc>
      </w:tr>
    </w:tbl>
    <w:p w14:paraId="288F718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4.2 优化目标</w:t>
      </w:r>
    </w:p>
    <w:p w14:paraId="460750B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StellaTrain最小化两个目标的加权和—— TTA 和迭代时间方差。它采用Nelder-Mead方法，一种用于非线性优化问题的基于单纯形的优化技术， 以最小化如公式（1）所示的目标函数。</w:t>
      </w:r>
    </w:p>
    <w:p w14:paraId="74E2A686">
      <w:pPr>
        <w:keepNext w:val="0"/>
        <w:keepLines w:val="0"/>
        <w:pageBreakBefore w:val="0"/>
        <w:widowControl w:val="0"/>
        <w:kinsoku/>
        <w:wordWrap/>
        <w:overflowPunct/>
        <w:topLinePunct w:val="0"/>
        <w:autoSpaceDE/>
        <w:autoSpaceDN/>
        <w:bidi/>
        <w:adjustRightInd/>
        <w:snapToGrid/>
        <w:spacing w:line="240" w:lineRule="auto"/>
        <w:jc w:val="center"/>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m:oMathPara>
        <m:oMath>
          <m:r>
            <m:rPr/>
            <w:rPr>
              <w:rFonts w:hint="default" w:ascii="Cambria Math" w:hAnsi="Cambria Math"/>
              <w:sz w:val="24"/>
            </w:rPr>
            <m:t>TTA+λ</m:t>
          </m:r>
          <m:r>
            <m:rPr>
              <m:sty m:val="p"/>
            </m:rPr>
            <w:rPr>
              <w:rFonts w:hint="default" w:ascii="Cambria Math" w:hAnsi="Cambria Math"/>
              <w:sz w:val="24"/>
            </w:rPr>
            <m:t>×</m:t>
          </m:r>
          <m:r>
            <m:rPr/>
            <w:rPr>
              <w:rFonts w:hint="default" w:ascii="Cambria Math" w:hAnsi="Cambria Math"/>
              <w:sz w:val="24"/>
            </w:rPr>
            <m:t>GPU</m:t>
          </m:r>
          <m:r>
            <m:rPr>
              <m:sty m:val="p"/>
            </m:rPr>
            <w:rPr>
              <w:rFonts w:hint="default" w:ascii="Cambria Math" w:hAnsi="Cambria Math"/>
              <w:sz w:val="24"/>
            </w:rPr>
            <m:t>间迭代时间方差</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ascii="Cambria Math" w:hAnsi="Cambria Math" w:eastAsia="黑体"/>
                </w:rPr>
                <m:t>1</m:t>
              </m:r>
              <m:ctrlPr>
                <w:rPr>
                  <w:rFonts w:ascii="Cambria Math" w:hAnsi="Cambria Math" w:eastAsia="黑体"/>
                </w:rPr>
              </m:ctrlPr>
            </m:e>
          </m:d>
        </m:oMath>
      </m:oMathPara>
    </w:p>
    <w:p w14:paraId="2F35B143">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通过最小化GPU间的迭代时间差异，可实现GPU资源的高效利用。该优化问题还需满足基于带宽的压缩率约束条件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。接下来，我们将详细阐述如何推导出包含两个优化目标及带宽约束的数学方程。</w:t>
      </w:r>
    </w:p>
    <w:p w14:paraId="72C57E1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目标1：迭代时间的差异性。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在给定模型的情况下，训练吞吐量取决于批量大小。当批量小于某个阈值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时，GPU无法得到充分利用。小批量训练时，梯度传递会更频繁地发生，这往往会限制吞吐量。因此，训练吞吐量会随着批量的增加呈线性增长，直到达到某个阈值，此时GPU达到完全饱和状态。给定批量大小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时，GPU的吞吐量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可以建模为：</w:t>
      </w:r>
    </w:p>
    <w:p w14:paraId="3F66253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den>
          </m:f>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β</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2</m:t>
              </m:r>
              <m:ctrlPr>
                <w:rPr>
                  <w:rFonts w:ascii="Cambria Math" w:hAnsi="Cambria Math" w:eastAsia="黑体"/>
                </w:rPr>
              </m:ctrlPr>
            </m:e>
          </m:d>
        </m:oMath>
      </m:oMathPara>
    </w:p>
    <w:p w14:paraId="2DC8407C">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分别表示GPU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的批次大小阈值和饱和后的GPU i训练吞吐量，GPU i的迭代时间可表示为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通过将分配给GPU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除以GPU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的吞吐量计算得出。我们为选定模型提供了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的数值。表 2 列出了选定模型和 GPU 的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值。需要注意的是，与设备在不使用梯度累积的情况下可训练的最大批次大小相比，这种饱和现象发生在相对较小的批次大小下。例如，RTX 4090 可以使用最大 256 的批次大小训练 ResNet50，但训练吞吐量在批次大小为 64 时就已达到饱和。这使得 StellaTrain 能够为每个设备选择最佳批次大小，从而最大化收敛速度。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2B79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9AFE794">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 xml:space="preserve">表 2：元组（使 GPU 饱和的批大小阈值 </w:t>
            </w:r>
            <m:oMath>
              <m:r>
                <m:rPr>
                  <m:sty m:val="p"/>
                </m:rPr>
                <w:rPr>
                  <w:rFonts w:hint="default" w:ascii="Times New Roman" w:hAnsi="Times New Roman" w:eastAsia="宋体" w:cs="Times New Roman"/>
                  <w:sz w:val="21"/>
                  <w:szCs w:val="21"/>
                </w:rPr>
                <m:t>α</m:t>
              </m:r>
            </m:oMath>
            <w:r>
              <w:rPr>
                <w:rFonts w:hint="eastAsia" w:ascii="Times New Roman" w:hAnsi="Times New Roman" w:eastAsia="宋体" w:cs="Times New Roman"/>
                <w:sz w:val="21"/>
                <w:szCs w:val="21"/>
                <w:lang w:val="en-US" w:eastAsia="zh-CN"/>
              </w:rPr>
              <w:t xml:space="preserve">，饱和后的训练吞吐量 </w:t>
            </w:r>
            <m:oMath>
              <m:r>
                <m:rPr>
                  <m:sty m:val="p"/>
                </m:rPr>
                <w:rPr>
                  <w:rFonts w:hint="default" w:ascii="Times New Roman" w:hAnsi="Times New Roman" w:eastAsia="宋体" w:cs="Times New Roman"/>
                  <w:sz w:val="21"/>
                  <w:szCs w:val="21"/>
                </w:rPr>
                <m:t>β</m:t>
              </m:r>
            </m:oMath>
            <w:r>
              <w:rPr>
                <w:rFonts w:hint="eastAsia" w:ascii="Times New Roman" w:hAnsi="Times New Roman" w:eastAsia="宋体" w:cs="Times New Roman"/>
                <w:sz w:val="21"/>
                <w:szCs w:val="21"/>
                <w:lang w:val="en-US" w:eastAsia="zh-CN"/>
              </w:rPr>
              <w:t>（图像/秒））。</w:t>
            </w:r>
          </w:p>
        </w:tc>
      </w:tr>
      <w:tr w14:paraId="58E7E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FE770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73675" cy="1552575"/>
                  <wp:effectExtent l="0" t="0" r="9525" b="952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4"/>
                          <a:stretch>
                            <a:fillRect/>
                          </a:stretch>
                        </pic:blipFill>
                        <pic:spPr>
                          <a:xfrm>
                            <a:off x="0" y="0"/>
                            <a:ext cx="5273675" cy="1552575"/>
                          </a:xfrm>
                          <a:prstGeom prst="rect">
                            <a:avLst/>
                          </a:prstGeom>
                          <a:noFill/>
                          <a:ln>
                            <a:noFill/>
                          </a:ln>
                        </pic:spPr>
                      </pic:pic>
                    </a:graphicData>
                  </a:graphic>
                </wp:inline>
              </w:drawing>
            </w:r>
          </w:p>
        </w:tc>
      </w:tr>
    </w:tbl>
    <w:p w14:paraId="3C629AF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为了在异构GPU集群中最大化GPU利用率，StellaTrain会根据每个设备的计算速度按比例分配批次大小。它旨在通过降低每次迭代训练时间的方差（不同</w:t>
      </w:r>
    </w:p>
    <w:p w14:paraId="74053436">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上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的方差）来最小化不同GPU之间的迭代时间差异。然而，StellaTrain</w:t>
      </w:r>
    </w:p>
    <w:p w14:paraId="55FA7BB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并非直接针对方差，而是专注于最小化公式（3）所示的相对标准差（也称为变异系数）</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，该公式将标准差相对于均值进行归一化，从而降低均值的影响。</w:t>
      </w:r>
    </w:p>
    <w:p w14:paraId="45D01084">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ad>
                <m:radPr>
                  <m:degHide m:val="1"/>
                  <m:ctrlPr>
                    <w:rPr>
                      <w:rFonts w:hint="default" w:ascii="Cambria Math" w:hAnsi="Cambria Math"/>
                      <w:i/>
                      <w:sz w:val="24"/>
                    </w:rPr>
                  </m:ctrlPr>
                </m:radPr>
                <m:deg>
                  <m:ctrlPr>
                    <w:rPr>
                      <w:rFonts w:ascii="Cambria Math" w:hAnsi="Cambria Math"/>
                      <w:sz w:val="24"/>
                    </w:rPr>
                  </m:ctrlPr>
                </m:deg>
                <m:e>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i/>
                              <w:sz w:val="24"/>
                            </w:rPr>
                          </m:ctrlPr>
                        </m:d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i/>
                                  <w:sz w:val="24"/>
                                </w:rPr>
                              </m:ctrlPr>
                            </m:sub>
                            <m:sup>
                              <m:r>
                                <m:rPr/>
                                <w:rPr>
                                  <w:rFonts w:hint="default" w:ascii="Cambria Math" w:hAnsi="Cambria Math"/>
                                  <w:sz w:val="24"/>
                                </w:rPr>
                                <m:t>n</m:t>
                              </m:r>
                              <m:ctrlPr>
                                <w:rPr>
                                  <w:rFonts w:hint="default" w:ascii="Cambria Math" w:hAnsi="Cambria Math"/>
                                  <w:i/>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e>
                      </m:d>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ctrlPr>
                <w:rPr>
                  <w:rFonts w:hint="default" w:ascii="Cambria Math" w:hAnsi="Cambria Math"/>
                  <w:i/>
                  <w:sz w:val="24"/>
                </w:rPr>
              </m:ctrlPr>
            </m:num>
            <m:den>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3</m:t>
              </m:r>
              <m:ctrlPr>
                <w:rPr>
                  <w:rFonts w:ascii="Cambria Math" w:hAnsi="Cambria Math" w:eastAsia="黑体"/>
                </w:rPr>
              </m:ctrlPr>
            </m:e>
          </m:d>
        </m:oMath>
      </m:oMathPara>
    </w:p>
    <w:p w14:paraId="49809AE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 2：TTA。</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的目标是在最大化训练吞吐量的同时，最小化达到相</w:t>
      </w:r>
    </w:p>
    <w:p w14:paraId="5451F92E">
      <w:pPr>
        <w:keepNext w:val="0"/>
        <w:keepLines w:val="0"/>
        <w:pageBreakBefore w:val="0"/>
        <w:widowControl w:val="0"/>
        <w:kinsoku/>
        <w:wordWrap/>
        <w:overflowPunct/>
        <w:topLinePunct w:val="0"/>
        <w:autoSpaceDE/>
        <w:autoSpaceDN/>
        <w:bidi w:val="0"/>
        <w:adjustRightInd/>
        <w:snapToGrid/>
        <w:spacing w:line="44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同训练精度所需的额外训练轮数。我们首先通过将总批次大小 ( </w:t>
      </w:r>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除以最</w:t>
      </w:r>
    </w:p>
    <w:p w14:paraId="7E408706">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慢 GPU 的迭代时间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来计算全局迭代速度，因为全局迭代速度取决于最慢的设备。</w:t>
      </w:r>
    </w:p>
    <w:p w14:paraId="0F861881">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 s. t. </m:t>
          </m:r>
          <m:r>
            <m:rPr/>
            <w:rPr>
              <w:rFonts w:hint="default" w:ascii="Cambria Math" w:hAnsi="Cambria Math"/>
              <w:sz w:val="24"/>
            </w:rPr>
            <m:t>k=</m:t>
          </m:r>
          <m:limLow>
            <m:limLowPr>
              <m:ctrlPr>
                <w:rPr>
                  <w:rFonts w:hint="default" w:ascii="Cambria Math" w:hAnsi="Cambria Math"/>
                  <w:sz w:val="24"/>
                </w:rPr>
              </m:ctrlPr>
            </m:limLowPr>
            <m:e>
              <m:func>
                <m:funcPr>
                  <m:ctrlPr>
                    <w:rPr>
                      <w:rFonts w:hint="default" w:ascii="Cambria Math" w:hAnsi="Cambria Math"/>
                      <w:sz w:val="24"/>
                    </w:rPr>
                  </m:ctrlPr>
                </m:funcPr>
                <m:fName>
                  <m:r>
                    <m:rPr/>
                    <w:rPr>
                      <w:rFonts w:hint="default" w:ascii="Cambria Math" w:hAnsi="Cambria Math"/>
                      <w:sz w:val="24"/>
                    </w:rPr>
                    <m:t>arg</m:t>
                  </m:r>
                  <m:ctrlPr>
                    <w:rPr>
                      <w:rFonts w:hint="default" w:ascii="Cambria Math" w:hAnsi="Cambria Math"/>
                      <w:sz w:val="24"/>
                    </w:rPr>
                  </m:ctrlPr>
                </m:fName>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e>
              </m:func>
              <m:ctrlPr>
                <w:rPr>
                  <w:rFonts w:hint="default" w:ascii="Cambria Math" w:hAnsi="Cambria Math"/>
                  <w:sz w:val="24"/>
                </w:rPr>
              </m:ctrlPr>
            </m:e>
            <m:lim>
              <m:r>
                <m:rPr/>
                <w:rPr>
                  <w:rFonts w:hint="default" w:ascii="Cambria Math" w:hAnsi="Cambria Math"/>
                  <w:sz w:val="24"/>
                </w:rPr>
                <m:t>i</m:t>
              </m:r>
              <m:ctrlPr>
                <w:rPr>
                  <w:rFonts w:hint="default" w:ascii="Cambria Math" w:hAnsi="Cambria Math"/>
                  <w:sz w:val="24"/>
                </w:rPr>
              </m:ctrlPr>
            </m:lim>
          </m:limLow>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4</m:t>
              </m:r>
              <m:ctrlPr>
                <w:rPr>
                  <w:rFonts w:ascii="Cambria Math" w:hAnsi="Cambria Math" w:eastAsia="黑体"/>
                </w:rPr>
              </m:ctrlPr>
            </m:e>
          </m:d>
        </m:oMath>
      </m:oMathPara>
    </w:p>
    <w:p w14:paraId="2671277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利用公式 (4) 和收敛速度代理模型速度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（详见 4.3 节），最小化 TTA 的目标函数可以表示为：</w:t>
      </w:r>
    </w:p>
    <w:p w14:paraId="7A9408D3">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Cambria Math" w:hAnsi="Cambria Math" w:eastAsia="宋体" w:cs="Cambria Math"/>
          <w:color w:val="000000" w:themeColor="text1"/>
          <w:sz w:val="24"/>
          <w:szCs w:val="28"/>
          <w:lang w:val="en-US" w:eastAsia="zh-CN"/>
          <w14:textFill>
            <w14:solidFill>
              <w14:schemeClr w14:val="tx1"/>
            </w14:solidFill>
          </w14:textFill>
        </w:rPr>
      </w:pPr>
      <m:oMathPara>
        <m:oMath>
          <m:f>
            <m:fPr>
              <m:ctrlPr>
                <w:rPr>
                  <w:rFonts w:hint="default" w:ascii="Cambria Math" w:hAnsi="Cambria Math" w:cs="Cambria Math"/>
                  <w:i/>
                  <w:sz w:val="24"/>
                </w:rPr>
              </m:ctrlPr>
            </m:fPr>
            <m:num>
              <m:r>
                <m:rPr/>
                <w:rPr>
                  <w:rFonts w:hint="default" w:ascii="Cambria Math" w:hAnsi="Cambria Math" w:cs="Cambria Math"/>
                  <w:sz w:val="24"/>
                </w:rPr>
                <m:t>1+</m:t>
              </m:r>
              <m:acc>
                <m:accPr>
                  <m:chr m:val="̄"/>
                  <m:ctrlPr>
                    <w:rPr>
                      <w:rFonts w:hint="default" w:ascii="Cambria Math" w:hAnsi="Cambria Math" w:cs="Cambria Math"/>
                      <w:sz w:val="24"/>
                    </w:rPr>
                  </m:ctrlPr>
                </m:accPr>
                <m:e>
                  <m:r>
                    <m:rPr/>
                    <w:rPr>
                      <w:rFonts w:hint="default" w:ascii="Cambria Math" w:hAnsi="Cambria Math" w:cs="Cambria Math"/>
                      <w:sz w:val="24"/>
                    </w:rPr>
                    <m:t>g</m:t>
                  </m:r>
                  <m:ctrlPr>
                    <w:rPr>
                      <w:rFonts w:hint="default" w:ascii="Cambria Math" w:hAnsi="Cambria Math" w:cs="Cambria Math"/>
                      <w:sz w:val="24"/>
                    </w:rPr>
                  </m:ctrlPr>
                </m:e>
              </m:acc>
              <m:r>
                <m:rPr/>
                <w:rPr>
                  <w:rFonts w:hint="default" w:ascii="Cambria Math" w:hAnsi="Cambria Math" w:cs="Cambria Math"/>
                  <w:sz w:val="24"/>
                </w:rPr>
                <m:t>(r,</m:t>
              </m:r>
              <m:nary>
                <m:naryPr>
                  <m:chr m:val="∑"/>
                  <m:limLoc m:val="undOvr"/>
                  <m:supHide m:val="1"/>
                  <m:ctrlPr>
                    <w:rPr>
                      <w:rFonts w:hint="default" w:ascii="Cambria Math" w:hAnsi="Cambria Math" w:cs="Cambria Math"/>
                      <w:i/>
                      <w:sz w:val="24"/>
                    </w:rPr>
                  </m:ctrlPr>
                </m:naryPr>
                <m:sub>
                  <m:r>
                    <m:rPr/>
                    <w:rPr>
                      <w:rFonts w:hint="default" w:ascii="Cambria Math" w:hAnsi="Cambria Math" w:cs="Cambria Math"/>
                      <w:sz w:val="24"/>
                    </w:rPr>
                    <m:t>i</m:t>
                  </m:r>
                  <m:ctrlPr>
                    <w:rPr>
                      <w:rFonts w:hint="default" w:ascii="Cambria Math" w:hAnsi="Cambria Math" w:cs="Cambria Math"/>
                      <w:sz w:val="24"/>
                    </w:rPr>
                  </m:ctrlPr>
                </m:sub>
                <m:sup>
                  <m:ctrlPr>
                    <w:rPr>
                      <w:rFonts w:hint="default" w:ascii="Cambria Math" w:hAnsi="Cambria Math" w:cs="Cambria Math"/>
                      <w:sz w:val="24"/>
                    </w:rPr>
                  </m:ctrlPr>
                </m:sup>
                <m:e>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e>
              </m:nary>
              <m:r>
                <m:rPr/>
                <w:rPr>
                  <w:rFonts w:hint="default" w:ascii="Cambria Math" w:hAnsi="Cambria Math" w:cs="Cambria Math"/>
                  <w:sz w:val="24"/>
                </w:rPr>
                <m:t>)</m:t>
              </m:r>
              <m:ctrlPr>
                <w:rPr>
                  <w:rFonts w:hint="default" w:ascii="Cambria Math" w:hAnsi="Cambria Math" w:cs="Cambria Math"/>
                  <w:i/>
                  <w:sz w:val="24"/>
                </w:rPr>
              </m:ctrlPr>
            </m:num>
            <m:den>
              <m:r>
                <m:rPr/>
                <w:rPr>
                  <w:rFonts w:hint="default" w:ascii="Cambria Math" w:hAnsi="Cambria Math" w:cs="Cambria Math"/>
                  <w:sz w:val="24"/>
                </w:rPr>
                <m:t>(</m:t>
              </m:r>
              <m:nary>
                <m:naryPr>
                  <m:chr m:val="∑"/>
                  <m:limLoc m:val="undOvr"/>
                  <m:supHide m:val="1"/>
                  <m:ctrlPr>
                    <w:rPr>
                      <w:rFonts w:hint="default" w:ascii="Cambria Math" w:hAnsi="Cambria Math" w:cs="Cambria Math"/>
                      <w:i/>
                      <w:sz w:val="24"/>
                    </w:rPr>
                  </m:ctrlPr>
                </m:naryPr>
                <m:sub>
                  <m:r>
                    <m:rPr/>
                    <w:rPr>
                      <w:rFonts w:hint="default" w:ascii="Cambria Math" w:hAnsi="Cambria Math" w:cs="Cambria Math"/>
                      <w:sz w:val="24"/>
                    </w:rPr>
                    <m:t>i</m:t>
                  </m:r>
                  <m:ctrlPr>
                    <w:rPr>
                      <w:rFonts w:hint="default" w:ascii="Cambria Math" w:hAnsi="Cambria Math" w:cs="Cambria Math"/>
                      <w:sz w:val="24"/>
                    </w:rPr>
                  </m:ctrlPr>
                </m:sub>
                <m:sup>
                  <m:ctrlPr>
                    <w:rPr>
                      <w:rFonts w:hint="default" w:ascii="Cambria Math" w:hAnsi="Cambria Math" w:cs="Cambria Math"/>
                      <w:sz w:val="24"/>
                    </w:rPr>
                  </m:ctrlPr>
                </m:sup>
                <m:e>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e>
              </m:nary>
              <m:r>
                <m:rPr/>
                <w:rPr>
                  <w:rFonts w:hint="default" w:ascii="Cambria Math" w:hAnsi="Cambria Math" w:cs="Cambria Math"/>
                  <w:sz w:val="24"/>
                </w:rPr>
                <m:t>)</m:t>
              </m:r>
              <m:r>
                <m:rPr>
                  <m:sty m:val="p"/>
                </m:rPr>
                <w:rPr>
                  <w:rFonts w:hint="default" w:ascii="Cambria Math" w:hAnsi="Cambria Math" w:cs="Cambria Math"/>
                  <w:sz w:val="24"/>
                </w:rPr>
                <m:t>×</m:t>
              </m:r>
              <m:f>
                <m:fPr>
                  <m:ctrlPr>
                    <w:rPr>
                      <w:rFonts w:hint="default" w:ascii="Cambria Math" w:hAnsi="Cambria Math" w:cs="Cambria Math"/>
                      <w:i/>
                      <w:sz w:val="24"/>
                    </w:rPr>
                  </m:ctrlPr>
                </m:fPr>
                <m:num>
                  <m:sSub>
                    <m:sSubPr>
                      <m:ctrlPr>
                        <w:rPr>
                          <w:rFonts w:hint="default" w:ascii="Cambria Math" w:hAnsi="Cambria Math" w:cs="Cambria Math"/>
                          <w:sz w:val="24"/>
                        </w:rPr>
                      </m:ctrlPr>
                    </m:sSubPr>
                    <m:e>
                      <m:r>
                        <m:rPr/>
                        <w:rPr>
                          <w:rFonts w:hint="default" w:ascii="Cambria Math" w:hAnsi="Cambria Math" w:cs="Cambria Math"/>
                          <w:sz w:val="24"/>
                        </w:rPr>
                        <m:t>f</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r>
                    <m:rPr/>
                    <w:rPr>
                      <w:rFonts w:hint="default" w:ascii="Cambria Math" w:hAnsi="Cambria Math" w:cs="Cambria Math"/>
                      <w:sz w:val="24"/>
                    </w:rPr>
                    <m:t>(</m:t>
                  </m:r>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r>
                    <m:rPr/>
                    <w:rPr>
                      <w:rFonts w:hint="default" w:ascii="Cambria Math" w:hAnsi="Cambria Math" w:cs="Cambria Math"/>
                      <w:sz w:val="24"/>
                    </w:rPr>
                    <m:t>)</m:t>
                  </m:r>
                  <m:ctrlPr>
                    <w:rPr>
                      <w:rFonts w:hint="default" w:ascii="Cambria Math" w:hAnsi="Cambria Math" w:cs="Cambria Math"/>
                      <w:sz w:val="24"/>
                    </w:rPr>
                  </m:ctrlPr>
                </m:num>
                <m:den>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ctrlPr>
                    <w:rPr>
                      <w:rFonts w:hint="default" w:ascii="Cambria Math" w:hAnsi="Cambria Math" w:cs="Cambria Math"/>
                      <w:sz w:val="24"/>
                    </w:rPr>
                  </m:ctrlPr>
                </m:den>
              </m:f>
              <m:ctrlPr>
                <w:rPr>
                  <w:rFonts w:hint="default" w:ascii="Cambria Math" w:hAnsi="Cambria Math" w:cs="Cambria Math"/>
                  <w:i/>
                  <w:sz w:val="24"/>
                </w:rPr>
              </m:ctrlPr>
            </m:den>
          </m:f>
          <m:r>
            <m:rPr>
              <m:sty m:val="p"/>
            </m:rPr>
            <w:rPr>
              <w:rFonts w:hint="default" w:ascii="Cambria Math" w:hAnsi="Cambria Math" w:cs="Cambria Math"/>
              <w:sz w:val="24"/>
            </w:rPr>
            <m:t>s.t.</m:t>
          </m:r>
          <m:r>
            <m:rPr/>
            <w:rPr>
              <w:rFonts w:hint="default" w:ascii="Cambria Math" w:hAnsi="Cambria Math" w:cs="Cambria Math"/>
              <w:sz w:val="24"/>
            </w:rPr>
            <m:t> k=</m:t>
          </m:r>
          <m:limLow>
            <m:limLowPr>
              <m:ctrlPr>
                <w:rPr>
                  <w:rFonts w:hint="default" w:ascii="Cambria Math" w:hAnsi="Cambria Math" w:cs="Cambria Math"/>
                  <w:sz w:val="24"/>
                </w:rPr>
              </m:ctrlPr>
            </m:limLowPr>
            <m:e>
              <m:func>
                <m:funcPr>
                  <m:ctrlPr>
                    <w:rPr>
                      <w:rFonts w:hint="default" w:ascii="Cambria Math" w:hAnsi="Cambria Math" w:cs="Cambria Math"/>
                      <w:sz w:val="24"/>
                    </w:rPr>
                  </m:ctrlPr>
                </m:funcPr>
                <m:fName>
                  <m:r>
                    <m:rPr/>
                    <w:rPr>
                      <w:rFonts w:hint="default" w:ascii="Cambria Math" w:hAnsi="Cambria Math" w:cs="Cambria Math"/>
                      <w:sz w:val="24"/>
                    </w:rPr>
                    <m:t>arg</m:t>
                  </m:r>
                  <m:ctrlPr>
                    <w:rPr>
                      <w:rFonts w:hint="default" w:ascii="Cambria Math" w:hAnsi="Cambria Math" w:cs="Cambria Math"/>
                      <w:sz w:val="24"/>
                    </w:rPr>
                  </m:ctrlPr>
                </m:fName>
                <m:e>
                  <m:func>
                    <m:funcPr>
                      <m:ctrlPr>
                        <w:rPr>
                          <w:rFonts w:hint="default" w:ascii="Cambria Math" w:hAnsi="Cambria Math" w:cs="Cambria Math"/>
                          <w:sz w:val="24"/>
                        </w:rPr>
                      </m:ctrlPr>
                    </m:funcPr>
                    <m:fName>
                      <m:r>
                        <m:rPr>
                          <m:sty m:val="p"/>
                        </m:rPr>
                        <w:rPr>
                          <w:rFonts w:hint="default" w:ascii="Cambria Math" w:hAnsi="Cambria Math" w:cs="Cambria Math"/>
                          <w:sz w:val="24"/>
                        </w:rPr>
                        <m:t>max</m:t>
                      </m:r>
                      <m:ctrlPr>
                        <w:rPr>
                          <w:rFonts w:hint="default" w:ascii="Cambria Math" w:hAnsi="Cambria Math" w:cs="Cambria Math"/>
                          <w:sz w:val="24"/>
                        </w:rPr>
                      </m:ctrlPr>
                    </m:fName>
                    <m:e>
                      <m:ctrlPr>
                        <w:rPr>
                          <w:rFonts w:hint="default" w:ascii="Cambria Math" w:hAnsi="Cambria Math" w:cs="Cambria Math"/>
                          <w:sz w:val="24"/>
                        </w:rPr>
                      </m:ctrlPr>
                    </m:e>
                  </m:func>
                  <m:ctrlPr>
                    <w:rPr>
                      <w:rFonts w:hint="default" w:ascii="Cambria Math" w:hAnsi="Cambria Math" w:cs="Cambria Math"/>
                      <w:sz w:val="24"/>
                    </w:rPr>
                  </m:ctrlPr>
                </m:e>
              </m:func>
              <m:ctrlPr>
                <w:rPr>
                  <w:rFonts w:hint="default" w:ascii="Cambria Math" w:hAnsi="Cambria Math" w:cs="Cambria Math"/>
                  <w:sz w:val="24"/>
                </w:rPr>
              </m:ctrlPr>
            </m:e>
            <m:lim>
              <m:r>
                <m:rPr/>
                <w:rPr>
                  <w:rFonts w:hint="default" w:ascii="Cambria Math" w:hAnsi="Cambria Math" w:cs="Cambria Math"/>
                  <w:sz w:val="24"/>
                </w:rPr>
                <m:t>i</m:t>
              </m:r>
              <m:ctrlPr>
                <w:rPr>
                  <w:rFonts w:hint="default" w:ascii="Cambria Math" w:hAnsi="Cambria Math" w:cs="Cambria Math"/>
                  <w:sz w:val="24"/>
                </w:rPr>
              </m:ctrlPr>
            </m:lim>
          </m:limLow>
          <m:f>
            <m:fPr>
              <m:ctrlPr>
                <w:rPr>
                  <w:rFonts w:hint="default" w:ascii="Cambria Math" w:hAnsi="Cambria Math" w:cs="Cambria Math"/>
                  <w:i/>
                  <w:sz w:val="24"/>
                </w:rPr>
              </m:ctrlPr>
            </m:fPr>
            <m:num>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num>
            <m:den>
              <m:sSub>
                <m:sSubPr>
                  <m:ctrlPr>
                    <w:rPr>
                      <w:rFonts w:hint="default" w:ascii="Cambria Math" w:hAnsi="Cambria Math" w:cs="Cambria Math"/>
                      <w:sz w:val="24"/>
                    </w:rPr>
                  </m:ctrlPr>
                </m:sSubPr>
                <m:e>
                  <m:r>
                    <m:rPr/>
                    <w:rPr>
                      <w:rFonts w:hint="default" w:ascii="Cambria Math" w:hAnsi="Cambria Math" w:cs="Cambria Math"/>
                      <w:sz w:val="24"/>
                    </w:rPr>
                    <m:t>f</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r>
                <m:rPr/>
                <w:rPr>
                  <w:rFonts w:hint="default" w:ascii="Cambria Math" w:hAnsi="Cambria Math" w:cs="Cambria Math"/>
                  <w:sz w:val="24"/>
                </w:rPr>
                <m:t>(</m:t>
              </m:r>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r>
                <m:rPr/>
                <w:rPr>
                  <w:rFonts w:hint="default" w:ascii="Cambria Math" w:hAnsi="Cambria Math" w:cs="Cambria Math"/>
                  <w:sz w:val="24"/>
                </w:rPr>
                <m:t>)</m:t>
              </m:r>
              <m:ctrlPr>
                <w:rPr>
                  <w:rFonts w:hint="default" w:ascii="Cambria Math" w:hAnsi="Cambria Math" w:cs="Cambria Math"/>
                  <w:sz w:val="24"/>
                </w:rPr>
              </m:ctrlPr>
            </m:den>
          </m:f>
          <m:r>
            <m:rPr/>
            <w:rPr>
              <w:rFonts w:hint="default" w:ascii="Cambria Math" w:hAnsi="Cambria Math" w:eastAsia="黑体" w:cs="Cambria Math"/>
              <w:lang w:val="en-US" w:eastAsia="zh-CN"/>
            </w:rPr>
            <m:t xml:space="preserve">                         </m:t>
          </m:r>
          <m:d>
            <m:dPr>
              <m:ctrlPr>
                <w:rPr>
                  <w:rFonts w:hint="default" w:ascii="Cambria Math" w:hAnsi="Cambria Math" w:eastAsia="黑体" w:cs="Cambria Math"/>
                </w:rPr>
              </m:ctrlPr>
            </m:dPr>
            <m:e>
              <m:r>
                <m:rPr>
                  <m:sty m:val="p"/>
                </m:rPr>
                <w:rPr>
                  <w:rFonts w:hint="default" w:ascii="Cambria Math" w:hAnsi="Cambria Math" w:eastAsia="黑体" w:cs="Cambria Math"/>
                  <w:lang w:val="en-US" w:eastAsia="zh-CN"/>
                </w:rPr>
                <m:t>5</m:t>
              </m:r>
              <m:ctrlPr>
                <w:rPr>
                  <w:rFonts w:hint="default" w:ascii="Cambria Math" w:hAnsi="Cambria Math" w:eastAsia="黑体" w:cs="Cambria Math"/>
                </w:rPr>
              </m:ctrlPr>
            </m:e>
          </m:d>
        </m:oMath>
      </m:oMathPara>
    </w:p>
    <w:p w14:paraId="5E87730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带宽限制。</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当网络带宽不足以在单次迭代时间内完成梯度交换时，迭代时间会增加。为了防止这种速度下降，我们对压缩率 </w:t>
      </w:r>
      <m:oMath>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 xml:space="preserve"> </m:t>
        </m:r>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施加以下限制：</w:t>
      </w:r>
    </w:p>
    <w:p w14:paraId="728F0B6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r>
            <m:rPr/>
            <w:rPr>
              <w:rFonts w:hint="default" w:ascii="Cambria Math" w:hAnsi="Cambria Math"/>
              <w:sz w:val="24"/>
            </w:rPr>
            <m:t>r≥1−</m:t>
          </m:r>
          <m:f>
            <m:fPr>
              <m:ctrlPr>
                <w:rPr>
                  <w:rFonts w:hint="default" w:ascii="Cambria Math" w:hAnsi="Cambria Math"/>
                  <w:i/>
                  <w:sz w:val="24"/>
                </w:rPr>
              </m:ctrlPr>
            </m:fPr>
            <m:num>
              <m:r>
                <m:rPr/>
                <w:rPr>
                  <w:rFonts w:hint="default" w:ascii="Cambria Math" w:hAnsi="Cambria Math"/>
                  <w:sz w:val="24"/>
                </w:rPr>
                <m:t>B</m:t>
              </m:r>
              <m:ctrlPr>
                <w:rPr>
                  <w:rFonts w:ascii="Cambria Math" w:hAnsi="Cambria Math"/>
                  <w:sz w:val="24"/>
                </w:rPr>
              </m:ctrlPr>
            </m:num>
            <m:den>
              <m:r>
                <m:rPr/>
                <w:rPr>
                  <w:rFonts w:hint="default" w:ascii="Cambria Math" w:hAnsi="Cambria Math"/>
                  <w:sz w:val="24"/>
                </w:rPr>
                <m:t>m</m:t>
              </m:r>
              <m:ctrlPr>
                <w:rPr>
                  <w:rFonts w:ascii="Cambria Math" w:hAnsi="Cambria Math"/>
                  <w:sz w:val="24"/>
                </w:rPr>
              </m:ctrlPr>
            </m:den>
          </m:f>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6</m:t>
              </m:r>
              <m:ctrlPr>
                <w:rPr>
                  <w:rFonts w:ascii="Cambria Math" w:hAnsi="Cambria Math" w:eastAsia="黑体"/>
                </w:rPr>
              </m:ctrlPr>
            </m:e>
          </m:d>
        </m:oMath>
      </m:oMathPara>
    </w:p>
    <w:p w14:paraId="3557C89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r>
          <m:rPr/>
          <w:rPr>
            <w:rFonts w:hint="default" w:ascii="Cambria Math" w:hAnsi="Cambria Math"/>
            <w:sz w:val="24"/>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r>
          <m:rPr/>
          <w:rPr>
            <w:rFonts w:hint="default" w:ascii="Cambria Math" w:hAnsi="Cambria Math"/>
            <w:sz w:val="24"/>
          </w:rPr>
          <m:t>m</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分别代表链路带宽和模型大小。需要注意的是，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应根据链路带宽 </w:t>
      </w:r>
      <m:oMath>
        <m:r>
          <m:rPr/>
          <w:rPr>
            <w:rFonts w:hint="default" w:ascii="Cambria Math" w:hAnsi="Cambria Math"/>
            <w:sz w:val="24"/>
          </w:rPr>
          <m:t>B</m:t>
        </m:r>
      </m:oMath>
      <w:r>
        <w:rPr>
          <w:rFonts w:hint="eastAsia" w:hAnsi="Cambria Math"/>
          <w:i w:val="0"/>
          <w:sz w:val="24"/>
          <w:lang w:val="en-US" w:eastAsia="zh-CN"/>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的变化以及前向传播和反向传播所需的时间(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动态调整。</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F487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C566F70">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算法 1：基于压缩率和总批处理大小的贝叶斯优化模型收敛速度。</w:t>
            </w:r>
          </w:p>
        </w:tc>
      </w:tr>
      <w:tr w14:paraId="23347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4F7F8A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847465" cy="3820160"/>
                  <wp:effectExtent l="0" t="0" r="635" b="25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5"/>
                          <a:stretch>
                            <a:fillRect/>
                          </a:stretch>
                        </pic:blipFill>
                        <pic:spPr>
                          <a:xfrm>
                            <a:off x="0" y="0"/>
                            <a:ext cx="3847465" cy="3820160"/>
                          </a:xfrm>
                          <a:prstGeom prst="rect">
                            <a:avLst/>
                          </a:prstGeom>
                          <a:noFill/>
                          <a:ln>
                            <a:noFill/>
                          </a:ln>
                        </pic:spPr>
                      </pic:pic>
                    </a:graphicData>
                  </a:graphic>
                </wp:inline>
              </w:drawing>
            </w:r>
          </w:p>
        </w:tc>
      </w:tr>
    </w:tbl>
    <w:p w14:paraId="758423C7">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4.3 建模收敛速度</w:t>
      </w:r>
    </w:p>
    <w:p w14:paraId="022B09F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估计收敛速度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g(r,x)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，其中压缩率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和总批次大小 </w:t>
      </w:r>
      <m:oMath>
        <m:r>
          <m:rPr/>
          <w:rPr>
            <w:rFonts w:hint="default" w:ascii="Cambria Math" w:hAnsi="Cambria Math"/>
            <w:sz w:val="24"/>
          </w:rPr>
          <m:t>x=</m:t>
        </m:r>
        <m:nary>
          <m:naryPr>
            <m:chr m:val="∑"/>
            <m:limLoc m:val="undOvr"/>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用于公式 (5) 中的 TTA 优化。理想情况下，我们希望创建一个详细的模型，该模型能够显示达到相同模型精度所需的额外训练轮数比例的估计值，如图 6(b) 所示。为此，我们将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g(r,x)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定义为在总批次大小为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的情况下，经过半轮探测训练后的损失相对差异，比较应用压缩和陈旧性后的训练损失与未应用任何压缩和陈旧性的训练损失。然而，由于可能的配置搜索空间庞大，对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的每一个潜在设置进行分析计算成本很高。其中，</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可以取 [0, 1) 范围内的任意值，而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可以取所有 GPU 最大批处理大小之和。为了解决这个问题，StellaTrain 采用贝叶斯优化 (BO) 来减少探测训练的次数（算法 1 中的第 1-9 行），同时获得一个能够很好地近似</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 的 g¯。</m:t>
        </m:r>
      </m:oMath>
    </w:p>
    <w:p w14:paraId="49FBFE2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BO 构建一个代理统计模型（例如，高斯过程）来近似基于过去评估点的昂贵目标函数</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。采集函数使用该代理模型来确定下一个最有希望的点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来评估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，并迭代更新代理模型 N 步。这使得 BO 能够找到一个良好的近似值</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 ≈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，并且所需的</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评估次数远少于对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进行穷举搜索所需的次数。</w:t>
      </w:r>
    </w:p>
    <w:p w14:paraId="22B13FA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我们构建了一个代理模型</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，该模型能够很好地逼近离线性能分析得到的</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（算法 1）。我们利用预期改进 (EI) 作为获取函数，该函数用于确定评估代理模型</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的下一个点，并通过 N 步迭代更新高斯过程 (GP)。与 4.1 节中的在线动态优化不同，此贝叶斯优化过程在性能分析阶段离线完成，每个模型架构在实际训练过程开始之前执行一次。具体来说，我们使用了一种改进的EI算法，该算法专注于在给定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的情况下最小化</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，而不是寻找使</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最小化的最优</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对。为了实现这一点，我们定制的EI算法随机选择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，并选择能够最大化损失预期下降的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，从而确保均匀地探索所有可能的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值，这提高了算法对不同𝑟值的鲁棒性（算法1中的第15-16行）。我们发现，我们的 BO 方法只需穷举 N = 30 步即可实现</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的高质量近似，这仅占穷举探索整个搜索空间所需步骤的 0.003%（即 1000 个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值（0 到 0.999）和 1021 个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值（4 到 1024））。</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254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C9ACC4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3515" cy="1251585"/>
                  <wp:effectExtent l="0" t="0" r="6985" b="571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5263515" cy="1251585"/>
                          </a:xfrm>
                          <a:prstGeom prst="rect">
                            <a:avLst/>
                          </a:prstGeom>
                          <a:noFill/>
                          <a:ln>
                            <a:noFill/>
                          </a:ln>
                        </pic:spPr>
                      </pic:pic>
                    </a:graphicData>
                  </a:graphic>
                </wp:inline>
              </w:drawing>
            </w:r>
          </w:p>
        </w:tc>
      </w:tr>
      <w:tr w14:paraId="07705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8F5784A">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8：StellaTrain 在多集群环境下的性能。</w:t>
            </w:r>
          </w:p>
        </w:tc>
      </w:tr>
    </w:tbl>
    <w:p w14:paraId="5CD6884C">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 评估</w:t>
      </w:r>
    </w:p>
    <w:p w14:paraId="2806D87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我们评估 StellaTrain 的性能，以回答以下问题：</w:t>
      </w:r>
    </w:p>
    <w:p w14:paraId="24D1EEFE">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A0878F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它在训练时间 (TTA) 方面带来了多少改进？（§5.1）</w:t>
      </w:r>
    </w:p>
    <w:p w14:paraId="51DDDFB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批大小自适应和缓存感知压缩对训练流程有何影响？（§5.2）</w:t>
      </w:r>
    </w:p>
    <w:p w14:paraId="6671016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基于 CPU 的方案、缓存感知压缩和稀疏优化器的效率如何？（§5.3）</w:t>
      </w:r>
    </w:p>
    <w:p w14:paraId="07230110">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实现。</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我们用 4.7k 行 C++ 代码实现了 StellaTrain，并提供了一个模型封装器，以兼容现有的 PyTorch 训练工作流程。它利用线程池模型，每个 GPU 使用 16 个工作线程，以最大限度地利用资源。它避免了忙等待 CUDA 事件和同步，从而节省 CPU 周期。我们分别使用共享内存和 ZeroMQ [5] 来实现高效的进程间和节点间通信。</w:t>
      </w:r>
    </w:p>
    <w:p w14:paraId="57F5335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设置。</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我们将 StellaTrain 的性能与四个基线模型进行比较：PyTorch DDP [26]（gloo 后端）、BytePS [23]、BytePSCompress [55] 和 Espresso [46]。BytePS-Compress 使用基于 GPU 的梯度压缩，它基于网络流水线解决方案 BytePS。Espresso 是最接近的相关工作，它在 BytePS 之上添加了自适应梯度压缩。我们还为 PyTorch DDP 和 BytePS Compress 实现了异构 GPU 支持。对于基线模型，我们使用能够完全填充 GPU 内存的批处理大小。</w:t>
      </w:r>
    </w:p>
    <w:p w14:paraId="2BCC8D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我们使用本地集群中的三个节点（每个节点配备 2 个 GPU）和远程集群中的一个节点（配备 4 个 GPU，共 4 个节点，10 个 GPU）进行评估。本地集群中的三个节点分别配备两块 NVIDIA RTX 4090、两块 RTX 4090 和两块 RTX 3090。远程集群中的节点配备四块 NVIDIA V100 GPU。为了保持实验的一致性，我们使用在两个 CloudLab 集群 [13]（犹他州和威斯康星州）之间测量的网络带宽跟踪数据来模拟本地集群（节点 1、2、3）和远程集群（节点 4）之间的带宽。本地集群和远程集群之间的平均 WAN 带宽为 115.7 Mbps。</w:t>
      </w:r>
    </w:p>
    <w:p w14:paraId="2F1552D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我们还展示了使用 100 Mbps、500 Mbps 和 1 Gbps 这三种特定链路速度进行的评估，这些速度是根据上述 WAN 带宽观察结果选择的。在这些评估中，我们使用相同的节点配置，但节点 4 除外，我们将远程 GPU 节点替换为配备两块 RTX 2080 Ti 显卡的本地节点。对于带宽分别为 1 Gbps、500 Mbps 和 100 Mbps 的情况，我们分别使用 BytePS-Compress 和 Espresso 建议的 90%、95% 和 99% 的压缩率。</w:t>
      </w:r>
    </w:p>
    <w:p w14:paraId="021618E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我们评估了三种不同的模型：ResNet152 [17]（5800 万个参数）、ViT-Base-16 [12]（8800 万个参数）和 Swin-B [27]（1.39 亿个参数）。我们使用 ImageNet-100 数据集（ImageNet [10] 的一个包含 100 个类别的子集）训练模型，最多训练 100 个 epoch，并使用 SGD [36] 优化器更新参数。我们还微调了一个预训练的 LLM 模型 GPT-2（1.236 亿个参数）。</w:t>
      </w:r>
    </w:p>
    <w:p w14:paraId="4D9F51EF">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5.1 端到端优势</w:t>
      </w:r>
    </w:p>
    <w:p w14:paraId="052423D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1C6126E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8(a) 显示了在多云场景下达到相同训练损失（或达到准确率所需时间）的端到端训练时间，该时间已标准化至 PyTorch DDP。与不涉及压缩的方法相比，StellaTrain 的 TTA 缩短幅度高达 104 倍。PyTorch DDP 存在梯度交换时间过长的问题，在网络带宽有限的情况下，以及由于 GPU 性能不足（例如，RTX 3090 比 RTX 4090 慢 2.02 倍，见表 2）。改进后的 PyTorch DDP 支持异构 GPU（记为 PyTorch DDP + Hetero），其模型训练速度提升了 2.06 倍，但仍然比 StellaTrain 慢 63.7 倍。</w:t>
      </w:r>
    </w:p>
    <w:p w14:paraId="080C9DD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与采用梯度压缩的系统（BytePS-Compress 和 Espresso）相比，StellaTrain 可将 TTA 降低高达 57.8 倍。BytePS-Compress 利用基于 GPU 的压缩技术，在消除梯度传输瓶颈的同时，显著优于未压缩的基线方案。然而，所有基线方案的性能仍然低于 StellaTrain，即使支持异构 GPU。如图 8(b) 线性比例所示，StellaTrain 的 TTA 比 BytePS-Compress + Hetero 低 1.84 倍至 2.55 倍，后者是除 StellaTrain 之外性能最佳的基线方案。这是因为 BytePS-Compress + Hetero 的梯度压缩运行在 GPU 上，消耗了宝贵的 GPU 资源，并且其同步更新方式导致 GPU 需要等待梯度交换。此外，由于 BytePS-Compress + Hetero 无法适应可变的 WAN 带宽，当 WAN 带宽下降时，梯度交换速度会变慢，迭代速度也会降低。</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D043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CD4751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8595" cy="1228725"/>
                  <wp:effectExtent l="0" t="0" r="1905" b="317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7"/>
                          <a:stretch>
                            <a:fillRect/>
                          </a:stretch>
                        </pic:blipFill>
                        <pic:spPr>
                          <a:xfrm>
                            <a:off x="0" y="0"/>
                            <a:ext cx="5268595" cy="1228725"/>
                          </a:xfrm>
                          <a:prstGeom prst="rect">
                            <a:avLst/>
                          </a:prstGeom>
                          <a:noFill/>
                          <a:ln>
                            <a:noFill/>
                          </a:ln>
                        </pic:spPr>
                      </pic:pic>
                    </a:graphicData>
                  </a:graphic>
                </wp:inline>
              </w:drawing>
            </w:r>
          </w:p>
        </w:tc>
      </w:tr>
      <w:tr w14:paraId="5D7A6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522FB5E">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9：不同 WAN 带宽下端到端 TTA 的速度提升（相对于 PyTorch DDP TTA）</w:t>
            </w:r>
          </w:p>
        </w:tc>
      </w:tr>
    </w:tbl>
    <w:p w14:paraId="4F96434F">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FAA7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6124F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478655" cy="2752725"/>
                  <wp:effectExtent l="0" t="0" r="4445" b="317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8"/>
                          <a:stretch>
                            <a:fillRect/>
                          </a:stretch>
                        </pic:blipFill>
                        <pic:spPr>
                          <a:xfrm>
                            <a:off x="0" y="0"/>
                            <a:ext cx="4478655" cy="2752725"/>
                          </a:xfrm>
                          <a:prstGeom prst="rect">
                            <a:avLst/>
                          </a:prstGeom>
                          <a:noFill/>
                          <a:ln>
                            <a:noFill/>
                          </a:ln>
                        </pic:spPr>
                      </pic:pic>
                    </a:graphicData>
                  </a:graphic>
                </wp:inline>
              </w:drawing>
            </w:r>
          </w:p>
        </w:tc>
      </w:tr>
      <w:tr w14:paraId="5FD34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46BC30F">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10：StellaTrain 的成本节约。</w:t>
            </w:r>
          </w:p>
        </w:tc>
      </w:tr>
    </w:tbl>
    <w:p w14:paraId="11AF292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8(c) 展示了在不同广域网带宽下，使用 StellaTrain 和其他基线模型训练的 ViT-Base-16 模型的迭代速度随时间的变化。与缺乏带宽自适应的基线模型不同，StellaTrain 能够根据可用带宽动态调整其压缩率和批大小，从而保持稳定且接近最优的迭代速度。</w:t>
      </w:r>
    </w:p>
    <w:p w14:paraId="76EBD82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云成本降低。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10 显示，StellaTrain 通过云端和本地集群之间的高效协同训练，分别将 FP32 和 FP16 训练的云成本降低了 64.5% 和 45.1%。这是通过云端和本地集群之间的高效协同训练实现的，使用户能够根据需要以更低的成本增强其云端 GPU 资源。我们考察了三种配置下的训练总耗时 (TTA) 和云费用：1) 6 个 RTX GPU（仅限本地），2) 8 个 V100 GPU（仅限云端），以及 3) 使用 StellaTrain 进行协同训练的 6 个 RTX GPU 和 4 个 V100 GPU 的组合。</w:t>
      </w:r>
    </w:p>
    <w:p w14:paraId="2196C979">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仅使用本地资源进行训练可以省去云成本，但会限制训练吞吐量，从而限制可扩展性和缩短开发周期 (TTA) 的潜力。相反，使用 8 个 V100 GPU 进行云端训练可以提高吞吐量（在 FP16 训练中），但会产生显著的成本。与 StellaTrain 结合使用本地和云资源进行协同训练，可将 FP32 的吞吐量提高 40.7%，同时减少所需的云 GPU 数量。这使得 FP32 的总成本降低了 64.5%，FP16 的总成本降低了 45.1%。</w:t>
      </w:r>
    </w:p>
    <w:p w14:paraId="45A88FD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TTA 具有不同的 WAN 带宽。</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9 展示了 StellaTrain 和其他基线算法在不同 WAN 带宽下的 TTA 值。与可变带宽的情况类似，在 100 Mbps、500 Mbps 和 1 Gbps 的场景下，StellaTrain 的 TTA 分别比未压缩的基线算法降低了 127.8-257.3 倍、26.8-78.1 倍和 14.3-35.8 倍。与支持梯度压缩和异构 GPU 的系统（BytePS-Compress 和 Espresso + Hetero）相比，StellaTrain 在 100 Mbps、500 Mbps 和 1 Gbps 的场景下，TTA 分别降低了 3.07-56.4 倍、1.23-26.3 倍和 1.31-6.15 倍。</w:t>
      </w:r>
    </w:p>
    <w:p w14:paraId="0E3B8AD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然而，即使在静态带宽环境下，支持异构GPU的BytesPS Compress（除StellaTrain外最快的基准算法）仍然比StellaTrain慢6.12倍。尤其是在100 Mbps的带宽环境下，它会浪费宝贵的GPU资源进行压缩，并且需要等待梯度交换，导致GPU停顿。Espresso的性能优于未压缩的基准算法，但在低带宽场景下仍然表现不佳。由于Espresso决定如何、在哪里以及是否压缩的逻辑是针对高带宽环境（≥25 Gbps）高度优化的，因此Espresso调度器会做出效率低下的决策——它会交换大部分未压缩的层，或者仅对FP16应用梯度量化（例如，对于Swin-B，仅压缩了330层中的7层）。这最终导致传输的数据量比固定压缩更多。</w:t>
      </w:r>
    </w:p>
    <w:p w14:paraId="471183D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迭代速度和收敛速度。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为了确定性能提升的因素，我们在图 11 中比较了各框架的迭代速度和收敛速度。由于其优化的流水线，StellaTrain 在所有系统中实现了最佳迭代速度（图 11(a)）。在 100 Mbps、500 Mbps 和 1 Gbps 的数据速率下，StellaTrain 的迭代速度分别比基于 GPU 的压缩方案高出 785%、72.8% 和 68.1%。</w:t>
      </w:r>
    </w:p>
    <w:p w14:paraId="490B9BB3">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与普遍认知不同，图 11(b) 显示，即使在高压缩率和数据陈旧的情况下，收敛速度也不会受到显著影响。虽然其他基于压缩的方案（例如 BytePS-Compress 和 Espresso）具有较高的收敛速度，但我们通过实验证明，等待梯度交换的开销实际上大于数据陈旧导致的收敛速度损失。</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F8B1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9A738D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4785" cy="1017270"/>
                  <wp:effectExtent l="0" t="0" r="5715" b="1143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9"/>
                          <a:stretch>
                            <a:fillRect/>
                          </a:stretch>
                        </pic:blipFill>
                        <pic:spPr>
                          <a:xfrm>
                            <a:off x="0" y="0"/>
                            <a:ext cx="5264785" cy="1017270"/>
                          </a:xfrm>
                          <a:prstGeom prst="rect">
                            <a:avLst/>
                          </a:prstGeom>
                          <a:noFill/>
                          <a:ln>
                            <a:noFill/>
                          </a:ln>
                        </pic:spPr>
                      </pic:pic>
                    </a:graphicData>
                  </a:graphic>
                </wp:inline>
              </w:drawing>
            </w:r>
          </w:p>
        </w:tc>
      </w:tr>
      <w:tr w14:paraId="7C5C4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2" w:hRule="atLeast"/>
        </w:trPr>
        <w:tc>
          <w:tcPr>
            <w:tcW w:w="8522" w:type="dxa"/>
          </w:tcPr>
          <w:p w14:paraId="50F6C2A9">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11：不同 WAN 带宽下的迭代速度和收敛速度（相对于 PyTorch DDP）</w:t>
            </w:r>
          </w:p>
        </w:tc>
      </w:tr>
    </w:tbl>
    <w:p w14:paraId="3294CD1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微调LLM模型。</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我们证明StellaTrain能够在多集群环境下高效地微调LLM模型。我们比较了使用PyTorch DDP和StellaTrain训练预训练GPT-2模型（1.236亿参数）的微调时间（TTA）。我们使用WikiText-103 [28]数据集对预训练的GPT-2模型进行1个epoch的微调。在1 Gbps网络下训练时，我们发现StellaTrain比使用PyTorch DDP和支持异构GPU的PyTorch DDP分别快17.2倍和8.71倍。性能提升与我们基于图像的训练评估结果相当。</w:t>
      </w:r>
    </w:p>
    <w:p w14:paraId="4D047154">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借助StellaTrain，用户现在可以在多个节点上高效地训练LLM模型。如果没有StellaTrain，在我们拥有8个GPU的集群中，最佳情况也只能使用一个配备2块RTX4090的节点。在配备两块 RTX 4090 显卡的单机上，LLM 微调的吞吐量为每秒 17.8 次迭代。在我们拥有 8 个 GPU 的分布式集群（详见设置）上，使用 StellaTrain 实现了显著的加速，吞吐量达到每秒 27.2 次迭代（相比单节点配置提升了 53%）。在同一集群上，PyTorch-DDP 的吞吐量仅为每秒 1.58 次迭代，比单节点配置慢了 11.24 倍。</w:t>
      </w:r>
    </w:p>
    <w:p w14:paraId="19DD6755">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对于大规模分布式数据集上的 LLM 微调，StellaTrain 可以避免传输整个数据集，从而降低广域网带宽的使用。它通过带宽有限的广域网交换梯度数据。</w:t>
      </w:r>
    </w:p>
    <w:p w14:paraId="20D024C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5.2 各组成部分的效益</w:t>
      </w:r>
    </w:p>
    <w:p w14:paraId="51601E9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动态批处理大小自适应。</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14(a) 展示了 StellaTrain 如何针对 ViT-Base-16 模型，在不同带宽下选择最佳压缩比和总批处理大小。该模型在两个节点上进行评估，每个节点分别配备两块 RTX 4090 和两块 RTX 2080 Ti 显卡。StellaTrain 根据观测到的带宽选择不同的批处理大小和压缩率；当可用带宽为 1 Gbps 时，StellaTrain 选择批处理大小为 137，压缩率为 97%；当可用带宽为 100 Mbps 时，StellaTrain 则分别选择批处理大小为 240 和压缩率为 99.5%。</w:t>
      </w:r>
    </w:p>
    <w:p w14:paraId="2406DE97">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如图 14(b) 所示，使用 Swin-B 时，StellaTrain 的 TTA 速度分别比未进行任何自适应和仅进行压缩比自适应的基线模型快 43.3% 和 8.1%。未进行任何自适应的基线模型由于网络拥塞和批次大小选择不佳，导致迭代速度和收敛速度均较慢。调整压缩率也会导致批次大小选择不佳，在带宽有限的情况下，压缩比可能过高，从而减慢收敛速度。</w:t>
      </w:r>
    </w:p>
    <w:p w14:paraId="50FF6719">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14(c) 展示了 StellaTrain 如何根据带宽波动调整每个 GPU 的批次大小。该评估使用了 4 个 GPU（两个 RTX 4090 和两个 RTX 2080 Ti）。虚线表示 CloudLab 集群之间测得的 WAN 带宽波动曲线，实线表示 StellaTrain 为不同类型的 GPU 选择的批次大小。 StellaTrain 会动态调整各个 GPU 的批处理大小，以最大限度地减少 TTA（时间差），为速度更快的 GPU 选择较大的批处理大小，为速度较慢的 GPU 选择较小的批处理大小，以防止出现掉队的情况。</w:t>
      </w:r>
    </w:p>
    <w:p w14:paraId="43E2D2C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缓存感知压缩和稀疏优化器。</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缓存感知压缩和稀疏优化器对于在压缩梯度交换期间最大化 GPU 利用率至关重要。由于计算需求更高，使用 PyTorch Top-k 压缩代替缓存感知压缩会使迭代速度降低 11.3%。将稀疏优化器替换为 PyTorch 中的默认 SGD 优化器会进一步降低迭代速度 17.3%。由于这两个过程的计算量都很大，因此当同时禁用缓存感知压缩和稀疏优化器时，迭代速度会显著下降，降幅高达 44.3%。</w:t>
      </w:r>
    </w:p>
    <w:p w14:paraId="3D3B44A6">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5.3 深度探索</w:t>
      </w:r>
    </w:p>
    <w:p w14:paraId="1DCD3C6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稀疏优化器。</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12 显示了优化器更新模型参数所需的时间。我们将 PyTorch 中的密集优化器与 StellaTrain 中基于 CPU 的稀疏优化器（§3.1）进行了比较。虽然密集优化器在 GPU 上速度很快，但在 CPU 上速度明显变慢，需要高达 172 毫秒，这使得基于 CPU 的优化变得不可行。相比之下，我们的稀疏优化器在关闭缓存感知的情况下，可以实现 10.2 毫秒的优化时间（梯度压缩率为 99%），速度提升了 16.8 倍。启用缓存感知压缩后，优化时间进一步缩短，在梯度压缩率为 99% 时达到 1.34 毫秒，速度提升了 128 倍。需要注意的是，对于密集优化器，无论压缩率如何，时间都保持不变，因为总计算量固定为参数大小。</w:t>
      </w:r>
    </w:p>
    <w:p w14:paraId="3A3C8C2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缓存感知压缩。</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如图 13(a) 所示，缓存感知阈值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压缩方法能够加速压缩本身。与非缓存感知方法相比，其压缩速度最高可提升 3.35 倍，仅需 33.5 毫秒即可压缩整个模型的梯度。值得注意的是，即使在 GPU 上，缓存感知阈值 v 压缩也比原始阈值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压缩快 16%。在图 13(b) 中，我们比较了模型收敛速度，并观察到缓存感知阈值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压缩与原始阈值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压缩相当，并且优于常用的轻量级压缩方案 random-</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6075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20D5B89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893185" cy="2451100"/>
                  <wp:effectExtent l="0" t="0" r="571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0"/>
                          <a:stretch>
                            <a:fillRect/>
                          </a:stretch>
                        </pic:blipFill>
                        <pic:spPr>
                          <a:xfrm>
                            <a:off x="0" y="0"/>
                            <a:ext cx="3893185" cy="2451100"/>
                          </a:xfrm>
                          <a:prstGeom prst="rect">
                            <a:avLst/>
                          </a:prstGeom>
                          <a:noFill/>
                          <a:ln>
                            <a:noFill/>
                          </a:ln>
                        </pic:spPr>
                      </pic:pic>
                    </a:graphicData>
                  </a:graphic>
                </wp:inline>
              </w:drawing>
            </w:r>
          </w:p>
        </w:tc>
      </w:tr>
      <w:tr w14:paraId="16CC7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A0B2C63">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12：Stella Train 与密集优化器的优化时间对比。</w:t>
            </w:r>
          </w:p>
        </w:tc>
      </w:tr>
    </w:tbl>
    <w:p w14:paraId="2FC34E9D">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72C11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41638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71135" cy="1878965"/>
                  <wp:effectExtent l="0" t="0" r="12065" b="63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1"/>
                          <a:stretch>
                            <a:fillRect/>
                          </a:stretch>
                        </pic:blipFill>
                        <pic:spPr>
                          <a:xfrm>
                            <a:off x="0" y="0"/>
                            <a:ext cx="5271135" cy="1878965"/>
                          </a:xfrm>
                          <a:prstGeom prst="rect">
                            <a:avLst/>
                          </a:prstGeom>
                          <a:noFill/>
                          <a:ln>
                            <a:noFill/>
                          </a:ln>
                        </pic:spPr>
                      </pic:pic>
                    </a:graphicData>
                  </a:graphic>
                </wp:inline>
              </w:drawing>
            </w:r>
          </w:p>
        </w:tc>
      </w:tr>
      <w:tr w14:paraId="0A4C5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509A3DB">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13：缓存感知阈值压缩的性能</w:t>
            </w:r>
          </w:p>
        </w:tc>
      </w:tr>
    </w:tbl>
    <w:p w14:paraId="4F2ADEC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B988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7B5DD1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034790" cy="3184525"/>
                  <wp:effectExtent l="0" t="0" r="3810" b="317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2"/>
                          <a:stretch>
                            <a:fillRect/>
                          </a:stretch>
                        </pic:blipFill>
                        <pic:spPr>
                          <a:xfrm>
                            <a:off x="0" y="0"/>
                            <a:ext cx="4034790" cy="3184525"/>
                          </a:xfrm>
                          <a:prstGeom prst="rect">
                            <a:avLst/>
                          </a:prstGeom>
                          <a:noFill/>
                          <a:ln>
                            <a:noFill/>
                          </a:ln>
                        </pic:spPr>
                      </pic:pic>
                    </a:graphicData>
                  </a:graphic>
                </wp:inline>
              </w:drawing>
            </w:r>
          </w:p>
        </w:tc>
      </w:tr>
      <w:tr w14:paraId="30672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AD0CD53">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14：压缩率和批次大小的调整。</w:t>
            </w:r>
          </w:p>
        </w:tc>
      </w:tr>
    </w:tbl>
    <w:p w14:paraId="36264A8F">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基于优先级的调度。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我们使用 ResNet152 模型，在 StellaTrain 中比较了梯度更新的基准先来先服务 (FCFS) 调度和基于优先级的调度，以评估梯度优先级的影响。我们观察到，在 StellaTrain 中，基准 FCFS 比基于优先级的调度慢 9.6%。由于 StellaTrain 优先处理初始层的模型更新，因此后续迭代的前向传播可以更早开始。随着模型规模的增大，优先级的优势将更加显著，因为在 FCFS 中初始层需要等待更长时间。</w:t>
      </w:r>
    </w:p>
    <w:p w14:paraId="7A705A4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陈旧性。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应用有界陈旧性对于加快收敛速度​​至关重要。消除陈旧性需要后续迭代等待梯度交换，这会阻碍训练流程。我们使用 Swin-B 进行的评估表明，消除陈旧性会使迭代速度降低 22%。虽然有限陈旧性会影响收敛速度，但不会影响模型的最终收敛。我们的结果表明，引入陈旧性最多会使收敛速度降低 18%。然而，这种降低幅度远小于完全消除陈旧性时观察到的降低幅度（22% - 33.4%）。因此，引入有限陈旧性有利于降低 TTA（时间-时间-目标）。</w:t>
      </w:r>
    </w:p>
    <w:p w14:paraId="1DBC550A">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在我们的自适应陈旧性方法中，约 15% 的层在没有陈旧性的情况下进行更新，从而在保持快速迭代速度和有效收敛之间取得了平衡。</w:t>
      </w:r>
    </w:p>
    <w:p w14:paraId="61F8DCA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6 相关工作与讨论</w:t>
      </w:r>
    </w:p>
    <w:p w14:paraId="2E9558F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联邦学习。</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专为每个 GPU 都能快速计算梯度的环境而设计。这与联邦学习 (FL) 截然不同，后者采用异步参数更新来适应高度可变且固有的低计算速度。在这种设置下应用现有的联邦学习解决方案反而会过度增加模型的“陈旧性”，从而严重降低收敛速度。联邦学习的主要关注点在于处理不同客户端之间的非独立同分布 (non-IID) 数据，而 StellaTrain 使用的是独立同分布 (IID) 训练数据，因此无需考虑这个问题。</w:t>
      </w:r>
    </w:p>
    <w:p w14:paraId="38BCC6C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协同优化的优势。</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15 展示了加速策略在 TTA 的两个决定因素方面的权衡空间。原始的分布式训练方案 PyTorch DDP [26] 由于网络负载高，收敛速度快但迭代速度慢。压缩策略 [3, 4, 14, 19, 43] 可以显著降低网络负载，从而提高迭代速度。然而，如果压缩策略没有经过仔细调优，尤其是在低带宽下，则可能会显著影响收敛速度。网络自适应压缩方案，例如 DC2 [1] 和 Kimad [47]，可以缓解这种影响。Espresso [46] 通过将流水线技术与压缩相结合，可以进一步提高收敛速度和迭代速度，但这需要仔细调优。正如我们的评估所示，StellaTrain 在保持高收敛速度的同时，显著缩短了迭代时间。多种加速策略的协同优化使我们能够在设计权衡空间中解锁高性能区域。</w:t>
      </w:r>
    </w:p>
    <w:p w14:paraId="6ADD3572">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15 中各种方案的性能可以形象地表示为每种方案在探索图 6 中的最优平面时所提供的灵活性。Espresso 在图 6 所示的压缩比和网络带宽的二维平面上搜索最优点。而 StellaTrain 则使我们能够在三维空间中搜索，同时利用固定的过时性、基于优先级的任务调度和基于 CPU 的优化，从而支持更大的模型。</w:t>
      </w:r>
    </w:p>
    <w:p w14:paraId="046400D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支持更大规模的模型。</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的设计重点在于支持通过广域网 (WAN) 隔离的多集群环境下的数据并行处理。尽管我们目前的实现和评估仅限于训练能够放入 GPU 内存的模型，但我们相信它可以轻松扩展，以支持训练具有数千亿参数的逻辑学习模型 (LLM)（例如 GPT-3 [7]、OPT-175B [51]），且额外开销几乎可以忽略不计。</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7A45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B19AD0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963035" cy="2360930"/>
                  <wp:effectExtent l="0" t="0" r="12065" b="127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3"/>
                          <a:stretch>
                            <a:fillRect/>
                          </a:stretch>
                        </pic:blipFill>
                        <pic:spPr>
                          <a:xfrm>
                            <a:off x="0" y="0"/>
                            <a:ext cx="3963035" cy="2360930"/>
                          </a:xfrm>
                          <a:prstGeom prst="rect">
                            <a:avLst/>
                          </a:prstGeom>
                          <a:noFill/>
                          <a:ln>
                            <a:noFill/>
                          </a:ln>
                        </pic:spPr>
                      </pic:pic>
                    </a:graphicData>
                  </a:graphic>
                </wp:inline>
              </w:drawing>
            </w:r>
          </w:p>
        </w:tc>
      </w:tr>
      <w:tr w14:paraId="58A3F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280D511B">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15：TTA 两个决定因素权衡空间中的多集群加速策略。</w:t>
            </w:r>
          </w:p>
        </w:tc>
      </w:tr>
    </w:tbl>
    <w:p w14:paraId="726EC409">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实现这一目标主要有两种方法。最直接的方法是应用现有的卸载技术，在单个GPU上训练更大的模型。StellaTrain随后将每个GPU机器视为一个独立的集群，无需任何修改。通过参数卸载[35]和激活检查点机制，StellaTrain可以节省GPU内存，因为它只在GPU上维护活动层的参数，并将其余参数卸载到CPU内存。实现这些技术只需要在反向传播之前增加一个参数上传步骤，并且考虑到当前PCIe上传带宽利用率低于20%，不太可能显著影响迭代速度。第二种方法是采用分层设计。这种方法利用集群内的高速连接，以模型并行的方式训练更大的模型，并在集群间应用数据并行。还需要进一步研究简化的多层流水线，以实现跨模型/数据并行边界的分层梯度交换。</w:t>
      </w:r>
    </w:p>
    <w:p w14:paraId="0303D08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缺乏正式的收敛性证明。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 StellaTrain 中，我们结合了多种加速策略，并通过实验证明协同优化不会影响收敛性。通过多次实验，我们展示了收敛速度在基线的 82% 以内。我们略微牺牲了收敛速度，以显著提高迭代速度，从而提升 TTA。我们将正式的收敛性证明留待未来工作。</w:t>
      </w:r>
    </w:p>
    <w:p w14:paraId="06D16BE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值得注意的是，机器学习中使用的大多数加速策略的收敛性证明是在这些技术流行起来并被广泛实际应用之后才建立的。例如，梯度稀疏化/压缩早在2015年就被证明是切实可行且性能优异的[3, 44]，并因此得到了广泛的实际应用，但直到2018年才建立了其收敛性的理论依据[4]。类似地，静态性理论基础在2011年至2015年间建立[18, 25, 34, 50]，并且至今仍是近期研究的主题[8]，而该技术自2009年以来已被广泛应用于可扩展训练实践十余年[9, 24, 56]。我们的贡献在于通过实证研究证明将两者结合起来的优势，并呼吁在理论领域做出贡献。</w:t>
      </w:r>
    </w:p>
    <w:p w14:paraId="2B60189E">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在多策略空间中优化集体算法。压缩梯度的聚合是一个挑战[40]，因为在每个工作节点上，最大梯度集合可能不同。目前，StellaTrain采用了一种简单的近似方法，即在每个工作节点上选择前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k/N</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个梯度，这样最多只有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个梯度会被更新。OmniReduce[15]提出在这种情况下只传输非零块。我们可以通过允许谨慎地剔除非零块来扩展设计空间。我们将设计一种更灵活的压缩感知梯度聚合方案作为未来的工作。</w:t>
      </w:r>
    </w:p>
    <w:p w14:paraId="6D7493F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处理带宽估计误差。</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基于估计的网络带宽来确定每个设备的压缩比和批处理大小。带宽估计误差可能会影响流水线处理。如果实际带宽高于估计值，则资源利用率会降低。另一方面，如果实际带宽较低，会对流水线处理以及收敛速度产生显著的不利影响。因此，对于流水线处理而言，带宽高估比带宽低估的危害更大。因此，我们在 StellaTrain 中采用了一种保守的带宽估计和自适应方法。</w:t>
      </w:r>
    </w:p>
    <w:p w14:paraId="1EE3BD6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应对广域网挑战。</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虽然这项工作侧重于适应广域网训练中的带宽波动，但我们也意识到广域网环境可能出现其他瞬态情况，例如丢包和超时，从而带来额外的挑战。StellaTrain 依赖于底层 TCP 和 ZeroMQ 传输协议来从丢包中恢复并相应地调整传输速率，以确保训练精度不受影响。然而，在极差的广域网条件下，可能需要动态节点管理，允许新节点根据其网络状态加入或离开训练集群，这可以进一步提高训练效率和鲁棒性。最后，StellaTrain 并未处理容错和故障恢复。</w:t>
      </w:r>
    </w:p>
    <w:p w14:paraId="1E65577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35B97356">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lang w:val="en-US" w:eastAsia="zh-CN"/>
        </w:rPr>
        <w:t>7 结论</w:t>
      </w:r>
    </w:p>
    <w:p w14:paraId="19B6357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是首个采用整体方法加速消费级 GPU 集群模型训练的框架，它通过协同优化多种加速技术来实现这一目标。我们研究了加速技术的设计空间，并确定了缩短达到准确时间的关键权衡参数。除了利用已知的解决方案外，StellaTrain 还引入了新的训练加速策略，包括缓存感知梯度压缩方案和基于 CPU 的稀疏优化器。我们的评估表明，StellaTrain 能够在带宽受限的多集群环境下将分布式训练速度提升高达 104 倍，同时还能无缝适应带宽波动。在 100 Mbps 和 500 Mbps 的网络带宽下，StellaTrain 分别实现了高达 257.3 倍和 78.1 倍的加速。StellaTrain 在微调 LLM 模型方面也提供了显著的速度提升。这项工作不涉及任何伦理问题。</w:t>
      </w:r>
    </w:p>
    <w:p w14:paraId="1B853160">
      <w:pPr>
        <w:rPr>
          <w:rFonts w:hint="eastAsia"/>
          <w:sz w:val="28"/>
          <w:szCs w:val="40"/>
        </w:rPr>
      </w:pPr>
      <w:r>
        <w:rPr>
          <w:rFonts w:hint="eastAsia"/>
          <w:sz w:val="28"/>
          <w:szCs w:val="40"/>
        </w:rPr>
        <w:br w:type="page"/>
      </w:r>
    </w:p>
    <w:p w14:paraId="09D8EEAA">
      <w:pPr>
        <w:pStyle w:val="2"/>
        <w:keepNext/>
        <w:keepLines/>
        <w:pageBreakBefore w:val="0"/>
        <w:widowControl w:val="0"/>
        <w:kinsoku/>
        <w:wordWrap/>
        <w:overflowPunct/>
        <w:topLinePunct w:val="0"/>
        <w:autoSpaceDE/>
        <w:autoSpaceDN/>
        <w:bidi w:val="0"/>
        <w:adjustRightInd/>
        <w:snapToGrid/>
        <w:spacing w:before="120" w:after="120" w:line="360" w:lineRule="auto"/>
        <w:textAlignment w:val="auto"/>
        <w:rPr>
          <w:rFonts w:hint="eastAsia"/>
          <w:sz w:val="32"/>
          <w:lang w:val="en-US" w:eastAsia="zh-CN"/>
        </w:rPr>
      </w:pPr>
      <w:bookmarkStart w:id="1" w:name="_GoBack"/>
      <w:bookmarkEnd w:id="1"/>
      <w:r>
        <w:rPr>
          <w:rFonts w:hint="eastAsia"/>
          <w:sz w:val="28"/>
          <w:szCs w:val="40"/>
        </w:rPr>
        <w:t>专业词汇及缩略词解释</w:t>
      </w:r>
      <w:r>
        <w:rPr>
          <w:rFonts w:hint="eastAsia"/>
          <w:sz w:val="32"/>
          <w:lang w:val="en-US" w:eastAsia="zh-CN"/>
        </w:rPr>
        <w:t xml:space="preserve"> （</w:t>
      </w:r>
      <w:r>
        <w:rPr>
          <w:rFonts w:hint="eastAsia" w:ascii="华文宋体" w:hAnsi="华文宋体" w:eastAsia="华文宋体" w:cs="Times New Roman"/>
          <w:lang w:val="en-US" w:eastAsia="zh-CN"/>
        </w:rPr>
        <w:t xml:space="preserve"> </w:t>
      </w:r>
      <w:r>
        <w:rPr>
          <w:rFonts w:hint="eastAsia" w:ascii="华文宋体" w:hAnsi="华文宋体" w:eastAsia="华文宋体" w:cs="Times New Roman"/>
          <w:b/>
          <w:bCs/>
          <w:color w:val="FF0000"/>
          <w:lang w:val="en-US" w:eastAsia="zh-CN"/>
        </w:rPr>
        <w:t>不少于20个！！！</w:t>
      </w:r>
      <w:r>
        <w:rPr>
          <w:rFonts w:hint="eastAsia"/>
          <w:sz w:val="32"/>
          <w:lang w:val="en-US" w:eastAsia="zh-CN"/>
        </w:rPr>
        <w:t>）</w:t>
      </w:r>
    </w:p>
    <w:p w14:paraId="12E7CF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r>
        <w:rPr>
          <w:rFonts w:hint="eastAsia"/>
          <w:color w:val="FF0000"/>
          <w:sz w:val="24"/>
          <w:szCs w:val="20"/>
          <w:lang w:val="en-US" w:eastAsia="zh-CN"/>
        </w:rPr>
        <w:t xml:space="preserve">（原文翻译结束后，整理论文中出现的专有词汇或者缩略词等，附在翻译文献后面，按照如下格式写 </w:t>
      </w:r>
    </w:p>
    <w:p w14:paraId="0234141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p>
    <w:p w14:paraId="313FDE07">
      <w:pPr>
        <w:pStyle w:val="17"/>
        <w:numPr>
          <w:ilvl w:val="0"/>
          <w:numId w:val="2"/>
        </w:numPr>
        <w:ind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原词-原词的英文释义</w:t>
      </w:r>
    </w:p>
    <w:p w14:paraId="37E14E36">
      <w:pPr>
        <w:pStyle w:val="17"/>
        <w:numPr>
          <w:ilvl w:val="0"/>
          <w:numId w:val="0"/>
        </w:numPr>
        <w:ind w:firstLine="420"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原词的中文翻译-原词的中文释义）</w:t>
      </w:r>
    </w:p>
    <w:p w14:paraId="1A267799">
      <w:pPr>
        <w:pStyle w:val="17"/>
        <w:numPr>
          <w:ilvl w:val="0"/>
          <w:numId w:val="0"/>
        </w:numPr>
        <w:ind w:firstLine="420" w:firstLineChars="0"/>
        <w:rPr>
          <w:rFonts w:hint="eastAsia" w:ascii="Times New Roman" w:hAnsi="Times New Roman" w:cs="Times New Roman"/>
          <w:lang w:val="en-US" w:eastAsia="zh-CN"/>
        </w:rPr>
      </w:pPr>
    </w:p>
    <w:p w14:paraId="5CEC0634">
      <w:pPr>
        <w:pStyle w:val="17"/>
        <w:numPr>
          <w:ilvl w:val="0"/>
          <w:numId w:val="2"/>
        </w:numPr>
        <w:ind w:firstLineChars="0"/>
        <w:rPr>
          <w:rFonts w:ascii="华文宋体" w:hAnsi="华文宋体" w:eastAsia="华文宋体" w:cs="Times New Roman"/>
        </w:rPr>
      </w:pPr>
      <w:r>
        <w:rPr>
          <w:rFonts w:ascii="Times New Roman" w:hAnsi="Times New Roman" w:cs="Times New Roman"/>
        </w:rPr>
        <w:t>additive Gaussian noise (AWGN) - a type of noise that follows a Gaussian distribution and is added to a signal.</w:t>
      </w:r>
    </w:p>
    <w:p w14:paraId="1A9D3146">
      <w:pPr>
        <w:pStyle w:val="17"/>
        <w:ind w:left="420" w:firstLine="0" w:firstLineChars="0"/>
        <w:rPr>
          <w:rFonts w:ascii="华文宋体" w:hAnsi="华文宋体" w:eastAsia="华文宋体" w:cs="Times New Roman"/>
        </w:rPr>
      </w:pPr>
      <w:r>
        <w:rPr>
          <w:rFonts w:ascii="华文宋体" w:hAnsi="华文宋体" w:eastAsia="华文宋体" w:cs="Times New Roman"/>
        </w:rPr>
        <w:t>加性高斯噪声：一种遵循高斯分布并添加到信号中的噪声类型。</w:t>
      </w:r>
    </w:p>
    <w:p w14:paraId="672BE9BE">
      <w:pPr>
        <w:pStyle w:val="17"/>
        <w:numPr>
          <w:ilvl w:val="0"/>
          <w:numId w:val="2"/>
        </w:numPr>
        <w:ind w:firstLineChars="0"/>
        <w:rPr>
          <w:rFonts w:ascii="华文宋体" w:hAnsi="华文宋体" w:eastAsia="华文宋体" w:cs="Times New Roman"/>
        </w:rPr>
      </w:pPr>
      <w:r>
        <w:rPr>
          <w:rFonts w:ascii="Times New Roman" w:hAnsi="Times New Roman" w:cs="Times New Roman"/>
        </w:rPr>
        <w:t>additive white noisy images (AWINS) - images that have been corrupted by the addition of white noise, which is random noise with a flat power spectral density across all frequencies.</w:t>
      </w:r>
    </w:p>
    <w:p w14:paraId="6BE86A2C">
      <w:pPr>
        <w:pStyle w:val="17"/>
        <w:ind w:left="420" w:firstLine="0" w:firstLineChars="0"/>
        <w:rPr>
          <w:rFonts w:ascii="华文宋体" w:hAnsi="华文宋体" w:eastAsia="华文宋体" w:cs="Times New Roman"/>
        </w:rPr>
      </w:pPr>
      <w:r>
        <w:rPr>
          <w:rFonts w:ascii="华文宋体" w:hAnsi="华文宋体" w:eastAsia="华文宋体" w:cs="Times New Roman"/>
        </w:rPr>
        <w:t>加性白噪声图像：通过添加白噪声而被破坏的图像，白噪声是在所有频率上具有平坦功率谱密度的随机噪声。</w:t>
      </w:r>
    </w:p>
    <w:p w14:paraId="3D82AC26">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attention mechanism - a mechanism in deep learning models that allows the model to focus on specific parts of the input data, enhancing its ability to capture relevant information. </w:t>
      </w:r>
    </w:p>
    <w:p w14:paraId="4C329E6E">
      <w:pPr>
        <w:pStyle w:val="17"/>
        <w:ind w:left="420" w:firstLine="0" w:firstLineChars="0"/>
        <w:rPr>
          <w:rFonts w:ascii="华文宋体" w:hAnsi="华文宋体" w:eastAsia="华文宋体" w:cs="Times New Roman"/>
        </w:rPr>
      </w:pPr>
      <w:r>
        <w:rPr>
          <w:rFonts w:ascii="华文宋体" w:hAnsi="华文宋体" w:eastAsia="华文宋体" w:cs="Times New Roman"/>
        </w:rPr>
        <w:t>注意力机制：深度学习模型中的一种机制，使模型能够专注于输入数据的特定部分，增强其捕捉相关信息的能力。</w:t>
      </w:r>
    </w:p>
    <w:p w14:paraId="6342DFBD">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auto-encoder - a type of neural network that learns to reconstruct its input data, often used for unsupervised learning and dimensionality reduction. </w:t>
      </w:r>
    </w:p>
    <w:p w14:paraId="47701443">
      <w:pPr>
        <w:pStyle w:val="17"/>
        <w:ind w:left="420" w:firstLine="0" w:firstLineChars="0"/>
        <w:rPr>
          <w:rFonts w:ascii="华文宋体" w:hAnsi="华文宋体" w:eastAsia="华文宋体" w:cs="Times New Roman"/>
        </w:rPr>
      </w:pPr>
      <w:r>
        <w:rPr>
          <w:rFonts w:ascii="华文宋体" w:hAnsi="华文宋体" w:eastAsia="华文宋体" w:cs="Times New Roman"/>
        </w:rPr>
        <w:t>自编码器：一种神经网络类型，学习重构其输入数据，常用于无监督学习和降维。</w:t>
      </w:r>
    </w:p>
    <w:p w14:paraId="7059AE52">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back propagation (BP) - a technique used in neural networks to train the weights and biases by propagating the error backwards from the output layer to the input layer, allowing the network to learn and adjust its parameters. </w:t>
      </w:r>
    </w:p>
    <w:p w14:paraId="506B3D0E">
      <w:pPr>
        <w:pStyle w:val="17"/>
        <w:ind w:left="420" w:firstLine="0" w:firstLineChars="0"/>
        <w:rPr>
          <w:rFonts w:ascii="华文宋体" w:hAnsi="华文宋体" w:eastAsia="华文宋体" w:cs="Times New Roman"/>
        </w:rPr>
      </w:pPr>
      <w:r>
        <w:rPr>
          <w:rFonts w:ascii="华文宋体" w:hAnsi="华文宋体" w:eastAsia="华文宋体" w:cs="Times New Roman"/>
        </w:rPr>
        <w:t>反向传播：一种在神经网络中用于通过将误差从输出层向输入层反向传播来训练权重和偏置的技术，使网络能够学习和调整其参数。</w:t>
      </w:r>
    </w:p>
    <w:p w14:paraId="72D89C6D">
      <w:pPr>
        <w:pStyle w:val="17"/>
        <w:numPr>
          <w:ilvl w:val="0"/>
          <w:numId w:val="2"/>
        </w:numPr>
        <w:ind w:firstLineChars="0"/>
        <w:rPr>
          <w:rFonts w:ascii="华文宋体" w:hAnsi="华文宋体" w:eastAsia="华文宋体" w:cs="Times New Roman"/>
        </w:rPr>
      </w:pPr>
      <w:r>
        <w:rPr>
          <w:rFonts w:ascii="Times New Roman" w:hAnsi="Times New Roman" w:cs="Times New Roman"/>
        </w:rPr>
        <w:t>batch normalization (BN) - a technique used to accelerate the training of neural networks.</w:t>
      </w:r>
    </w:p>
    <w:p w14:paraId="3D122C1C">
      <w:pPr>
        <w:pStyle w:val="17"/>
        <w:ind w:left="420" w:firstLine="0" w:firstLineChars="0"/>
        <w:rPr>
          <w:rFonts w:ascii="华文宋体" w:hAnsi="华文宋体" w:eastAsia="华文宋体" w:cs="Times New Roman"/>
        </w:rPr>
      </w:pPr>
      <w:r>
        <w:rPr>
          <w:rFonts w:ascii="华文宋体" w:hAnsi="华文宋体" w:eastAsia="华文宋体" w:cs="Times New Roman"/>
        </w:rPr>
        <w:t>批归一化：一种用于加速神经网络训练的技术。</w:t>
      </w:r>
    </w:p>
    <w:p w14:paraId="4B92FD14">
      <w:pPr>
        <w:pStyle w:val="17"/>
        <w:numPr>
          <w:ilvl w:val="0"/>
          <w:numId w:val="2"/>
        </w:numPr>
        <w:ind w:firstLineChars="0"/>
        <w:rPr>
          <w:rFonts w:ascii="Times New Roman" w:hAnsi="Times New Roman" w:cs="Times New Roman"/>
        </w:rPr>
      </w:pPr>
      <w:r>
        <w:rPr>
          <w:rFonts w:ascii="Times New Roman" w:hAnsi="Times New Roman" w:cs="Times New Roman"/>
        </w:rPr>
        <w:t xml:space="preserve">Bayesian - a statistical approach that uses probability theory to model uncertainty and make predictions. </w:t>
      </w:r>
    </w:p>
    <w:p w14:paraId="1AF228EA">
      <w:pPr>
        <w:pStyle w:val="17"/>
        <w:ind w:left="420" w:firstLine="0" w:firstLineChars="0"/>
        <w:rPr>
          <w:rFonts w:ascii="华文宋体" w:hAnsi="华文宋体" w:eastAsia="华文宋体" w:cs="Times New Roman"/>
        </w:rPr>
      </w:pPr>
      <w:r>
        <w:rPr>
          <w:rFonts w:ascii="华文宋体" w:hAnsi="华文宋体" w:eastAsia="华文宋体" w:cs="Times New Roman"/>
        </w:rPr>
        <w:t>贝叶斯：一种使用概率论建模不确定性并进行预测的统计方法。</w:t>
      </w:r>
    </w:p>
    <w:p w14:paraId="2B22FF08">
      <w:pPr>
        <w:pStyle w:val="17"/>
        <w:rPr>
          <w:rFonts w:hint="eastAsia" w:ascii="华文宋体" w:hAnsi="华文宋体" w:eastAsia="华文宋体" w:cs="Times New Roman"/>
          <w:lang w:val="en-US" w:eastAsia="zh-CN"/>
        </w:rPr>
      </w:pPr>
      <w:r>
        <w:rPr>
          <w:rFonts w:hint="eastAsia" w:ascii="华文宋体" w:hAnsi="华文宋体" w:eastAsia="华文宋体" w:cs="Times New Roman"/>
          <w:lang w:val="en-US" w:eastAsia="zh-CN"/>
        </w:rPr>
        <w:t xml:space="preserve">..... </w:t>
      </w:r>
    </w:p>
    <w:p w14:paraId="138A2FE6">
      <w:pPr>
        <w:rPr>
          <w:rFonts w:hint="default" w:ascii="宋体" w:hAnsi="宋体" w:eastAsia="宋体" w:cs="宋体"/>
          <w:spacing w:val="-5"/>
          <w:kern w:val="2"/>
          <w:sz w:val="17"/>
          <w:szCs w:val="17"/>
          <w:lang w:val="en-US" w:eastAsia="zh-CN" w:bidi="ar-SA"/>
        </w:rPr>
      </w:pPr>
    </w:p>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roman"/>
    <w:pitch w:val="default"/>
    <w:sig w:usb0="E00006FF" w:usb1="420024FF" w:usb2="02000000" w:usb3="00000000" w:csb0="2000019F" w:csb1="00000000"/>
  </w:font>
  <w:font w:name="Lucida Sans Unicode">
    <w:panose1 w:val="020B0602030504020204"/>
    <w:charset w:val="00"/>
    <w:family w:val="auto"/>
    <w:pitch w:val="default"/>
    <w:sig w:usb0="80001AFF" w:usb1="0000396B" w:usb2="00000000" w:usb3="00000000" w:csb0="200000BF" w:csb1="D7F70000"/>
  </w:font>
  <w:font w:name="华文宋体">
    <w:panose1 w:val="02010600040101010101"/>
    <w:charset w:val="86"/>
    <w:family w:val="auto"/>
    <w:pitch w:val="default"/>
    <w:sig w:usb0="00000287" w:usb1="080F0000" w:usb2="00000000" w:usb3="00000000" w:csb0="0004009F" w:csb1="DFD70000"/>
  </w:font>
  <w:font w:name="LinLibertineTB">
    <w:altName w:val="Segoe Print"/>
    <w:panose1 w:val="00000000000000000000"/>
    <w:charset w:val="00"/>
    <w:family w:val="auto"/>
    <w:pitch w:val="default"/>
    <w:sig w:usb0="00000000" w:usb1="00000000" w:usb2="00000000" w:usb3="00000000" w:csb0="00000000" w:csb1="00000000"/>
  </w:font>
  <w:font w:name="LinLibertine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bertineMathMI">
    <w:altName w:val="Segoe Print"/>
    <w:panose1 w:val="00000000000000000000"/>
    <w:charset w:val="00"/>
    <w:family w:val="auto"/>
    <w:pitch w:val="default"/>
    <w:sig w:usb0="00000000" w:usb1="00000000" w:usb2="00000000" w:usb3="00000000" w:csb0="00000000" w:csb1="00000000"/>
  </w:font>
  <w:font w:name="txsy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EEAAF55">
        <w:pPr>
          <w:pStyle w:val="9"/>
          <w:jc w:val="center"/>
        </w:pPr>
        <w:r>
          <w:fldChar w:fldCharType="begin"/>
        </w:r>
        <w:r>
          <w:instrText xml:space="preserve">PAGE   \* MERGEFORMAT</w:instrText>
        </w:r>
        <w:r>
          <w:fldChar w:fldCharType="separate"/>
        </w:r>
        <w:r>
          <w:rPr>
            <w:lang w:val="zh-CN"/>
          </w:rPr>
          <w:t>2</w:t>
        </w:r>
        <w:r>
          <w:fldChar w:fldCharType="end"/>
        </w:r>
      </w:p>
    </w:sdtContent>
  </w:sdt>
  <w:p w14:paraId="16F121E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B9AC">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4CC9A"/>
    <w:multiLevelType w:val="singleLevel"/>
    <w:tmpl w:val="0A74CC9A"/>
    <w:lvl w:ilvl="0" w:tentative="0">
      <w:start w:val="1"/>
      <w:numFmt w:val="bullet"/>
      <w:lvlText w:val=""/>
      <w:lvlJc w:val="left"/>
      <w:pPr>
        <w:ind w:left="420" w:hanging="420"/>
      </w:pPr>
      <w:rPr>
        <w:rFonts w:hint="default" w:ascii="Wingdings" w:hAnsi="Wingdings"/>
      </w:rPr>
    </w:lvl>
  </w:abstractNum>
  <w:abstractNum w:abstractNumId="1">
    <w:nsid w:val="7F2D30ED"/>
    <w:multiLevelType w:val="multilevel"/>
    <w:tmpl w:val="7F2D30ED"/>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JlNzQ5YzAwNzUxYTM0ZDIxMjU2MjNkMGQ1YjI0N2QifQ=="/>
  </w:docVars>
  <w:rsids>
    <w:rsidRoot w:val="006A7D78"/>
    <w:rsid w:val="00036850"/>
    <w:rsid w:val="00072A21"/>
    <w:rsid w:val="00082531"/>
    <w:rsid w:val="00092A2E"/>
    <w:rsid w:val="000B1F76"/>
    <w:rsid w:val="000D10F4"/>
    <w:rsid w:val="00104CFD"/>
    <w:rsid w:val="00116304"/>
    <w:rsid w:val="00122AAE"/>
    <w:rsid w:val="0014620E"/>
    <w:rsid w:val="00155785"/>
    <w:rsid w:val="001652EF"/>
    <w:rsid w:val="0017567F"/>
    <w:rsid w:val="0019416A"/>
    <w:rsid w:val="001A4190"/>
    <w:rsid w:val="001C0CED"/>
    <w:rsid w:val="001E659A"/>
    <w:rsid w:val="0024050A"/>
    <w:rsid w:val="00260D55"/>
    <w:rsid w:val="0029078C"/>
    <w:rsid w:val="002D73A1"/>
    <w:rsid w:val="00327C73"/>
    <w:rsid w:val="003374B7"/>
    <w:rsid w:val="00390A0F"/>
    <w:rsid w:val="003B343C"/>
    <w:rsid w:val="00425BAD"/>
    <w:rsid w:val="00443D7E"/>
    <w:rsid w:val="004579C1"/>
    <w:rsid w:val="00486377"/>
    <w:rsid w:val="004C5D9B"/>
    <w:rsid w:val="004D15F9"/>
    <w:rsid w:val="00557668"/>
    <w:rsid w:val="00576171"/>
    <w:rsid w:val="00597CDD"/>
    <w:rsid w:val="005A30BE"/>
    <w:rsid w:val="005E255F"/>
    <w:rsid w:val="005F41A0"/>
    <w:rsid w:val="00623C91"/>
    <w:rsid w:val="0063443E"/>
    <w:rsid w:val="00664C67"/>
    <w:rsid w:val="0067794B"/>
    <w:rsid w:val="00694295"/>
    <w:rsid w:val="006A7D78"/>
    <w:rsid w:val="006D56BB"/>
    <w:rsid w:val="006E0F89"/>
    <w:rsid w:val="006F0092"/>
    <w:rsid w:val="006F2BC6"/>
    <w:rsid w:val="006F44B9"/>
    <w:rsid w:val="00700B26"/>
    <w:rsid w:val="00717C76"/>
    <w:rsid w:val="007A2333"/>
    <w:rsid w:val="007B2BE1"/>
    <w:rsid w:val="007B7972"/>
    <w:rsid w:val="007C5262"/>
    <w:rsid w:val="007D4881"/>
    <w:rsid w:val="0080607D"/>
    <w:rsid w:val="008161B9"/>
    <w:rsid w:val="008268A9"/>
    <w:rsid w:val="008A26D8"/>
    <w:rsid w:val="008B060C"/>
    <w:rsid w:val="008D51E1"/>
    <w:rsid w:val="008E590A"/>
    <w:rsid w:val="008F6AC4"/>
    <w:rsid w:val="00902BBA"/>
    <w:rsid w:val="00906B6B"/>
    <w:rsid w:val="00925A48"/>
    <w:rsid w:val="00965532"/>
    <w:rsid w:val="00987B0B"/>
    <w:rsid w:val="009A53B9"/>
    <w:rsid w:val="009B615D"/>
    <w:rsid w:val="00A02C32"/>
    <w:rsid w:val="00A13123"/>
    <w:rsid w:val="00A145E6"/>
    <w:rsid w:val="00A2793B"/>
    <w:rsid w:val="00A572D5"/>
    <w:rsid w:val="00A57B6E"/>
    <w:rsid w:val="00A66AC5"/>
    <w:rsid w:val="00A865E8"/>
    <w:rsid w:val="00A91359"/>
    <w:rsid w:val="00AA4B76"/>
    <w:rsid w:val="00AC2CC8"/>
    <w:rsid w:val="00B46F8E"/>
    <w:rsid w:val="00B9395F"/>
    <w:rsid w:val="00B942A1"/>
    <w:rsid w:val="00BC3A6D"/>
    <w:rsid w:val="00BD5C12"/>
    <w:rsid w:val="00BE2158"/>
    <w:rsid w:val="00BE6BB5"/>
    <w:rsid w:val="00C05A73"/>
    <w:rsid w:val="00C22473"/>
    <w:rsid w:val="00C33F8B"/>
    <w:rsid w:val="00C37CA2"/>
    <w:rsid w:val="00C6399B"/>
    <w:rsid w:val="00C72BFF"/>
    <w:rsid w:val="00C72F0E"/>
    <w:rsid w:val="00C85E4C"/>
    <w:rsid w:val="00CB3006"/>
    <w:rsid w:val="00D30ADF"/>
    <w:rsid w:val="00D636E3"/>
    <w:rsid w:val="00D6676D"/>
    <w:rsid w:val="00DD6804"/>
    <w:rsid w:val="00DE5171"/>
    <w:rsid w:val="00E05412"/>
    <w:rsid w:val="00E14136"/>
    <w:rsid w:val="00E710E2"/>
    <w:rsid w:val="00E757A4"/>
    <w:rsid w:val="00E91DE6"/>
    <w:rsid w:val="00EC305A"/>
    <w:rsid w:val="00EE1B86"/>
    <w:rsid w:val="00EF4EF7"/>
    <w:rsid w:val="00F70938"/>
    <w:rsid w:val="00F82DA3"/>
    <w:rsid w:val="00F938CC"/>
    <w:rsid w:val="00F9473E"/>
    <w:rsid w:val="01CE3A0A"/>
    <w:rsid w:val="02CD2383"/>
    <w:rsid w:val="031A6B05"/>
    <w:rsid w:val="03AA043C"/>
    <w:rsid w:val="0482615E"/>
    <w:rsid w:val="05B01FD0"/>
    <w:rsid w:val="07116D19"/>
    <w:rsid w:val="08EE4992"/>
    <w:rsid w:val="0A1C52DC"/>
    <w:rsid w:val="0C59120F"/>
    <w:rsid w:val="0EAC0C2F"/>
    <w:rsid w:val="0F30501D"/>
    <w:rsid w:val="115F4C2D"/>
    <w:rsid w:val="11DA3D05"/>
    <w:rsid w:val="13294F44"/>
    <w:rsid w:val="150F0169"/>
    <w:rsid w:val="15211351"/>
    <w:rsid w:val="16D17374"/>
    <w:rsid w:val="1748123B"/>
    <w:rsid w:val="17884203"/>
    <w:rsid w:val="182932F0"/>
    <w:rsid w:val="192835A8"/>
    <w:rsid w:val="1BA17641"/>
    <w:rsid w:val="1BB3478C"/>
    <w:rsid w:val="1BC053B4"/>
    <w:rsid w:val="1D9A4347"/>
    <w:rsid w:val="1DEC36FE"/>
    <w:rsid w:val="1F71735C"/>
    <w:rsid w:val="228F4698"/>
    <w:rsid w:val="228F6446"/>
    <w:rsid w:val="233A5CB2"/>
    <w:rsid w:val="24001E9D"/>
    <w:rsid w:val="246D5417"/>
    <w:rsid w:val="25D7082F"/>
    <w:rsid w:val="25F63A21"/>
    <w:rsid w:val="27F76F67"/>
    <w:rsid w:val="29855014"/>
    <w:rsid w:val="2A6A388F"/>
    <w:rsid w:val="2DB87198"/>
    <w:rsid w:val="2FA0432F"/>
    <w:rsid w:val="3307027A"/>
    <w:rsid w:val="34AE4E51"/>
    <w:rsid w:val="3578720D"/>
    <w:rsid w:val="36341386"/>
    <w:rsid w:val="37A34163"/>
    <w:rsid w:val="38DB60E6"/>
    <w:rsid w:val="3AD03ADB"/>
    <w:rsid w:val="3AFD6DEA"/>
    <w:rsid w:val="3B5D5FD5"/>
    <w:rsid w:val="3BA5584C"/>
    <w:rsid w:val="3CE90F32"/>
    <w:rsid w:val="3D2230B4"/>
    <w:rsid w:val="3F4E0C33"/>
    <w:rsid w:val="45F10EDA"/>
    <w:rsid w:val="4A846828"/>
    <w:rsid w:val="4C7208C1"/>
    <w:rsid w:val="53DD2C05"/>
    <w:rsid w:val="543A360E"/>
    <w:rsid w:val="54662BFB"/>
    <w:rsid w:val="54C87878"/>
    <w:rsid w:val="5A8B6F17"/>
    <w:rsid w:val="5F3E3D62"/>
    <w:rsid w:val="616C7377"/>
    <w:rsid w:val="63C06930"/>
    <w:rsid w:val="65B7BE76"/>
    <w:rsid w:val="6A7C8E41"/>
    <w:rsid w:val="6BCEBE76"/>
    <w:rsid w:val="6DAE5F31"/>
    <w:rsid w:val="6ED52268"/>
    <w:rsid w:val="6F7F5A5F"/>
    <w:rsid w:val="705C1FFC"/>
    <w:rsid w:val="738C7BAE"/>
    <w:rsid w:val="73D97178"/>
    <w:rsid w:val="75D4756D"/>
    <w:rsid w:val="76053BCA"/>
    <w:rsid w:val="76167E51"/>
    <w:rsid w:val="76C40D95"/>
    <w:rsid w:val="76FFA061"/>
    <w:rsid w:val="774F60D0"/>
    <w:rsid w:val="7755155C"/>
    <w:rsid w:val="777F759C"/>
    <w:rsid w:val="77B27D81"/>
    <w:rsid w:val="77CD4F9C"/>
    <w:rsid w:val="782013CC"/>
    <w:rsid w:val="78CEA92E"/>
    <w:rsid w:val="7A74131E"/>
    <w:rsid w:val="7C310E04"/>
    <w:rsid w:val="7CAE828F"/>
    <w:rsid w:val="7EF84596"/>
    <w:rsid w:val="7FAB8B02"/>
    <w:rsid w:val="8F1E2370"/>
    <w:rsid w:val="B67E7AD6"/>
    <w:rsid w:val="B7E97BD8"/>
    <w:rsid w:val="BFEF9576"/>
    <w:rsid w:val="D636B182"/>
    <w:rsid w:val="DFFF02DC"/>
    <w:rsid w:val="F1FB6EBB"/>
    <w:rsid w:val="F77F9D15"/>
    <w:rsid w:val="F7F338A4"/>
  </w:rsids>
  <m:mathPr>
    <m:mathFont m:val="Cambria Math"/>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semiHidden/>
    <w:unhideWhenUsed/>
    <w:qFormat/>
    <w:uiPriority w:val="99"/>
    <w:pPr>
      <w:jc w:val="left"/>
    </w:pPr>
  </w:style>
  <w:style w:type="paragraph" w:styleId="7">
    <w:name w:val="Body Text"/>
    <w:basedOn w:val="1"/>
    <w:semiHidden/>
    <w:qFormat/>
    <w:uiPriority w:val="0"/>
    <w:rPr>
      <w:rFonts w:ascii="宋体" w:hAnsi="宋体" w:eastAsia="宋体" w:cs="宋体"/>
      <w:sz w:val="17"/>
      <w:szCs w:val="17"/>
      <w:lang w:val="en-US" w:eastAsia="en-US" w:bidi="ar-SA"/>
    </w:rPr>
  </w:style>
  <w:style w:type="paragraph" w:styleId="8">
    <w:name w:val="Balloon Text"/>
    <w:basedOn w:val="1"/>
    <w:link w:val="24"/>
    <w:semiHidden/>
    <w:unhideWhenUsed/>
    <w:qFormat/>
    <w:uiPriority w:val="99"/>
    <w:rPr>
      <w:sz w:val="18"/>
      <w:szCs w:val="18"/>
    </w:rPr>
  </w:style>
  <w:style w:type="paragraph" w:styleId="9">
    <w:name w:val="footer"/>
    <w:basedOn w:val="1"/>
    <w:link w:val="19"/>
    <w:unhideWhenUsed/>
    <w:qFormat/>
    <w:uiPriority w:val="99"/>
    <w:pPr>
      <w:tabs>
        <w:tab w:val="center" w:pos="4153"/>
        <w:tab w:val="right" w:pos="8306"/>
      </w:tabs>
      <w:snapToGrid w:val="0"/>
      <w:jc w:val="left"/>
    </w:pPr>
    <w:rPr>
      <w:sz w:val="18"/>
      <w:szCs w:val="18"/>
    </w:rPr>
  </w:style>
  <w:style w:type="paragraph" w:styleId="10">
    <w:name w:val="header"/>
    <w:basedOn w:val="1"/>
    <w:link w:val="18"/>
    <w:unhideWhenUsed/>
    <w:qFormat/>
    <w:uiPriority w:val="99"/>
    <w:pPr>
      <w:tabs>
        <w:tab w:val="center" w:pos="4153"/>
        <w:tab w:val="right" w:pos="8306"/>
      </w:tabs>
      <w:snapToGrid w:val="0"/>
      <w:jc w:val="center"/>
    </w:pPr>
    <w:rPr>
      <w:sz w:val="18"/>
      <w:szCs w:val="18"/>
    </w:rPr>
  </w:style>
  <w:style w:type="table" w:styleId="12">
    <w:name w:val="Table Grid"/>
    <w:basedOn w:val="11"/>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annotation reference"/>
    <w:basedOn w:val="13"/>
    <w:semiHidden/>
    <w:unhideWhenUsed/>
    <w:qFormat/>
    <w:uiPriority w:val="99"/>
    <w:rPr>
      <w:sz w:val="21"/>
      <w:szCs w:val="21"/>
    </w:rPr>
  </w:style>
  <w:style w:type="character" w:customStyle="1" w:styleId="16">
    <w:name w:val="tgt"/>
    <w:basedOn w:val="13"/>
    <w:qFormat/>
    <w:uiPriority w:val="0"/>
  </w:style>
  <w:style w:type="paragraph" w:styleId="17">
    <w:name w:val="List Paragraph"/>
    <w:basedOn w:val="1"/>
    <w:qFormat/>
    <w:uiPriority w:val="34"/>
    <w:pPr>
      <w:ind w:firstLine="420" w:firstLineChars="200"/>
    </w:pPr>
  </w:style>
  <w:style w:type="character" w:customStyle="1" w:styleId="18">
    <w:name w:val="页眉 字符"/>
    <w:basedOn w:val="13"/>
    <w:link w:val="10"/>
    <w:qFormat/>
    <w:uiPriority w:val="99"/>
    <w:rPr>
      <w:sz w:val="18"/>
      <w:szCs w:val="18"/>
    </w:rPr>
  </w:style>
  <w:style w:type="character" w:customStyle="1" w:styleId="19">
    <w:name w:val="页脚 字符"/>
    <w:basedOn w:val="13"/>
    <w:link w:val="9"/>
    <w:qFormat/>
    <w:uiPriority w:val="99"/>
    <w:rPr>
      <w:sz w:val="18"/>
      <w:szCs w:val="18"/>
    </w:rPr>
  </w:style>
  <w:style w:type="character" w:customStyle="1" w:styleId="20">
    <w:name w:val="标题 1 字符"/>
    <w:basedOn w:val="13"/>
    <w:link w:val="2"/>
    <w:qFormat/>
    <w:uiPriority w:val="9"/>
    <w:rPr>
      <w:b/>
      <w:bCs/>
      <w:kern w:val="44"/>
      <w:sz w:val="44"/>
      <w:szCs w:val="44"/>
    </w:rPr>
  </w:style>
  <w:style w:type="character" w:customStyle="1" w:styleId="21">
    <w:name w:val="标题 2 字符"/>
    <w:basedOn w:val="13"/>
    <w:link w:val="3"/>
    <w:qFormat/>
    <w:uiPriority w:val="9"/>
    <w:rPr>
      <w:rFonts w:asciiTheme="majorHAnsi" w:hAnsiTheme="majorHAnsi" w:eastAsiaTheme="majorEastAsia" w:cstheme="majorBidi"/>
      <w:b/>
      <w:bCs/>
      <w:sz w:val="32"/>
      <w:szCs w:val="32"/>
    </w:rPr>
  </w:style>
  <w:style w:type="paragraph" w:customStyle="1" w:styleId="22">
    <w:name w:val="line"/>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3">
    <w:name w:val="批注文字 字符"/>
    <w:basedOn w:val="13"/>
    <w:link w:val="6"/>
    <w:semiHidden/>
    <w:qFormat/>
    <w:uiPriority w:val="99"/>
  </w:style>
  <w:style w:type="character" w:customStyle="1" w:styleId="24">
    <w:name w:val="批注框文本 字符"/>
    <w:basedOn w:val="13"/>
    <w:link w:val="8"/>
    <w:semiHidden/>
    <w:qFormat/>
    <w:uiPriority w:val="99"/>
    <w:rPr>
      <w:sz w:val="18"/>
      <w:szCs w:val="18"/>
    </w:rPr>
  </w:style>
  <w:style w:type="character" w:customStyle="1" w:styleId="25">
    <w:name w:val="标题 3 字符"/>
    <w:basedOn w:val="13"/>
    <w:link w:val="4"/>
    <w:qFormat/>
    <w:uiPriority w:val="9"/>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customXml" Target="../customXml/item3.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ntractReview xmlns="http://schemas.wps.cn/vas-ai-hub/contract-review">
  <reviewItems>
    <reviewItem>
      <errorID>60f8c9c5-6d5f-4f69-9951-e6c7608e7cb2</errorID>
      <errorWord>)</errorWord>
      <group>L1_Format</group>
      <groupName>格式问题</groupName>
      <ability>L2_HalfPunc</ability>
      <abilityName>全半角检查</abilityName>
      <candidateList>
        <item>）</item>
      </candidateList>
      <explain>文本全半角错误。</explain>
      <paraID>34594F46</paraID>
      <start>15</start>
      <end>16</end>
      <status>modified</status>
      <modifiedWord>）</modifiedWord>
      <trackRevisions>false</trackRevisions>
    </reviewItem>
    <reviewItem>
      <errorID>87792594-1f3c-47a4-a688-6f9dd417eaf3</errorID>
      <errorWord>(</errorWord>
      <group>L1_Format</group>
      <groupName>格式问题</groupName>
      <ability>L2_HalfPunc</ability>
      <abilityName>全半角检查</abilityName>
      <candidateList>
        <item>（</item>
      </candidateList>
      <explain>文本全半角错误。</explain>
      <paraID> B1448CF</paraID>
      <start>122</start>
      <end>123</end>
      <status>modified</status>
      <modifiedWord>（</modifiedWord>
      <trackRevisions>false</trackRevisions>
    </reviewItem>
    <reviewItem>
      <errorID>4d48c04e-541b-4740-bb6c-bcc342cfee7b</errorID>
      <errorWord>)</errorWord>
      <group>L1_Format</group>
      <groupName>格式问题</groupName>
      <ability>L2_HalfPunc</ability>
      <abilityName>全半角检查</abilityName>
      <candidateList>
        <item>）</item>
      </candidateList>
      <explain>文本全半角错误。</explain>
      <paraID> B1448CF</paraID>
      <start>126</start>
      <end>127</end>
      <status>modified</status>
      <modifiedWord>）</modifiedWord>
      <trackRevisions>false</trackRevisions>
    </reviewItem>
    <reviewItem>
      <errorID>91064696-59cd-4f9b-b116-cb662c5b7110</errorID>
      <errorWord>这确保</errorWord>
      <group>L1_Word</group>
      <groupName>字词问题</groupName>
      <ability>L2_Typo</ability>
      <abilityName>字词错误</abilityName>
      <candidateList>
        <item>确保</item>
      </candidateList>
      <explain>〈动〉确实地保持或保证：～交通畅通｜加强田间管理，～粮食丰收。</explain>
      <paraID>677C4C42</paraID>
      <start>107</start>
      <end>110</end>
      <status>ignored</status>
      <modifiedWord/>
      <trackRevisions>false</trackRevisions>
    </reviewItem>
    <reviewItem>
      <errorID>421219cf-646c-452e-8272-c2f9ee2ade92</errorID>
      <errorWord>)</errorWord>
      <group>L1_Format</group>
      <groupName>格式问题</groupName>
      <ability>L2_HalfPunc</ability>
      <abilityName>全半角检查</abilityName>
      <candidateList>
        <item>）</item>
      </candidateList>
      <explain>文本全半角错误。</explain>
      <paraID>29828EC7</paraID>
      <start>62</start>
      <end>63</end>
      <status>modified</status>
      <modifiedWord>）</modifiedWord>
      <trackRevisions>false</trackRevisions>
    </reviewItem>
    <reviewItem>
      <errorID>dbea8499-a24a-4f26-a27d-cd96b1f3ae63</errorID>
      <errorWord>1</errorWord>
      <group>L1_Word</group>
      <groupName>字词问题</groupName>
      <ability>L2_Typo</ability>
      <abilityName>字词错误</abilityName>
      <candidateList>
        <item/>
      </candidateList>
      <explain/>
      <paraID>423E42D4</paraID>
      <start>9</start>
      <end>10</end>
      <status>ignored</status>
      <modifiedWord/>
      <trackRevisions>false</trackRevisions>
    </reviewItem>
    <reviewItem>
      <errorID>03c5b9cd-a2c9-4702-b7bc-18ea0a8dfb75</errorID>
      <errorWord>-</errorWord>
      <group>L1_Format</group>
      <groupName>格式问题</groupName>
      <ability>L2_HalfPunc</ability>
      <abilityName>全半角检查</abilityName>
      <candidateList>
        <item>－</item>
      </candidateList>
      <explain>文本全半角错误。</explain>
      <paraID>4665599A</paraID>
      <start>64</start>
      <end>65</end>
      <status>ignored</status>
      <modifiedWord/>
      <trackRevisions>false</trackRevisions>
    </reviewItem>
    <reviewItem>
      <errorID>399b4a53-9b0e-4d1f-8df6-47ae58415808</errorID>
      <errorWord>。</errorWord>
      <group>L1_Format</group>
      <groupName>格式问题</groupName>
      <ability>L2_HalfPunc</ability>
      <abilityName>全半角检查</abilityName>
      <candidateList>
        <item>.</item>
      </candidateList>
      <explain>文本全半角错误。</explain>
      <paraID>47AF5953</paraID>
      <start>10</start>
      <end>11</end>
      <status>ignored</status>
      <modifiedWord/>
      <trackRevisions>false</trackRevisions>
    </reviewItem>
    <reviewItem>
      <errorID>1201fe4c-4090-4b20-8a61-67e01cab186d</errorID>
      <errorWord>-</errorWord>
      <group>L1_Format</group>
      <groupName>格式问题</groupName>
      <ability>L2_HalfPunc</ability>
      <abilityName>全半角检查</abilityName>
      <candidateList>
        <item>－</item>
      </candidateList>
      <explain>文本全半角错误。</explain>
      <paraID>2CF3F2FA</paraID>
      <start>24</start>
      <end>25</end>
      <status>ignored</status>
      <modifiedWord/>
      <trackRevisions>false</trackRevisions>
    </reviewItem>
    <reviewItem>
      <errorID>60d540d6-b4eb-45bc-9eb5-0ee476adaaa6</errorID>
      <errorWord>-</errorWord>
      <group>L1_Format</group>
      <groupName>格式问题</groupName>
      <ability>L2_HalfPunc</ability>
      <abilityName>全半角检查</abilityName>
      <candidateList>
        <item>－</item>
      </candidateList>
      <explain>文本全半角错误。</explain>
      <paraID>756BAA4A</paraID>
      <start>69</start>
      <end>70</end>
      <status>ignored</status>
      <modifiedWord/>
      <trackRevisions>false</trackRevisions>
    </reviewItem>
    <reviewItem>
      <errorID>24c1e31d-c569-472c-b922-a73b6e502abe</errorID>
      <errorWord>（</errorWord>
      <group>L1_Punc</group>
      <groupName>标点问题</groupName>
      <ability>L2_Punc</ability>
      <abilityName>标点符号检查</abilityName>
      <candidateList>
        <item/>
      </candidateList>
      <explain>同一形式括号套用。</explain>
      <paraID>63FED86A</paraID>
      <start>71</start>
      <end>72</end>
      <status>ignored</status>
      <modifiedWord/>
      <trackRevisions>false</trackRevisions>
    </reviewItem>
    <reviewItem>
      <errorID>3d8a59e2-7ea6-4822-bfd6-a789ee2ff166</errorID>
      <errorWord>(</errorWord>
      <group>L1_Punc</group>
      <groupName>标点问题</groupName>
      <ability>L2_Punc</ability>
      <abilityName>标点符号检查</abilityName>
      <candidateList/>
      <explain>同一形式括号套用。</explain>
      <paraID>63FED86A</paraID>
      <start>76</start>
      <end>77</end>
      <status>ignored</status>
      <modifiedWord/>
      <trackRevisions>false</trackRevisions>
    </reviewItem>
    <reviewItem>
      <errorID>aa53fc65-be55-441e-b2ee-212e231692d6</errorID>
      <errorWord>)</errorWord>
      <group>L1_Punc</group>
      <groupName>标点问题</groupName>
      <ability>L2_Punc</ability>
      <abilityName>标点符号检查</abilityName>
      <candidateList/>
      <explain>同一形式括号套用。</explain>
      <paraID>63FED86A</paraID>
      <start>78</start>
      <end>79</end>
      <status>ignored</status>
      <modifiedWord/>
      <trackRevisions>false</trackRevisions>
    </reviewItem>
    <reviewItem>
      <errorID>57fbd2b5-56d8-4adf-86bf-44b352eb07b0</errorID>
      <errorWord>）</errorWord>
      <group>L1_Punc</group>
      <groupName>标点问题</groupName>
      <ability>L2_Punc</ability>
      <abilityName>标点符号检查</abilityName>
      <candidateList/>
      <explain>同一形式括号套用。</explain>
      <paraID>63FED86A</paraID>
      <start>82</start>
      <end>83</end>
      <status>ignored</status>
      <modifiedWord/>
      <trackRevisions>false</trackRevisions>
    </reviewItem>
    <reviewItem>
      <errorID>355dd7f4-0259-431e-b437-3a83f65060ef</errorID>
      <errorWord>(</errorWord>
      <group>L1_Format</group>
      <groupName>格式问题</groupName>
      <ability>L2_HalfPunc</ability>
      <abilityName>全半角检查</abilityName>
      <candidateList>
        <item>（</item>
      </candidateList>
      <explain>文本全半角错误。</explain>
      <paraID>460750BD</paraID>
      <start>85</start>
      <end>86</end>
      <status>modified</status>
      <modifiedWord>（</modifiedWord>
      <trackRevisions>false</trackRevisions>
    </reviewItem>
    <reviewItem>
      <errorID>7573a07d-57ac-40d2-9e80-98e1ba206c49</errorID>
      <errorWord>)</errorWord>
      <group>L1_Format</group>
      <groupName>格式问题</groupName>
      <ability>L2_HalfPunc</ability>
      <abilityName>全半角检查</abilityName>
      <candidateList>
        <item>）</item>
      </candidateList>
      <explain>文本全半角错误。</explain>
      <paraID>460750BD</paraID>
      <start>87</start>
      <end>88</end>
      <status>modified</status>
      <modifiedWord>）</modifiedWord>
      <trackRevisions>false</trackRevisions>
    </reviewItem>
    <reviewItem>
      <errorID>7d74dfa1-b734-4dd4-b208-693fc3c301d1</errorID>
      <errorWord>(</errorWord>
      <group>L1_Format</group>
      <groupName>格式问题</groupName>
      <ability>L2_HalfPunc</ability>
      <abilityName>全半角检查</abilityName>
      <candidateList>
        <item>（</item>
      </candidateList>
      <explain>文本全半角错误。</explain>
      <paraID>55FA7BB0</paraID>
      <start>19</start>
      <end>20</end>
      <status>modified</status>
      <modifiedWord>（</modifiedWord>
      <trackRevisions>false</trackRevisions>
    </reviewItem>
    <reviewItem>
      <errorID>8bea5c59-c1ff-4e14-a4b6-cffc710548fc</errorID>
      <errorWord>)</errorWord>
      <group>L1_Format</group>
      <groupName>格式问题</groupName>
      <ability>L2_HalfPunc</ability>
      <abilityName>全半角检查</abilityName>
      <candidateList>
        <item>）</item>
      </candidateList>
      <explain>文本全半角错误。</explain>
      <paraID>55FA7BB0</paraID>
      <start>21</start>
      <end>22</end>
      <status>modified</status>
      <modifiedWord>）</modifiedWord>
      <trackRevisions>false</trackRevisions>
    </reviewItem>
    <reviewItem>
      <errorID>d9ed7e90-72b5-48d4-a485-499b740cf45c</errorID>
      <errorWord>)</errorWord>
      <group>L1_Format</group>
      <groupName>格式问题</groupName>
      <ability>L2_HalfPunc</ability>
      <abilityName>全半角检查</abilityName>
      <candidateList>
        <item>）</item>
      </candidateList>
      <explain>文本全半角错误。</explain>
      <paraID>26712779</paraID>
      <start>42</start>
      <end>43</end>
      <status>ignored</status>
      <modifiedWord/>
      <trackRevisions>false</trackRevisions>
    </reviewItem>
    <reviewItem>
      <errorID>5ec0f2c1-382c-478f-bad6-057585c9e3f0</errorID>
      <errorWord>(</errorWord>
      <group>L1_Format</group>
      <groupName>格式问题</groupName>
      <ability>L2_HalfPunc</ability>
      <abilityName>全半角检查</abilityName>
      <candidateList>
        <item>（</item>
      </candidateList>
      <explain>文本全半角错误。</explain>
      <paraID>3557C892</paraID>
      <start>64</start>
      <end>65</end>
      <status>ignored</status>
      <modifiedWord/>
      <trackRevisions>false</trackRevisions>
    </reviewItem>
    <reviewItem>
      <errorID>2081d135-2bed-43be-948f-3e8eea428e92</errorID>
      <errorWord>(</errorWord>
      <group>L1_Punc</group>
      <groupName>标点问题</groupName>
      <ability>L2_Punc</ability>
      <abilityName>标点符号检查</abilityName>
      <candidateList/>
      <explain>同一形式括号套用。</explain>
      <paraID>3557C892</paraID>
      <start>82</start>
      <end>83</end>
      <status>ignored</status>
      <modifiedWord/>
      <trackRevisions>false</trackRevisions>
    </reviewItem>
    <reviewItem>
      <errorID>6462f237-7e18-4156-8d20-3a653bbe9379</errorID>
      <errorWord>)</errorWord>
      <group>L1_Punc</group>
      <groupName>标点问题</groupName>
      <ability>L2_Punc</ability>
      <abilityName>标点符号检查</abilityName>
      <candidateList/>
      <explain>同一形式括号套用。</explain>
      <paraID>3557C892</paraID>
      <start>90</start>
      <end>91</end>
      <status>ignored</status>
      <modifiedWord/>
      <trackRevisions>false</trackRevisions>
    </reviewItem>
    <reviewItem>
      <errorID>a9eb9857-efb4-45ad-aaad-d14005c03e34</errorID>
      <errorWord>！！！</errorWord>
      <group>L1_Punc</group>
      <groupName>标点问题</groupName>
      <ability>L2_Punc</ability>
      <abilityName>标点符号检查</abilityName>
      <candidateList>
        <item>！</item>
      </candidateList>
      <explain/>
      <paraID> 9D8EEAA</paraID>
      <start>19</start>
      <end>22</end>
      <status>ignored</status>
      <modifiedWord/>
      <trackRevisions>false</trackRevisions>
    </reviewItem>
    <reviewItem>
      <errorID>b39dd043-bbd5-4538-881f-ac40aee64f29</errorID>
      <errorWord>（</errorWord>
      <group>L1_Punc</group>
      <groupName>标点问题</groupName>
      <ability>L2_Punc</ability>
      <abilityName>标点符号检查</abilityName>
      <candidateList/>
      <explain/>
      <paraID>12E7CFF5</paraID>
      <start>0</start>
      <end>1</end>
      <status>ignored</status>
      <modifiedWord/>
      <trackRevisions>false</trackRevisions>
    </reviewItem>
    <reviewItem>
      <errorID>35ed0c88-05c6-415e-889d-0e92ef8c3105</errorID>
      <errorWord>-</errorWord>
      <group>L1_Format</group>
      <groupName>格式问题</groupName>
      <ability>L2_HalfPunc</ability>
      <abilityName>全半角检查</abilityName>
      <candidateList>
        <item>－</item>
      </candidateList>
      <explain>文本全半角错误。</explain>
      <paraID>313FDE07</paraID>
      <start>2</start>
      <end>3</end>
      <status>ignored</status>
      <modifiedWord/>
      <trackRevisions>false</trackRevisions>
    </reviewItem>
    <reviewItem>
      <errorID>676b33d9-74b3-4ff0-a97a-67be2a7e0356</errorID>
      <errorWord>-</errorWord>
      <group>L1_Format</group>
      <groupName>格式问题</groupName>
      <ability>L2_HalfPunc</ability>
      <abilityName>全半角检查</abilityName>
      <candidateList>
        <item>－</item>
      </candidateList>
      <explain>文本全半角错误。</explain>
      <paraID>37E14E36</paraID>
      <start>7</start>
      <end>8</end>
      <status>ignored</status>
      <modifiedWord/>
      <trackRevisions>false</trackRevisions>
    </reviewItem>
  </reviewItems>
  <config/>
</contractReview>
</file>

<file path=customXml/item3.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a20b7f-5f61-4569-8073-4ea63b15488c}">
  <ds:schemaRefs/>
</ds:datastoreItem>
</file>

<file path=customXml/itemProps3.xml><?xml version="1.0" encoding="utf-8"?>
<ds:datastoreItem xmlns:ds="http://schemas.openxmlformats.org/officeDocument/2006/customXml" ds:itemID="{0A9BA27A-DA09-4CEC-8D0A-58E994F6BCC5}">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8226</Words>
  <Characters>9656</Characters>
  <Lines>222</Lines>
  <Paragraphs>62</Paragraphs>
  <TotalTime>5</TotalTime>
  <ScaleCrop>false</ScaleCrop>
  <LinksUpToDate>false</LinksUpToDate>
  <CharactersWithSpaces>10154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2023-10-25T01:42:00Z</dcterms:created>
  <dc:creator>NLY15385532799@outlook.com</dc:creator>
  <cp:lastModifiedBy>Livio.</cp:lastModifiedBy>
  <dcterms:modified xsi:type="dcterms:W3CDTF">2025-12-01T15:28:19Z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0CC89B70F5DBF9FE6CEC2369371804A3_43</vt:lpwstr>
  </property>
  <property fmtid="{D5CDD505-2E9C-101B-9397-08002B2CF9AE}" pid="4" name="KSOTemplateDocerSaveRecord">
    <vt:lpwstr>eyJoZGlkIjoiMGZlMTVlZjgyNzJiMGI5NmM5YmEwODcwYTUyNDljY2IiLCJ1c2VySWQiOiIxMjExOTYwNjk3In0=</vt:lpwstr>
  </property>
</Properties>
</file>