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Постановка проблеми.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 останні десятиріччя у сфері інформаційних технологій і систем телекомунікацій відбулися не лише кількісні, а й якісні зміни. Різке збільшення кількості користувачів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перетворило Інтернет із системи зберігання й передачі надвеликих обсягів інформації у новий вимір соціальної реальності і сферу соціально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психологічної активності величезної кількості людей. Варто підкреслити, що основну групу користувачів українського Інтернету складає молодь. Так, за результатами «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GfK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Україна» та «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Gemius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Україна», котрі провели дослідження аудиторії українського Інтернету, найактивніше Мережею користуються українці віком 14–19 років. Тому актуальним є виявлення специфіки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узалежнення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від Інтернету саме цієї групи користувачів з метою розробки відповідних профілактичних і корекційних програм.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Аналіз останніх досліджень і публікацій.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Нині відомо чимало психологічних досліджень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активності, здійснених за кордоном (К.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Янґ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 А.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Ґолдберґ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Д.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Ґрінфілд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Сулер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Р.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Девіс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 М.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Орзак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М.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Ґріффітс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А.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Войскунський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А. Єгоров, Н. Кузнєцова, А. Андрєєв, А.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Анциборов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 В.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Астафєв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В. Бурова, Л.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Пережогін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), а останнім часом і в Україні (Т. Карабін, О.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Петрунько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 В.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Посохова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А. Церковний). Однак на сьогоднішній день є ще доволі мало відомостей про соціально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психологічні чинники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залежності та вікову специфіку в ґенезі цього виду нехімічної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адикції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Дослідження психологічних факторів, що спричиняють або ж пов’язані з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адикцією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можна умовно поділити на три групи, відповідно до типу психічних явищ, яких вони стосуються.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Особливості емоційної сфери Інтернет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залежних.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Янг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Р.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Роджерс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[20] встановили зв’язок 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залежності з депресією. Таку кореляцію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автори пояснюють тим, що для осіб з депресивними розладами, що характеризуються низькою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самооцінкою та страхом бути відкинутим, дуже важливо бути прийнятими іншими, тому труднощі в міжособистісному спілкуванні вони можуть компенсувати завдяки віртуальній підтримці.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Волам та К. Мітчелл [19], досліджуючи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поведінку підлітків в Інтернеті, встановили, що дівчатка з високим рівнем тривожності або у конфлікті з батьками з більшою ймовірністю встановлювали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близькі стосунки з іншими 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–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користувачами. Це стосується й тих хлопців, у яких не б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уло взаєморозуміння в родині та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нальний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вищий рівень тривожності. А.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Шайдуліна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[6] у підлітків з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залежністю відмічає дисгармонію функціонування емоційної сфери, що виявляється в нездатності до чіткої диференціації своїх почуттів, неможливості спонтанно відреагувати у комунікативних ситуаціях, тенденцію до соціальної ізоляції. У дослідженні А. Єгорова, Н.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Кузнєцової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ін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.,самооцінка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адиктів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виявилася суттєво заниженою, порівняно з контрольною групою. За шкалами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виявлено значимі відмінності у виразності інтегрального почуття за/проти свого Я та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самоінтересу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між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залежними й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незалежними підлітками.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Індивідуально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психологічні особливості Інтернет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залежних.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Янг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виявила, що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адикти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мають високий рівень абстрактного мислення, впевнені в собі, індивідуалісти, чутливі, насторожені в міжособистісних контактах, характеризуються нонконформізмом.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дослідженні А. Єгорова, Н.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Кузнєцової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 ін. [7] за методикою Р.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Кеттелла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виявлено, що підлітки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адикти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маючи високу, домінуючу потребу в близькому спілкуванні, «по душах» (високі показники за факторами А і Q2), не мають при цьому достатньої соціальної сміливості (фактор Н) для встановлення стосунків з оточуючими людьми в реальному світі. Також автори встановили, що серед Інтернет – залежних переважають підлітки із шизоїдним (29,8%),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істероїдним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(19,3%), лабільним 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епілептоїдним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(по 12,3%) типами акцентуації. Рідше траплялися нестійкі й психастенічні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акцентуанти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(по 7%) і в одиничних випадках —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астеноневротичні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 (5,3%) 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гіпертимні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(3,5%). Переважання шизоїдних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акцентуантів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серед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адиктів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автори пов’язують із особливостями діяльності в мережі — певний відхід від реальності, що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властивий шизоїдам. Також у досліджуваних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адиктів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ризик алкоголізації й наркотизації виявився істотно вищим, ніж у контрольній групі.</w:t>
      </w:r>
    </w:p>
    <w:p w:rsidR="00AB06E3" w:rsidRPr="00AE6CAA" w:rsidRDefault="00FF7A32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Особливості соціально-комунікативної сфери Інтернет-</w:t>
      </w:r>
      <w:r w:rsidR="00AB06E3"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залежних.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дослідженні Е. Губенко [6] встановлено значимі відмінності у впевненості в собі та сміливості у соціальних контактах між групою схильних і несхильних до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Інтернет – залежності. Особи, схильні до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залежності, переживають більше суб’єктивних труднощів у спілкуванні в реальному житті, гірше оцінюють свою здатність до прийняття рішень у складних ситуаціях, здатність до контролю власних дій та їх результатів. У дослідженні Ю.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Кльонової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[9] виявлено значимі зв’язки між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адикцією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й ознаками негативного комунікативного настановлення, як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от: завуальована та відкрита жорстокість у стосунках до людей, у судженнях про них, негативний особистий досвід спілкування з оточуючими.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Посохова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виявила домінуючі стратегії психологічного захисту у спілкуванні юнаків, схильних до Інтернет – залежності, та зробила висновок, що вони частіше обирають агресивну тактику у спілкуванні.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Мета дослідження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полягає у виявленні вікової динаміки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схильних до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залежності порівняно з користувачами Мережі, не схильними до цієї залежності. У процесі емпіричного дослідження використано комплекс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психодіагностичних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методик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 шкала ясності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концепції, тест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опитувальник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Століна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опитувальник Інтернет – залежності К.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Янґа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опитувальник настановлень стосовно Інтернету (адаптований Е. Губенко).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обробки даних застосовано методи математичної статистики: порівняльний аналіз (t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критерій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Стюдента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), дисперсійний аналіз ANOVA, кластерний і регресійний аналіз. У дослідженні взяло участь 606 осіб, із них — 274 чоловіки та 332 жінки. Середній вік досліджуваних становив 22,1 року. Основним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критерієм, за яким добиралася група досліджуваних, — це вільний доступ в респондентів до мережі Інтернет, відповідно всю групу досліджуваних склали користувачі Інтернету. Більшу частину (61%) досліджуваних становили особи 16–21 року,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тобто юнацького віку. Найменш представлені групи 13–15 років — підлітковий вік та 44–55 — пізня дорослість.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 метою розподілу групи досліджуваних на підгрупи із різним рівнем Інтернет – залежності, було використано метод К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середніх, що утворює задану кількість кластерів, котрі розміщені на максимальних відстанях один від одного, шляхом мінімізації відмінностей усередині кластерів та максимізації відмінностей між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кластерами. У результаті кластерного аналізу виділено три кластери (у першому — 254, у другому — 221 і в третьому — 131 особа).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До першого кластеру увійшли досліджувані із середнім рівнем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вираженості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симптомів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залежності, у другий кластер — досліджувані із найнижчими показниками за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Інтеренет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– залежністю, а у третій кластер — із найвищими показниками за ознаками Інтернет – залежності. Відмінності між кластерами додатково підтверджено методом дисперсійного аналізу.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 метою з’ясування вікових особливостей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було порівняно відповідні вікові підгрупи схильних і несхильних до Інтернет – залежності користувачів Інтернету із застосуванням t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тесту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Стюдента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 осіб періоду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ранньої юності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(13–15 років) схильних до Інтернет – залежності виявлена нижча ясність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концепції (t = 4,03; р &lt; 0,00), нижчий рівень самоповаги (t = 3,51; р &lt; 0,00),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аутосимпатії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(t = 2,55; р &lt; 0,01), а також вищий рівень внутрішньої конфліктності (t = –2,65; р &lt; 0,03). В осіб періоду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пізньої юності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(16–21 років), схильних до Інтернет – залежності, виявлені відмінності: нижча ясність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концепції (t = 5,71; р &lt; 0,00) та розуміння себе (t = 6,98; р &lt; 0,00); нижчий рівень впевненості в собі (t = 7,73; р &lt; 0,00), схвалення себе (t = 4,06; р &lt; 0,00), керування своїм життям (t = 5,04; р &lt; 0,00), інтересу до себе (t = 5,04; р &lt;0,00), самоповаги (t = 9,44; р &lt; 0,00),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аутосимпатії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(t = 4,69; р &lt; 0,00) та загальної самооцінки (t = 8,59; р &lt;0,00), а також вищий рівень звинувачення себе (t = – 2,58; р &lt; ,01) та внутрішньої конфліктності (t = – 8,99; р&lt; 0,00).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 схильних до Інтернет – залежності осіб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ранньої дорослості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(22–25років) виявлені відмінності: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вищі показники за всіма шкалами Інтернет – залежності, нижча ясність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концепції (t = 5,94; р &lt; 0,00) та розуміння себе (t = 4,71; р &lt; 0,00); нижчий рівень впевненості в собі (t = 5,16; р &lt; 0,00), схвалення себе (t = 3,05; р &lt; 0,00), керування своїм життям (t = 2,75; р &lt; 0,00), самоповаги (t = 5,99; р &lt; 0,00),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аутосимпатії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(t = 4,69; р &lt; 0,00) та загальної самооцінки (t = 8,59; р &lt; 0,00), а також вищий рівень внутрішньої конфліктності (t = –5,72; р &lt; 0,00). Такі більшою мірою схильні очікувати негативного ставлення інших (t = 3,43; р &lt; 0,00).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В осіб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середньої дорослості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(26–45 років), схильних до Інтернет – залежності, виявлені такі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відмінності: нижчий рівень впевненості в собі (t = 5,16; р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 &lt; 0,00),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аутосимпатії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(t = 3,41; р &lt; 0,03) та загальної самооцінки (t = 4,64; р &lt; 0,01), а також вищий показник внутрішньої конфліктності (t = – 5,72; р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Отже, результати порівняння вікових підгруп схильних і несхильних до Інтернет – залежності осіб дають підстави стверджувати, що нижчим рівнем ясності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концепції характеризуються особи, схильні до Інтернет – залежності. Система їхніх уявлень про себе менш чітка, інтегрована та стабільна. Їм також притаманний найнижчий із трьох груп рівень розуміння себе — недостатнє розуміння того, що відбувається в їх власному внутрішньому світі, різниця між власним 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образом й сприйняттям іншими людьми. Можна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стверджувати, що унаслідок віртуальної активності особа відволікається не лише від проблем і труднощів реального життя, а також від необхідності саморефлексії та самовизначення.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Схильні до Інтернет – залежності характеризуються найнижчими показниками у сфері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— їм найменшою мірою притаманні самоповага,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аутосимпатія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самоінтерес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Саменевпевненість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 власних силах на тлі загального негативного ставлення до себе, переживанні конфлікту із самим собою в реальному житті породжує тенденцію до встановлення соціальних стосунків у віртуальній реальності, в якій вдасться задовольнити потребу у самоповазі та підвищити самооцінку.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Також схильні до Інтернет – залежності не мають достатньої впевненості у тому, що здатні викликати в інших симпатію, позитивне ставлення, що може створювати труднощі у спілкуванні, певну настороженість у взаєминах з іншими людьми. Імовірно, такі труднощі в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міжособовому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спілкуванні слугують однією з причин того, що вони прагнуть встановлювати в Мережі міжособистісні контакти, вважаючи їх більш задовільними, ніж спілкування в реальному житті.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З метою детальнішого аналізу вікових особливостей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у виділених кластерах зіставлено показники досліджуваних у віці ранньої та пізньої юності (13 – 21) із показниками ранньої дорослості (22 –25) та середньої дорослості (26 – 40) всередині кластерів «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несхильні до Інтернет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залежності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та «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схильні 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lastRenderedPageBreak/>
        <w:t>до Інтернет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>залежності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». Для порівняння використано дисперсійний аналіз та уточнено його результати (застосовано тест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Шеффе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 кластері </w:t>
      </w:r>
      <w:r w:rsidR="00FF7A32"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«Несхильні до Інтернет-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залежності»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виявлено, що: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bookmarkStart w:id="0" w:name="_GoBack"/>
      <w:bookmarkEnd w:id="0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найнижчі показники за розумінням себе притаманні підліткам і юнакам, а найвищі — особам ранньої дорослості;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особам у віці ранньої дорослості притаманні вищі показники інтересу до себе порівняно із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середньою дорослістю;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юнакам та підліткам притаманні найвищі, а особам ранньої дорослості — найнижчі показники за внутрішньою конфліктністю;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найвищі показники самоповаги притаманні особам ранньої дорослості, а найнижчі —підліткам і юнакам;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найнижчий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самоінтерес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притаманний особам середньої дорослості, а найвищий — особам</w:t>
      </w:r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ранньої дорослості;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                  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sym w:font="Symbol" w:char="F020"/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 юнаків та підлітків самооцінка суттєва нижча, ніж в осіб ранньої дорослості.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lastRenderedPageBreak/>
        <w:drawing>
          <wp:inline distT="0" distB="0" distL="0" distR="0">
            <wp:extent cx="5334000" cy="6372225"/>
            <wp:effectExtent l="0" t="0" r="0" b="9525"/>
            <wp:docPr id="10" name="Рисунок 10" descr="http://social-science.com.ua/upload/jornal/jnumber/1-2012/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ocial-science.com.ua/upload/jornal/jnumber/1-2012/2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Також у цьому кластері «Я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концепція» стає більш інтегрованою із зростанням віку респондентів — виявлені відмінності між показниками групи юнаків і підлітків та середньої та пізньої дорослості (р &lt; 0,00).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Отже, саме особам, не схильним до Інтернет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залежності, у віці ранньої дорослості притаманні найвищі показники — у них виявлено найвищий рівень самоповаги та найнижчий рівень внутрішньої конфліктності.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 кластері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«Схильні до Інтернет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bCs/>
          <w:iCs/>
          <w:sz w:val="28"/>
          <w:szCs w:val="28"/>
          <w:bdr w:val="none" w:sz="0" w:space="0" w:color="auto" w:frame="1"/>
          <w:lang w:eastAsia="uk-UA"/>
        </w:rPr>
        <w:t>залежності»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виявлено кардинально протилежні результати. У досліджуваних із підгрупи ранньої дорослості виявлено нижчі показники за рівнем самоповаги порівняно із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юнаками (р &lt; 0,04) та загальної самооцінки порівняно з середньою дорослістю (р &lt; 0,02).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Показники ясності «Я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концепції» зростають у підгрупі середньої дорослості порівняно із юнаками (р&lt; 0,04). Причому, найнижчим рівнем ясності «Я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–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 w:eastAsia="uk-UA"/>
        </w:rPr>
        <w:t>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концепції» характеризується у цьому кластері підгрупа ранньої дорослості.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Результати порівняльного аналізу дали підставу стверджувати, що на всіх вікових етапах є суттєва відмінність у показниках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несхильних та схильних до Інтернет – залежності осіб — в останніх вони перебувають на стабільно нижчому рівні. Найбільш виражені відмінності між групами виявлено на етапі ранньої дорослості, коли у групі схильних до Інтернет – залежності простежується «западання», а в несхильних — «пік» практично за усіма показниками 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AB06E3" w:rsidRPr="00AE6CAA" w:rsidRDefault="00AB06E3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E6CAA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Висновки. 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Виходячи з результатів дослідження,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константуємо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що особливості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="00FF7A32"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користувачів Інтернету на етапі ранньої дорослості, коли відбувається перехід до самостійного життя, належать до значимих передумов схильності чи несхильності особистості до розвитку Інтернет – залежності. У користувачів із високими показниками у сфері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самоставлення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 відсутні тенденції до Інтернет – залежності, тоді як у користувачів із суттєвим «западанням» показників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самоприйняття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самоповаги та </w:t>
      </w:r>
      <w:proofErr w:type="spellStart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самоінтересу</w:t>
      </w:r>
      <w:proofErr w:type="spellEnd"/>
      <w:r w:rsidRPr="00AE6CAA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виявляється значна схильність до Інтернет – залежності.</w:t>
      </w:r>
    </w:p>
    <w:p w:rsidR="00763B11" w:rsidRPr="00AE6CAA" w:rsidRDefault="00AE6CAA" w:rsidP="00AE6C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B11" w:rsidRPr="00AE6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D5483"/>
    <w:rsid w:val="00171389"/>
    <w:rsid w:val="001E1497"/>
    <w:rsid w:val="002B3F03"/>
    <w:rsid w:val="002E392A"/>
    <w:rsid w:val="0042141B"/>
    <w:rsid w:val="00553546"/>
    <w:rsid w:val="00566C8D"/>
    <w:rsid w:val="005A38FA"/>
    <w:rsid w:val="00781C9B"/>
    <w:rsid w:val="007D40D2"/>
    <w:rsid w:val="0080072A"/>
    <w:rsid w:val="0093305E"/>
    <w:rsid w:val="009A650E"/>
    <w:rsid w:val="00A6755D"/>
    <w:rsid w:val="00AB06E3"/>
    <w:rsid w:val="00AE6CAA"/>
    <w:rsid w:val="00B320A5"/>
    <w:rsid w:val="00C07943"/>
    <w:rsid w:val="00C514B6"/>
    <w:rsid w:val="00CB0373"/>
    <w:rsid w:val="00D35C1D"/>
    <w:rsid w:val="00E615FA"/>
    <w:rsid w:val="00EE1704"/>
    <w:rsid w:val="00F04603"/>
    <w:rsid w:val="00FE38FC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8759</Words>
  <Characters>4994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5</cp:revision>
  <dcterms:created xsi:type="dcterms:W3CDTF">2016-01-03T13:45:00Z</dcterms:created>
  <dcterms:modified xsi:type="dcterms:W3CDTF">2016-01-15T00:14:00Z</dcterms:modified>
</cp:coreProperties>
</file>