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E7DA0"/>
          <w:sz w:val="26"/>
        </w:rPr>
        <w:t>PROJECT SUMMARY</w:t>
      </w:r>
    </w:p>
    <w:p>
      <w:pPr>
        <w:pStyle w:val="Title"/>
        <w:jc w:val="center"/>
      </w:pPr>
      <w:r>
        <w:t>E-Commerce Business</w:t>
        <w:br/>
        <w:t>&amp; Customer Analytics</w:t>
      </w:r>
    </w:p>
    <w:p>
      <w:pPr>
        <w:jc w:val="center"/>
      </w:pPr>
      <w:r>
        <w:rPr>
          <w:color w:val="556473"/>
          <w:sz w:val="24"/>
        </w:rPr>
        <w:t>An end-to-end data analytics project using Excel, MySQL and Power BI</w:t>
      </w:r>
    </w:p>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4A70"/>
          </w:tcPr>
          <w:p>
            <w:pPr>
              <w:spacing w:after="0"/>
            </w:pPr>
            <w:r/>
            <w:r>
              <w:rPr>
                <w:rFonts w:ascii="Aptos" w:hAnsi="Aptos"/>
                <w:b/>
                <w:color w:val="FFFFFF"/>
                <w:sz w:val="18"/>
              </w:rPr>
              <w:t>DATASET / TOOLS</w:t>
            </w:r>
          </w:p>
        </w:tc>
        <w:tc>
          <w:tcPr>
            <w:tcW w:type="dxa" w:w="8064"/>
            <w:vAlign w:val="center"/>
            <w:shd w:fill="174A70"/>
          </w:tcPr>
          <w:p>
            <w:pPr>
              <w:spacing w:after="0"/>
            </w:pPr>
            <w:r/>
            <w:r>
              <w:rPr>
                <w:rFonts w:ascii="Aptos" w:hAnsi="Aptos"/>
                <w:b/>
                <w:color w:val="FFFFFF"/>
                <w:sz w:val="18"/>
              </w:rPr>
              <w:t>DETAILS</w:t>
            </w:r>
          </w:p>
        </w:tc>
      </w:tr>
      <w:tr>
        <w:tc>
          <w:tcPr>
            <w:tcW w:type="dxa" w:w="2304"/>
            <w:vAlign w:val="center"/>
          </w:tcPr>
          <w:p>
            <w:pPr>
              <w:spacing w:after="0"/>
            </w:pPr>
            <w:r/>
            <w:r>
              <w:rPr>
                <w:rFonts w:ascii="Aptos" w:hAnsi="Aptos"/>
                <w:b w:val="0"/>
                <w:sz w:val="18"/>
              </w:rPr>
              <w:t>Dataset</w:t>
            </w:r>
          </w:p>
        </w:tc>
        <w:tc>
          <w:tcPr>
            <w:tcW w:type="dxa" w:w="8064"/>
            <w:vAlign w:val="center"/>
          </w:tcPr>
          <w:p>
            <w:pPr>
              <w:spacing w:after="0"/>
            </w:pPr>
            <w:r/>
            <w:r>
              <w:rPr>
                <w:rFonts w:ascii="Aptos" w:hAnsi="Aptos"/>
                <w:b w:val="0"/>
                <w:sz w:val="18"/>
              </w:rPr>
              <w:t>Brazilian Olist e-commerce orders and customer data</w:t>
            </w:r>
          </w:p>
        </w:tc>
      </w:tr>
      <w:tr>
        <w:tc>
          <w:tcPr>
            <w:tcW w:type="dxa" w:w="2304"/>
            <w:vAlign w:val="center"/>
            <w:shd w:fill="F1F5F8"/>
          </w:tcPr>
          <w:p>
            <w:pPr>
              <w:spacing w:after="0"/>
            </w:pPr>
            <w:r/>
            <w:r>
              <w:rPr>
                <w:rFonts w:ascii="Aptos" w:hAnsi="Aptos"/>
                <w:b w:val="0"/>
                <w:sz w:val="18"/>
              </w:rPr>
              <w:t>Tools</w:t>
            </w:r>
          </w:p>
        </w:tc>
        <w:tc>
          <w:tcPr>
            <w:tcW w:type="dxa" w:w="8064"/>
            <w:vAlign w:val="center"/>
            <w:shd w:fill="F1F5F8"/>
          </w:tcPr>
          <w:p>
            <w:pPr>
              <w:spacing w:after="0"/>
            </w:pPr>
            <w:r/>
            <w:r>
              <w:rPr>
                <w:rFonts w:ascii="Aptos" w:hAnsi="Aptos"/>
                <w:b w:val="0"/>
                <w:sz w:val="18"/>
              </w:rPr>
              <w:t>Microsoft Excel • MySQL Workbench • Power BI Desktop</w:t>
            </w:r>
          </w:p>
        </w:tc>
      </w:tr>
    </w:tbl>
    <w:p/>
    <w:p>
      <w:pPr>
        <w:jc w:val="center"/>
      </w:pPr>
      <w:r>
        <w:rPr>
          <w:i/>
          <w:color w:val="4B5A69"/>
        </w:rPr>
        <w:t>Project focus: data quality, order trends, delivery performance, customer behaviour and business reporting</w:t>
      </w:r>
    </w:p>
    <w:p>
      <w:r>
        <w:br w:type="page"/>
      </w:r>
    </w:p>
    <w:p>
      <w:pPr>
        <w:pStyle w:val="Heading1"/>
      </w:pPr>
      <w:r>
        <w:t>1. Executive Summary</w:t>
      </w:r>
    </w:p>
    <w:p>
      <w:r>
        <w:t>This project analyses Brazilian Olist e-commerce order and customer data to understand order volume, delivery performance, customer purchasing behaviour and geographic patterns. The workflow was to inspect and validate data in Excel, investigate business questions with SQL in MySQL, and present the main measures in a Power BI dashboard.</w:t>
      </w:r>
    </w:p>
    <w:p>
      <w:r>
        <w:t>The working dataset contains 99,441 orders. The analysis found 96,478 delivered orders, a delivery rate of 97.02%, 625 canceled orders, 88,649 on-time orders and 7,827 late orders. The project also examined missing date fields, monthly order trends, repeat purchasing and differences in late-delivery rates across customer states.</w:t>
      </w:r>
    </w:p>
    <w:p>
      <w:pPr>
        <w:pStyle w:val="Heading2"/>
      </w:pPr>
      <w:r>
        <w:t>Project at a Glance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4A70"/>
          </w:tcPr>
          <w:p>
            <w:pPr>
              <w:spacing w:after="0"/>
            </w:pPr>
            <w:r/>
            <w:r>
              <w:rPr>
                <w:rFonts w:ascii="Aptos" w:hAnsi="Aptos"/>
                <w:b/>
                <w:color w:val="FFFFFF"/>
                <w:sz w:val="18"/>
              </w:rPr>
              <w:t>Item</w:t>
            </w:r>
          </w:p>
        </w:tc>
        <w:tc>
          <w:tcPr>
            <w:tcW w:type="dxa" w:w="8064"/>
            <w:vAlign w:val="center"/>
            <w:shd w:fill="174A70"/>
          </w:tcPr>
          <w:p>
            <w:pPr>
              <w:spacing w:after="0"/>
            </w:pPr>
            <w:r/>
            <w:r>
              <w:rPr>
                <w:rFonts w:ascii="Aptos" w:hAnsi="Aptos"/>
                <w:b/>
                <w:color w:val="FFFFFF"/>
                <w:sz w:val="18"/>
              </w:rPr>
              <w:t>Summary</w:t>
            </w:r>
          </w:p>
        </w:tc>
      </w:tr>
      <w:tr>
        <w:tc>
          <w:tcPr>
            <w:tcW w:type="dxa" w:w="2304"/>
            <w:vAlign w:val="center"/>
          </w:tcPr>
          <w:p>
            <w:pPr>
              <w:spacing w:after="0"/>
            </w:pPr>
            <w:r/>
            <w:r>
              <w:rPr>
                <w:rFonts w:ascii="Aptos" w:hAnsi="Aptos"/>
                <w:b w:val="0"/>
                <w:sz w:val="18"/>
              </w:rPr>
              <w:t>Business area</w:t>
            </w:r>
          </w:p>
        </w:tc>
        <w:tc>
          <w:tcPr>
            <w:tcW w:type="dxa" w:w="8064"/>
            <w:vAlign w:val="center"/>
          </w:tcPr>
          <w:p>
            <w:pPr>
              <w:spacing w:after="0"/>
            </w:pPr>
            <w:r/>
            <w:r>
              <w:rPr>
                <w:rFonts w:ascii="Aptos" w:hAnsi="Aptos"/>
                <w:b w:val="0"/>
                <w:sz w:val="18"/>
              </w:rPr>
              <w:t>E-commerce operations and customer analytics</w:t>
            </w:r>
          </w:p>
        </w:tc>
      </w:tr>
      <w:tr>
        <w:tc>
          <w:tcPr>
            <w:tcW w:type="dxa" w:w="2304"/>
            <w:vAlign w:val="center"/>
            <w:shd w:fill="F1F5F8"/>
          </w:tcPr>
          <w:p>
            <w:pPr>
              <w:spacing w:after="0"/>
            </w:pPr>
            <w:r/>
            <w:r>
              <w:rPr>
                <w:rFonts w:ascii="Aptos" w:hAnsi="Aptos"/>
                <w:b w:val="0"/>
                <w:sz w:val="18"/>
              </w:rPr>
              <w:t>Objective</w:t>
            </w:r>
          </w:p>
        </w:tc>
        <w:tc>
          <w:tcPr>
            <w:tcW w:type="dxa" w:w="8064"/>
            <w:vAlign w:val="center"/>
            <w:shd w:fill="F1F5F8"/>
          </w:tcPr>
          <w:p>
            <w:pPr>
              <w:spacing w:after="0"/>
            </w:pPr>
            <w:r/>
            <w:r>
              <w:rPr>
                <w:rFonts w:ascii="Aptos" w:hAnsi="Aptos"/>
                <w:b w:val="0"/>
                <w:sz w:val="18"/>
              </w:rPr>
              <w:t>Turn order and customer records into clear operational insights</w:t>
            </w:r>
          </w:p>
        </w:tc>
      </w:tr>
      <w:tr>
        <w:tc>
          <w:tcPr>
            <w:tcW w:type="dxa" w:w="2304"/>
            <w:vAlign w:val="center"/>
          </w:tcPr>
          <w:p>
            <w:pPr>
              <w:spacing w:after="0"/>
            </w:pPr>
            <w:r/>
            <w:r>
              <w:rPr>
                <w:rFonts w:ascii="Aptos" w:hAnsi="Aptos"/>
                <w:b w:val="0"/>
                <w:sz w:val="18"/>
              </w:rPr>
              <w:t>Dataset size</w:t>
            </w:r>
          </w:p>
        </w:tc>
        <w:tc>
          <w:tcPr>
            <w:tcW w:type="dxa" w:w="8064"/>
            <w:vAlign w:val="center"/>
          </w:tcPr>
          <w:p>
            <w:pPr>
              <w:spacing w:after="0"/>
            </w:pPr>
            <w:r/>
            <w:r>
              <w:rPr>
                <w:rFonts w:ascii="Aptos" w:hAnsi="Aptos"/>
                <w:b w:val="0"/>
                <w:sz w:val="18"/>
              </w:rPr>
              <w:t>99,441 orders, with customer data used for geographic and customer analysis</w:t>
            </w:r>
          </w:p>
        </w:tc>
      </w:tr>
      <w:tr>
        <w:tc>
          <w:tcPr>
            <w:tcW w:type="dxa" w:w="2304"/>
            <w:vAlign w:val="center"/>
            <w:shd w:fill="F1F5F8"/>
          </w:tcPr>
          <w:p>
            <w:pPr>
              <w:spacing w:after="0"/>
            </w:pPr>
            <w:r/>
            <w:r>
              <w:rPr>
                <w:rFonts w:ascii="Aptos" w:hAnsi="Aptos"/>
                <w:b w:val="0"/>
                <w:sz w:val="18"/>
              </w:rPr>
              <w:t>Tools</w:t>
            </w:r>
          </w:p>
        </w:tc>
        <w:tc>
          <w:tcPr>
            <w:tcW w:type="dxa" w:w="8064"/>
            <w:vAlign w:val="center"/>
            <w:shd w:fill="F1F5F8"/>
          </w:tcPr>
          <w:p>
            <w:pPr>
              <w:spacing w:after="0"/>
            </w:pPr>
            <w:r/>
            <w:r>
              <w:rPr>
                <w:rFonts w:ascii="Aptos" w:hAnsi="Aptos"/>
                <w:b w:val="0"/>
                <w:sz w:val="18"/>
              </w:rPr>
              <w:t>Excel, MySQL Workbench, Power BI Desktop and DAX</w:t>
            </w:r>
          </w:p>
        </w:tc>
      </w:tr>
      <w:tr>
        <w:tc>
          <w:tcPr>
            <w:tcW w:type="dxa" w:w="2304"/>
            <w:vAlign w:val="center"/>
          </w:tcPr>
          <w:p>
            <w:pPr>
              <w:spacing w:after="0"/>
            </w:pPr>
            <w:r/>
            <w:r>
              <w:rPr>
                <w:rFonts w:ascii="Aptos" w:hAnsi="Aptos"/>
                <w:b w:val="0"/>
                <w:sz w:val="18"/>
              </w:rPr>
              <w:t>Deliverables</w:t>
            </w:r>
          </w:p>
        </w:tc>
        <w:tc>
          <w:tcPr>
            <w:tcW w:type="dxa" w:w="8064"/>
            <w:vAlign w:val="center"/>
          </w:tcPr>
          <w:p>
            <w:pPr>
              <w:spacing w:after="0"/>
            </w:pPr>
            <w:r/>
            <w:r>
              <w:rPr>
                <w:rFonts w:ascii="Aptos" w:hAnsi="Aptos"/>
                <w:b w:val="0"/>
                <w:sz w:val="18"/>
              </w:rPr>
              <w:t>Excel analysis/dashboard, SQL analysis script and Power BI dashboard</w:t>
            </w:r>
          </w:p>
        </w:tc>
      </w:tr>
    </w:tbl>
    <w:p/>
    <w:p>
      <w:pPr>
        <w:pStyle w:val="Heading1"/>
      </w:pPr>
      <w:r>
        <w:t>2. Business Objectives and Questions</w:t>
      </w:r>
    </w:p>
    <w:p>
      <w:pPr>
        <w:pStyle w:val="ListBullet"/>
        <w:spacing w:after="40"/>
      </w:pPr>
      <w:r>
        <w:t>Check data reliability by investigating duplicate order IDs and missing dates.</w:t>
      </w:r>
    </w:p>
    <w:p>
      <w:pPr>
        <w:pStyle w:val="ListBullet"/>
        <w:spacing w:after="40"/>
      </w:pPr>
      <w:r>
        <w:t>Understand order volume by year and month and identify high-volume periods.</w:t>
      </w:r>
    </w:p>
    <w:p>
      <w:pPr>
        <w:pStyle w:val="ListBullet"/>
        <w:spacing w:after="40"/>
      </w:pPr>
      <w:r>
        <w:t>Measure order status, delivery success, cancellations, on-time deliveries and late deliveries.</w:t>
      </w:r>
    </w:p>
    <w:p>
      <w:pPr>
        <w:pStyle w:val="ListBullet"/>
        <w:spacing w:after="40"/>
      </w:pPr>
      <w:r>
        <w:t>Compare order volume and late-delivery performance across customer states.</w:t>
      </w:r>
    </w:p>
    <w:p>
      <w:pPr>
        <w:pStyle w:val="ListBullet"/>
        <w:spacing w:after="40"/>
      </w:pPr>
      <w:r>
        <w:t>Understand unique customers and the split between repeat and one-time customers.</w:t>
      </w:r>
    </w:p>
    <w:p>
      <w:pPr>
        <w:pStyle w:val="ListBullet"/>
        <w:spacing w:after="40"/>
      </w:pPr>
      <w:r>
        <w:t>Create a dashboard for reviewing key operational KPIs and trends.</w:t>
      </w:r>
    </w:p>
    <w:p>
      <w:pPr>
        <w:pStyle w:val="Heading1"/>
      </w:pPr>
      <w:r>
        <w:t>3. Data and Approach</w:t>
      </w:r>
    </w:p>
    <w:p>
      <w:r>
        <w:t>The project used the Olist orders dataset and customer dataset. The orders table includes order identifiers, customer identifiers, order status, purchase timestamps, approval dates, carrier handoff dates, customer delivery dates and estimated delivery dates. Customer records provide customer identifiers and state-level location details.</w:t>
      </w:r>
    </w:p>
    <w:p>
      <w:r>
        <w:t>The source data was examined in Excel and imported into MySQL for SQL analysis. The orders and customers tables were also imported into Power BI, where the customer relationship was checked and DAX measures were created for KPI cards and visuals.</w:t>
      </w:r>
    </w:p>
    <w:p>
      <w:pPr>
        <w:pStyle w:val="Heading2"/>
      </w:pPr>
      <w:r>
        <w:t>Workflow</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4A70"/>
          </w:tcPr>
          <w:p>
            <w:pPr>
              <w:spacing w:after="0"/>
            </w:pPr>
            <w:r/>
            <w:r>
              <w:rPr>
                <w:rFonts w:ascii="Aptos" w:hAnsi="Aptos"/>
                <w:b/>
                <w:color w:val="FFFFFF"/>
                <w:sz w:val="18"/>
              </w:rPr>
              <w:t>Stage</w:t>
            </w:r>
          </w:p>
        </w:tc>
        <w:tc>
          <w:tcPr>
            <w:tcW w:type="dxa" w:w="5112"/>
            <w:vAlign w:val="center"/>
            <w:shd w:fill="174A70"/>
          </w:tcPr>
          <w:p>
            <w:pPr>
              <w:spacing w:after="0"/>
            </w:pPr>
            <w:r/>
            <w:r>
              <w:rPr>
                <w:rFonts w:ascii="Aptos" w:hAnsi="Aptos"/>
                <w:b/>
                <w:color w:val="FFFFFF"/>
                <w:sz w:val="18"/>
              </w:rPr>
              <w:t>Work completed</w:t>
            </w:r>
          </w:p>
        </w:tc>
        <w:tc>
          <w:tcPr>
            <w:tcW w:type="dxa" w:w="3312"/>
            <w:vAlign w:val="center"/>
            <w:shd w:fill="174A70"/>
          </w:tcPr>
          <w:p>
            <w:pPr>
              <w:spacing w:after="0"/>
            </w:pPr>
            <w:r/>
            <w:r>
              <w:rPr>
                <w:rFonts w:ascii="Aptos" w:hAnsi="Aptos"/>
                <w:b/>
                <w:color w:val="FFFFFF"/>
                <w:sz w:val="18"/>
              </w:rPr>
              <w:t>Purpose</w:t>
            </w:r>
          </w:p>
        </w:tc>
      </w:tr>
      <w:tr>
        <w:tc>
          <w:tcPr>
            <w:tcW w:type="dxa" w:w="1944"/>
            <w:vAlign w:val="center"/>
          </w:tcPr>
          <w:p>
            <w:pPr>
              <w:spacing w:after="0"/>
            </w:pPr>
            <w:r/>
            <w:r>
              <w:rPr>
                <w:rFonts w:ascii="Aptos" w:hAnsi="Aptos"/>
                <w:b w:val="0"/>
                <w:sz w:val="18"/>
              </w:rPr>
              <w:t>1. Excel inspection</w:t>
            </w:r>
          </w:p>
        </w:tc>
        <w:tc>
          <w:tcPr>
            <w:tcW w:type="dxa" w:w="5112"/>
            <w:vAlign w:val="center"/>
          </w:tcPr>
          <w:p>
            <w:pPr>
              <w:spacing w:after="0"/>
            </w:pPr>
            <w:r/>
            <w:r>
              <w:rPr>
                <w:rFonts w:ascii="Aptos" w:hAnsi="Aptos"/>
                <w:b w:val="0"/>
                <w:sz w:val="18"/>
              </w:rPr>
              <w:t>Checked row counts, identifiers, blank dates and status counts.</w:t>
            </w:r>
          </w:p>
        </w:tc>
        <w:tc>
          <w:tcPr>
            <w:tcW w:type="dxa" w:w="3312"/>
            <w:vAlign w:val="center"/>
          </w:tcPr>
          <w:p>
            <w:pPr>
              <w:spacing w:after="0"/>
            </w:pPr>
            <w:r/>
            <w:r>
              <w:rPr>
                <w:rFonts w:ascii="Aptos" w:hAnsi="Aptos"/>
                <w:b w:val="0"/>
                <w:sz w:val="18"/>
              </w:rPr>
              <w:t>Understand data quality and structure.</w:t>
            </w:r>
          </w:p>
        </w:tc>
      </w:tr>
      <w:tr>
        <w:tc>
          <w:tcPr>
            <w:tcW w:type="dxa" w:w="1944"/>
            <w:vAlign w:val="center"/>
            <w:shd w:fill="F1F5F8"/>
          </w:tcPr>
          <w:p>
            <w:pPr>
              <w:spacing w:after="0"/>
            </w:pPr>
            <w:r/>
            <w:r>
              <w:rPr>
                <w:rFonts w:ascii="Aptos" w:hAnsi="Aptos"/>
                <w:b w:val="0"/>
                <w:sz w:val="18"/>
              </w:rPr>
              <w:t>2. Excel analysis</w:t>
            </w:r>
          </w:p>
        </w:tc>
        <w:tc>
          <w:tcPr>
            <w:tcW w:type="dxa" w:w="5112"/>
            <w:vAlign w:val="center"/>
            <w:shd w:fill="F1F5F8"/>
          </w:tcPr>
          <w:p>
            <w:pPr>
              <w:spacing w:after="0"/>
            </w:pPr>
            <w:r/>
            <w:r>
              <w:rPr>
                <w:rFonts w:ascii="Aptos" w:hAnsi="Aptos"/>
                <w:b w:val="0"/>
                <w:sz w:val="18"/>
              </w:rPr>
              <w:t>Used formulas, PivotTables and summary visuals for trends and performance.</w:t>
            </w:r>
          </w:p>
        </w:tc>
        <w:tc>
          <w:tcPr>
            <w:tcW w:type="dxa" w:w="3312"/>
            <w:vAlign w:val="center"/>
            <w:shd w:fill="F1F5F8"/>
          </w:tcPr>
          <w:p>
            <w:pPr>
              <w:spacing w:after="0"/>
            </w:pPr>
            <w:r/>
            <w:r>
              <w:rPr>
                <w:rFonts w:ascii="Aptos" w:hAnsi="Aptos"/>
                <w:b w:val="0"/>
                <w:sz w:val="18"/>
              </w:rPr>
              <w:t>Explore patterns and calculate metrics.</w:t>
            </w:r>
          </w:p>
        </w:tc>
      </w:tr>
      <w:tr>
        <w:tc>
          <w:tcPr>
            <w:tcW w:type="dxa" w:w="1944"/>
            <w:vAlign w:val="center"/>
          </w:tcPr>
          <w:p>
            <w:pPr>
              <w:spacing w:after="0"/>
            </w:pPr>
            <w:r/>
            <w:r>
              <w:rPr>
                <w:rFonts w:ascii="Aptos" w:hAnsi="Aptos"/>
                <w:b w:val="0"/>
                <w:sz w:val="18"/>
              </w:rPr>
              <w:t>3. SQL analysis</w:t>
            </w:r>
          </w:p>
        </w:tc>
        <w:tc>
          <w:tcPr>
            <w:tcW w:type="dxa" w:w="5112"/>
            <w:vAlign w:val="center"/>
          </w:tcPr>
          <w:p>
            <w:pPr>
              <w:spacing w:after="0"/>
            </w:pPr>
            <w:r/>
            <w:r>
              <w:rPr>
                <w:rFonts w:ascii="Aptos" w:hAnsi="Aptos"/>
                <w:b w:val="0"/>
                <w:sz w:val="18"/>
              </w:rPr>
              <w:t>Used aggregation, filtering, grouping, sorting, joins, date analysis and conditional calculations.</w:t>
            </w:r>
          </w:p>
        </w:tc>
        <w:tc>
          <w:tcPr>
            <w:tcW w:type="dxa" w:w="3312"/>
            <w:vAlign w:val="center"/>
          </w:tcPr>
          <w:p>
            <w:pPr>
              <w:spacing w:after="0"/>
            </w:pPr>
            <w:r/>
            <w:r>
              <w:rPr>
                <w:rFonts w:ascii="Aptos" w:hAnsi="Aptos"/>
                <w:b w:val="0"/>
                <w:sz w:val="18"/>
              </w:rPr>
              <w:t>Validate results and answer business questions.</w:t>
            </w:r>
          </w:p>
        </w:tc>
      </w:tr>
      <w:tr>
        <w:tc>
          <w:tcPr>
            <w:tcW w:type="dxa" w:w="1944"/>
            <w:vAlign w:val="center"/>
            <w:shd w:fill="F1F5F8"/>
          </w:tcPr>
          <w:p>
            <w:pPr>
              <w:spacing w:after="0"/>
            </w:pPr>
            <w:r/>
            <w:r>
              <w:rPr>
                <w:rFonts w:ascii="Aptos" w:hAnsi="Aptos"/>
                <w:b w:val="0"/>
                <w:sz w:val="18"/>
              </w:rPr>
              <w:t>4. Power BI model</w:t>
            </w:r>
          </w:p>
        </w:tc>
        <w:tc>
          <w:tcPr>
            <w:tcW w:type="dxa" w:w="5112"/>
            <w:vAlign w:val="center"/>
            <w:shd w:fill="F1F5F8"/>
          </w:tcPr>
          <w:p>
            <w:pPr>
              <w:spacing w:after="0"/>
            </w:pPr>
            <w:r/>
            <w:r>
              <w:rPr>
                <w:rFonts w:ascii="Aptos" w:hAnsi="Aptos"/>
                <w:b w:val="0"/>
                <w:sz w:val="18"/>
              </w:rPr>
              <w:t>Imported orders and customers, checked their relationship and created DAX measures.</w:t>
            </w:r>
          </w:p>
        </w:tc>
        <w:tc>
          <w:tcPr>
            <w:tcW w:type="dxa" w:w="3312"/>
            <w:vAlign w:val="center"/>
            <w:shd w:fill="F1F5F8"/>
          </w:tcPr>
          <w:p>
            <w:pPr>
              <w:spacing w:after="0"/>
            </w:pPr>
            <w:r/>
            <w:r>
              <w:rPr>
                <w:rFonts w:ascii="Aptos" w:hAnsi="Aptos"/>
                <w:b w:val="0"/>
                <w:sz w:val="18"/>
              </w:rPr>
              <w:t>Build a reusable reporting model.</w:t>
            </w:r>
          </w:p>
        </w:tc>
      </w:tr>
      <w:tr>
        <w:tc>
          <w:tcPr>
            <w:tcW w:type="dxa" w:w="1944"/>
            <w:vAlign w:val="center"/>
          </w:tcPr>
          <w:p>
            <w:pPr>
              <w:spacing w:after="0"/>
            </w:pPr>
            <w:r/>
            <w:r>
              <w:rPr>
                <w:rFonts w:ascii="Aptos" w:hAnsi="Aptos"/>
                <w:b w:val="0"/>
                <w:sz w:val="18"/>
              </w:rPr>
              <w:t>5. Final validation</w:t>
            </w:r>
          </w:p>
        </w:tc>
        <w:tc>
          <w:tcPr>
            <w:tcW w:type="dxa" w:w="5112"/>
            <w:vAlign w:val="center"/>
          </w:tcPr>
          <w:p>
            <w:pPr>
              <w:spacing w:after="0"/>
            </w:pPr>
            <w:r/>
            <w:r>
              <w:rPr>
                <w:rFonts w:ascii="Aptos" w:hAnsi="Aptos"/>
                <w:b w:val="0"/>
                <w:sz w:val="18"/>
              </w:rPr>
              <w:t>Checked KPI values, chart contents, state rates, titles, readability, layout and saved the report.</w:t>
            </w:r>
          </w:p>
        </w:tc>
        <w:tc>
          <w:tcPr>
            <w:tcW w:type="dxa" w:w="3312"/>
            <w:vAlign w:val="center"/>
          </w:tcPr>
          <w:p>
            <w:pPr>
              <w:spacing w:after="0"/>
            </w:pPr>
            <w:r/>
            <w:r>
              <w:rPr>
                <w:rFonts w:ascii="Aptos" w:hAnsi="Aptos"/>
                <w:b w:val="0"/>
                <w:sz w:val="18"/>
              </w:rPr>
              <w:t>Ensure the report is consistent and understandable.</w:t>
            </w:r>
          </w:p>
        </w:tc>
      </w:tr>
    </w:tbl>
    <w:p/>
    <w:p>
      <w:pPr>
        <w:pStyle w:val="Heading1"/>
      </w:pPr>
      <w:r>
        <w:t>4. Data Quality Findings</w:t>
      </w:r>
    </w:p>
    <w:p>
      <w:r>
        <w:t>The data-quality checks established the limits of the analysis. Missing dates were investigated rather than automatically treated as errors, because some order statuses may not have a completed delivery timeline.</w:t>
      </w:r>
    </w:p>
    <w:tbl>
      <w:tblPr>
        <w:tblStyle w:val="TableGrid"/>
        <w:tblW w:type="auto" w:w="0"/>
        <w:jc w:val="center"/>
        <w:tblLook w:firstColumn="1" w:firstRow="1" w:lastColumn="0" w:lastRow="0" w:noHBand="0" w:noVBand="1" w:val="04A0"/>
      </w:tblPr>
      <w:tblGrid>
        <w:gridCol w:w="3312"/>
        <w:gridCol w:w="3312"/>
        <w:gridCol w:w="3312"/>
      </w:tblGrid>
      <w:tr>
        <w:tc>
          <w:tcPr>
            <w:tcW w:type="dxa" w:w="2520"/>
            <w:vAlign w:val="center"/>
            <w:shd w:fill="174A70"/>
          </w:tcPr>
          <w:p>
            <w:pPr>
              <w:spacing w:after="0"/>
            </w:pPr>
            <w:r/>
            <w:r>
              <w:rPr>
                <w:rFonts w:ascii="Aptos" w:hAnsi="Aptos"/>
                <w:b/>
                <w:color w:val="FFFFFF"/>
                <w:sz w:val="18"/>
              </w:rPr>
              <w:t>Check</w:t>
            </w:r>
          </w:p>
        </w:tc>
        <w:tc>
          <w:tcPr>
            <w:tcW w:type="dxa" w:w="2232"/>
            <w:vAlign w:val="center"/>
            <w:shd w:fill="174A70"/>
          </w:tcPr>
          <w:p>
            <w:pPr>
              <w:spacing w:after="0"/>
            </w:pPr>
            <w:r/>
            <w:r>
              <w:rPr>
                <w:rFonts w:ascii="Aptos" w:hAnsi="Aptos"/>
                <w:b/>
                <w:color w:val="FFFFFF"/>
                <w:sz w:val="18"/>
              </w:rPr>
              <w:t>Finding</w:t>
            </w:r>
          </w:p>
        </w:tc>
        <w:tc>
          <w:tcPr>
            <w:tcW w:type="dxa" w:w="5616"/>
            <w:vAlign w:val="center"/>
            <w:shd w:fill="174A70"/>
          </w:tcPr>
          <w:p>
            <w:pPr>
              <w:spacing w:after="0"/>
            </w:pPr>
            <w:r/>
            <w:r>
              <w:rPr>
                <w:rFonts w:ascii="Aptos" w:hAnsi="Aptos"/>
                <w:b/>
                <w:color w:val="FFFFFF"/>
                <w:sz w:val="18"/>
              </w:rPr>
              <w:t>Interpretation</w:t>
            </w:r>
          </w:p>
        </w:tc>
      </w:tr>
      <w:tr>
        <w:tc>
          <w:tcPr>
            <w:tcW w:type="dxa" w:w="2520"/>
            <w:vAlign w:val="center"/>
          </w:tcPr>
          <w:p>
            <w:pPr>
              <w:spacing w:after="0"/>
            </w:pPr>
            <w:r/>
            <w:r>
              <w:rPr>
                <w:rFonts w:ascii="Aptos" w:hAnsi="Aptos"/>
                <w:b w:val="0"/>
                <w:sz w:val="18"/>
              </w:rPr>
              <w:t>Total orders</w:t>
            </w:r>
          </w:p>
        </w:tc>
        <w:tc>
          <w:tcPr>
            <w:tcW w:type="dxa" w:w="2232"/>
            <w:vAlign w:val="center"/>
          </w:tcPr>
          <w:p>
            <w:pPr>
              <w:spacing w:after="0"/>
            </w:pPr>
            <w:r/>
            <w:r>
              <w:rPr>
                <w:rFonts w:ascii="Aptos" w:hAnsi="Aptos"/>
                <w:b w:val="0"/>
                <w:sz w:val="18"/>
              </w:rPr>
              <w:t>99,441</w:t>
            </w:r>
          </w:p>
        </w:tc>
        <w:tc>
          <w:tcPr>
            <w:tcW w:type="dxa" w:w="5616"/>
            <w:vAlign w:val="center"/>
          </w:tcPr>
          <w:p>
            <w:pPr>
              <w:spacing w:after="0"/>
            </w:pPr>
            <w:r/>
            <w:r>
              <w:rPr>
                <w:rFonts w:ascii="Aptos" w:hAnsi="Aptos"/>
                <w:b w:val="0"/>
                <w:sz w:val="18"/>
              </w:rPr>
              <w:t>Population used for the main order KPIs.</w:t>
            </w:r>
          </w:p>
        </w:tc>
      </w:tr>
      <w:tr>
        <w:tc>
          <w:tcPr>
            <w:tcW w:type="dxa" w:w="2520"/>
            <w:vAlign w:val="center"/>
            <w:shd w:fill="F1F5F8"/>
          </w:tcPr>
          <w:p>
            <w:pPr>
              <w:spacing w:after="0"/>
            </w:pPr>
            <w:r/>
            <w:r>
              <w:rPr>
                <w:rFonts w:ascii="Aptos" w:hAnsi="Aptos"/>
                <w:b w:val="0"/>
                <w:sz w:val="18"/>
              </w:rPr>
              <w:t>Unique order IDs</w:t>
            </w:r>
          </w:p>
        </w:tc>
        <w:tc>
          <w:tcPr>
            <w:tcW w:type="dxa" w:w="2232"/>
            <w:vAlign w:val="center"/>
            <w:shd w:fill="F1F5F8"/>
          </w:tcPr>
          <w:p>
            <w:pPr>
              <w:spacing w:after="0"/>
            </w:pPr>
            <w:r/>
            <w:r>
              <w:rPr>
                <w:rFonts w:ascii="Aptos" w:hAnsi="Aptos"/>
                <w:b w:val="0"/>
                <w:sz w:val="18"/>
              </w:rPr>
              <w:t>99,441</w:t>
            </w:r>
          </w:p>
        </w:tc>
        <w:tc>
          <w:tcPr>
            <w:tcW w:type="dxa" w:w="5616"/>
            <w:vAlign w:val="center"/>
            <w:shd w:fill="F1F5F8"/>
          </w:tcPr>
          <w:p>
            <w:pPr>
              <w:spacing w:after="0"/>
            </w:pPr>
            <w:r/>
            <w:r>
              <w:rPr>
                <w:rFonts w:ascii="Aptos" w:hAnsi="Aptos"/>
                <w:b w:val="0"/>
                <w:sz w:val="18"/>
              </w:rPr>
              <w:t>No duplicate order IDs were found in the final SQL validation.</w:t>
            </w:r>
          </w:p>
        </w:tc>
      </w:tr>
      <w:tr>
        <w:tc>
          <w:tcPr>
            <w:tcW w:type="dxa" w:w="2520"/>
            <w:vAlign w:val="center"/>
          </w:tcPr>
          <w:p>
            <w:pPr>
              <w:spacing w:after="0"/>
            </w:pPr>
            <w:r/>
            <w:r>
              <w:rPr>
                <w:rFonts w:ascii="Aptos" w:hAnsi="Aptos"/>
                <w:b w:val="0"/>
                <w:sz w:val="18"/>
              </w:rPr>
              <w:t>Missing approval dates</w:t>
            </w:r>
          </w:p>
        </w:tc>
        <w:tc>
          <w:tcPr>
            <w:tcW w:type="dxa" w:w="2232"/>
            <w:vAlign w:val="center"/>
          </w:tcPr>
          <w:p>
            <w:pPr>
              <w:spacing w:after="0"/>
            </w:pPr>
            <w:r/>
            <w:r>
              <w:rPr>
                <w:rFonts w:ascii="Aptos" w:hAnsi="Aptos"/>
                <w:b w:val="0"/>
                <w:sz w:val="18"/>
              </w:rPr>
              <w:t>160</w:t>
            </w:r>
          </w:p>
        </w:tc>
        <w:tc>
          <w:tcPr>
            <w:tcW w:type="dxa" w:w="5616"/>
            <w:vAlign w:val="center"/>
          </w:tcPr>
          <w:p>
            <w:pPr>
              <w:spacing w:after="0"/>
            </w:pPr>
            <w:r/>
            <w:r>
              <w:rPr>
                <w:rFonts w:ascii="Aptos" w:hAnsi="Aptos"/>
                <w:b w:val="0"/>
                <w:sz w:val="18"/>
              </w:rPr>
              <w:t>Approval timestamp is absent for some records.</w:t>
            </w:r>
          </w:p>
        </w:tc>
      </w:tr>
      <w:tr>
        <w:tc>
          <w:tcPr>
            <w:tcW w:type="dxa" w:w="2520"/>
            <w:vAlign w:val="center"/>
            <w:shd w:fill="F1F5F8"/>
          </w:tcPr>
          <w:p>
            <w:pPr>
              <w:spacing w:after="0"/>
            </w:pPr>
            <w:r/>
            <w:r>
              <w:rPr>
                <w:rFonts w:ascii="Aptos" w:hAnsi="Aptos"/>
                <w:b w:val="0"/>
                <w:sz w:val="18"/>
              </w:rPr>
              <w:t>Missing carrier dates</w:t>
            </w:r>
          </w:p>
        </w:tc>
        <w:tc>
          <w:tcPr>
            <w:tcW w:type="dxa" w:w="2232"/>
            <w:vAlign w:val="center"/>
            <w:shd w:fill="F1F5F8"/>
          </w:tcPr>
          <w:p>
            <w:pPr>
              <w:spacing w:after="0"/>
            </w:pPr>
            <w:r/>
            <w:r>
              <w:rPr>
                <w:rFonts w:ascii="Aptos" w:hAnsi="Aptos"/>
                <w:b w:val="0"/>
                <w:sz w:val="18"/>
              </w:rPr>
              <w:t>1,783</w:t>
            </w:r>
          </w:p>
        </w:tc>
        <w:tc>
          <w:tcPr>
            <w:tcW w:type="dxa" w:w="5616"/>
            <w:vAlign w:val="center"/>
            <w:shd w:fill="F1F5F8"/>
          </w:tcPr>
          <w:p>
            <w:pPr>
              <w:spacing w:after="0"/>
            </w:pPr>
            <w:r/>
            <w:r>
              <w:rPr>
                <w:rFonts w:ascii="Aptos" w:hAnsi="Aptos"/>
                <w:b w:val="0"/>
                <w:sz w:val="18"/>
              </w:rPr>
              <w:t>Carrier handoff timing is unavailable for some orders.</w:t>
            </w:r>
          </w:p>
        </w:tc>
      </w:tr>
      <w:tr>
        <w:tc>
          <w:tcPr>
            <w:tcW w:type="dxa" w:w="2520"/>
            <w:vAlign w:val="center"/>
          </w:tcPr>
          <w:p>
            <w:pPr>
              <w:spacing w:after="0"/>
            </w:pPr>
            <w:r/>
            <w:r>
              <w:rPr>
                <w:rFonts w:ascii="Aptos" w:hAnsi="Aptos"/>
                <w:b w:val="0"/>
                <w:sz w:val="18"/>
              </w:rPr>
              <w:t>Missing customer-delivery dates</w:t>
            </w:r>
          </w:p>
        </w:tc>
        <w:tc>
          <w:tcPr>
            <w:tcW w:type="dxa" w:w="2232"/>
            <w:vAlign w:val="center"/>
          </w:tcPr>
          <w:p>
            <w:pPr>
              <w:spacing w:after="0"/>
            </w:pPr>
            <w:r/>
            <w:r>
              <w:rPr>
                <w:rFonts w:ascii="Aptos" w:hAnsi="Aptos"/>
                <w:b w:val="0"/>
                <w:sz w:val="18"/>
              </w:rPr>
              <w:t>2,965</w:t>
            </w:r>
          </w:p>
        </w:tc>
        <w:tc>
          <w:tcPr>
            <w:tcW w:type="dxa" w:w="5616"/>
            <w:vAlign w:val="center"/>
          </w:tcPr>
          <w:p>
            <w:pPr>
              <w:spacing w:after="0"/>
            </w:pPr>
            <w:r/>
            <w:r>
              <w:rPr>
                <w:rFonts w:ascii="Aptos" w:hAnsi="Aptos"/>
                <w:b w:val="0"/>
                <w:sz w:val="18"/>
              </w:rPr>
              <w:t>Orders without an actual delivery date cannot be classified as on-time or late.</w:t>
            </w:r>
          </w:p>
        </w:tc>
      </w:tr>
    </w:tbl>
    <w:p/>
    <w:p>
      <w:r>
        <w:t>Note: final SQL checks showed 2,965 missing customer-delivery dates and 1,783 missing carrier dates. An earlier Excel check showed a small discrepancy for a missing-date count; SQL results were used as the final reconciled values.</w:t>
      </w:r>
    </w:p>
    <w:p>
      <w:pPr>
        <w:pStyle w:val="Heading1"/>
      </w:pPr>
      <w:r>
        <w:t>5. Key Findings</w:t>
      </w:r>
    </w:p>
    <w:p>
      <w:pPr>
        <w:pStyle w:val="Heading2"/>
      </w:pPr>
      <w:r>
        <w:t>5.1 Order and delivery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4A70"/>
          </w:tcPr>
          <w:p>
            <w:pPr>
              <w:spacing w:after="0"/>
            </w:pPr>
            <w:r/>
            <w:r>
              <w:rPr>
                <w:rFonts w:ascii="Aptos" w:hAnsi="Aptos"/>
                <w:b/>
                <w:color w:val="FFFFFF"/>
                <w:sz w:val="18"/>
              </w:rPr>
              <w:t>Metric</w:t>
            </w:r>
          </w:p>
        </w:tc>
        <w:tc>
          <w:tcPr>
            <w:tcW w:type="dxa" w:w="1728"/>
            <w:vAlign w:val="center"/>
            <w:shd w:fill="174A70"/>
          </w:tcPr>
          <w:p>
            <w:pPr>
              <w:spacing w:after="0"/>
            </w:pPr>
            <w:r/>
            <w:r>
              <w:rPr>
                <w:rFonts w:ascii="Aptos" w:hAnsi="Aptos"/>
                <w:b/>
                <w:color w:val="FFFFFF"/>
                <w:sz w:val="18"/>
              </w:rPr>
              <w:t>Result</w:t>
            </w:r>
          </w:p>
        </w:tc>
        <w:tc>
          <w:tcPr>
            <w:tcW w:type="dxa" w:w="6192"/>
            <w:vAlign w:val="center"/>
            <w:shd w:fill="174A70"/>
          </w:tcPr>
          <w:p>
            <w:pPr>
              <w:spacing w:after="0"/>
            </w:pPr>
            <w:r/>
            <w:r>
              <w:rPr>
                <w:rFonts w:ascii="Aptos" w:hAnsi="Aptos"/>
                <w:b/>
                <w:color w:val="FFFFFF"/>
                <w:sz w:val="18"/>
              </w:rPr>
              <w:t>Definition / note</w:t>
            </w:r>
          </w:p>
        </w:tc>
      </w:tr>
      <w:tr>
        <w:tc>
          <w:tcPr>
            <w:tcW w:type="dxa" w:w="2448"/>
            <w:vAlign w:val="center"/>
          </w:tcPr>
          <w:p>
            <w:pPr>
              <w:spacing w:after="0"/>
            </w:pPr>
            <w:r/>
            <w:r>
              <w:rPr>
                <w:rFonts w:ascii="Aptos" w:hAnsi="Aptos"/>
                <w:b w:val="0"/>
                <w:sz w:val="18"/>
              </w:rPr>
              <w:t>Total orders</w:t>
            </w:r>
          </w:p>
        </w:tc>
        <w:tc>
          <w:tcPr>
            <w:tcW w:type="dxa" w:w="1728"/>
            <w:vAlign w:val="center"/>
          </w:tcPr>
          <w:p>
            <w:pPr>
              <w:spacing w:after="0"/>
            </w:pPr>
            <w:r/>
            <w:r>
              <w:rPr>
                <w:rFonts w:ascii="Aptos" w:hAnsi="Aptos"/>
                <w:b w:val="0"/>
                <w:sz w:val="18"/>
              </w:rPr>
              <w:t>99,441</w:t>
            </w:r>
          </w:p>
        </w:tc>
        <w:tc>
          <w:tcPr>
            <w:tcW w:type="dxa" w:w="6192"/>
            <w:vAlign w:val="center"/>
          </w:tcPr>
          <w:p>
            <w:pPr>
              <w:spacing w:after="0"/>
            </w:pPr>
            <w:r/>
            <w:r>
              <w:rPr>
                <w:rFonts w:ascii="Aptos" w:hAnsi="Aptos"/>
                <w:b w:val="0"/>
                <w:sz w:val="18"/>
              </w:rPr>
              <w:t>All order records analysed.</w:t>
            </w:r>
          </w:p>
        </w:tc>
      </w:tr>
      <w:tr>
        <w:tc>
          <w:tcPr>
            <w:tcW w:type="dxa" w:w="2448"/>
            <w:vAlign w:val="center"/>
            <w:shd w:fill="F1F5F8"/>
          </w:tcPr>
          <w:p>
            <w:pPr>
              <w:spacing w:after="0"/>
            </w:pPr>
            <w:r/>
            <w:r>
              <w:rPr>
                <w:rFonts w:ascii="Aptos" w:hAnsi="Aptos"/>
                <w:b w:val="0"/>
                <w:sz w:val="18"/>
              </w:rPr>
              <w:t>Delivered orders</w:t>
            </w:r>
          </w:p>
        </w:tc>
        <w:tc>
          <w:tcPr>
            <w:tcW w:type="dxa" w:w="1728"/>
            <w:vAlign w:val="center"/>
            <w:shd w:fill="F1F5F8"/>
          </w:tcPr>
          <w:p>
            <w:pPr>
              <w:spacing w:after="0"/>
            </w:pPr>
            <w:r/>
            <w:r>
              <w:rPr>
                <w:rFonts w:ascii="Aptos" w:hAnsi="Aptos"/>
                <w:b w:val="0"/>
                <w:sz w:val="18"/>
              </w:rPr>
              <w:t>96,478</w:t>
            </w:r>
          </w:p>
        </w:tc>
        <w:tc>
          <w:tcPr>
            <w:tcW w:type="dxa" w:w="6192"/>
            <w:vAlign w:val="center"/>
            <w:shd w:fill="F1F5F8"/>
          </w:tcPr>
          <w:p>
            <w:pPr>
              <w:spacing w:after="0"/>
            </w:pPr>
            <w:r/>
            <w:r>
              <w:rPr>
                <w:rFonts w:ascii="Aptos" w:hAnsi="Aptos"/>
                <w:b w:val="0"/>
                <w:sz w:val="18"/>
              </w:rPr>
              <w:t>Orders with delivered status.</w:t>
            </w:r>
          </w:p>
        </w:tc>
      </w:tr>
      <w:tr>
        <w:tc>
          <w:tcPr>
            <w:tcW w:type="dxa" w:w="2448"/>
            <w:vAlign w:val="center"/>
          </w:tcPr>
          <w:p>
            <w:pPr>
              <w:spacing w:after="0"/>
            </w:pPr>
            <w:r/>
            <w:r>
              <w:rPr>
                <w:rFonts w:ascii="Aptos" w:hAnsi="Aptos"/>
                <w:b w:val="0"/>
                <w:sz w:val="18"/>
              </w:rPr>
              <w:t>Delivery rate</w:t>
            </w:r>
          </w:p>
        </w:tc>
        <w:tc>
          <w:tcPr>
            <w:tcW w:type="dxa" w:w="1728"/>
            <w:vAlign w:val="center"/>
          </w:tcPr>
          <w:p>
            <w:pPr>
              <w:spacing w:after="0"/>
            </w:pPr>
            <w:r/>
            <w:r>
              <w:rPr>
                <w:rFonts w:ascii="Aptos" w:hAnsi="Aptos"/>
                <w:b w:val="0"/>
                <w:sz w:val="18"/>
              </w:rPr>
              <w:t>97.02%</w:t>
            </w:r>
          </w:p>
        </w:tc>
        <w:tc>
          <w:tcPr>
            <w:tcW w:type="dxa" w:w="6192"/>
            <w:vAlign w:val="center"/>
          </w:tcPr>
          <w:p>
            <w:pPr>
              <w:spacing w:after="0"/>
            </w:pPr>
            <w:r/>
            <w:r>
              <w:rPr>
                <w:rFonts w:ascii="Aptos" w:hAnsi="Aptos"/>
                <w:b w:val="0"/>
                <w:sz w:val="18"/>
              </w:rPr>
              <w:t>Delivered orders divided by all orders.</w:t>
            </w:r>
          </w:p>
        </w:tc>
      </w:tr>
      <w:tr>
        <w:tc>
          <w:tcPr>
            <w:tcW w:type="dxa" w:w="2448"/>
            <w:vAlign w:val="center"/>
            <w:shd w:fill="F1F5F8"/>
          </w:tcPr>
          <w:p>
            <w:pPr>
              <w:spacing w:after="0"/>
            </w:pPr>
            <w:r/>
            <w:r>
              <w:rPr>
                <w:rFonts w:ascii="Aptos" w:hAnsi="Aptos"/>
                <w:b w:val="0"/>
                <w:sz w:val="18"/>
              </w:rPr>
              <w:t>Canceled orders</w:t>
            </w:r>
          </w:p>
        </w:tc>
        <w:tc>
          <w:tcPr>
            <w:tcW w:type="dxa" w:w="1728"/>
            <w:vAlign w:val="center"/>
            <w:shd w:fill="F1F5F8"/>
          </w:tcPr>
          <w:p>
            <w:pPr>
              <w:spacing w:after="0"/>
            </w:pPr>
            <w:r/>
            <w:r>
              <w:rPr>
                <w:rFonts w:ascii="Aptos" w:hAnsi="Aptos"/>
                <w:b w:val="0"/>
                <w:sz w:val="18"/>
              </w:rPr>
              <w:t>625</w:t>
            </w:r>
          </w:p>
        </w:tc>
        <w:tc>
          <w:tcPr>
            <w:tcW w:type="dxa" w:w="6192"/>
            <w:vAlign w:val="center"/>
            <w:shd w:fill="F1F5F8"/>
          </w:tcPr>
          <w:p>
            <w:pPr>
              <w:spacing w:after="0"/>
            </w:pPr>
            <w:r/>
            <w:r>
              <w:rPr>
                <w:rFonts w:ascii="Aptos" w:hAnsi="Aptos"/>
                <w:b w:val="0"/>
                <w:sz w:val="18"/>
              </w:rPr>
              <w:t>Orders with canceled status.</w:t>
            </w:r>
          </w:p>
        </w:tc>
      </w:tr>
      <w:tr>
        <w:tc>
          <w:tcPr>
            <w:tcW w:type="dxa" w:w="2448"/>
            <w:vAlign w:val="center"/>
          </w:tcPr>
          <w:p>
            <w:pPr>
              <w:spacing w:after="0"/>
            </w:pPr>
            <w:r/>
            <w:r>
              <w:rPr>
                <w:rFonts w:ascii="Aptos" w:hAnsi="Aptos"/>
                <w:b w:val="0"/>
                <w:sz w:val="18"/>
              </w:rPr>
              <w:t>Cancellation rate</w:t>
            </w:r>
          </w:p>
        </w:tc>
        <w:tc>
          <w:tcPr>
            <w:tcW w:type="dxa" w:w="1728"/>
            <w:vAlign w:val="center"/>
          </w:tcPr>
          <w:p>
            <w:pPr>
              <w:spacing w:after="0"/>
            </w:pPr>
            <w:r/>
            <w:r>
              <w:rPr>
                <w:rFonts w:ascii="Aptos" w:hAnsi="Aptos"/>
                <w:b w:val="0"/>
                <w:sz w:val="18"/>
              </w:rPr>
              <w:t>0.63%</w:t>
            </w:r>
          </w:p>
        </w:tc>
        <w:tc>
          <w:tcPr>
            <w:tcW w:type="dxa" w:w="6192"/>
            <w:vAlign w:val="center"/>
          </w:tcPr>
          <w:p>
            <w:pPr>
              <w:spacing w:after="0"/>
            </w:pPr>
            <w:r/>
            <w:r>
              <w:rPr>
                <w:rFonts w:ascii="Aptos" w:hAnsi="Aptos"/>
                <w:b w:val="0"/>
                <w:sz w:val="18"/>
              </w:rPr>
              <w:t>Canceled orders divided by all orders.</w:t>
            </w:r>
          </w:p>
        </w:tc>
      </w:tr>
      <w:tr>
        <w:tc>
          <w:tcPr>
            <w:tcW w:type="dxa" w:w="2448"/>
            <w:vAlign w:val="center"/>
            <w:shd w:fill="F1F5F8"/>
          </w:tcPr>
          <w:p>
            <w:pPr>
              <w:spacing w:after="0"/>
            </w:pPr>
            <w:r/>
            <w:r>
              <w:rPr>
                <w:rFonts w:ascii="Aptos" w:hAnsi="Aptos"/>
                <w:b w:val="0"/>
                <w:sz w:val="18"/>
              </w:rPr>
              <w:t>On-time orders</w:t>
            </w:r>
          </w:p>
        </w:tc>
        <w:tc>
          <w:tcPr>
            <w:tcW w:type="dxa" w:w="1728"/>
            <w:vAlign w:val="center"/>
            <w:shd w:fill="F1F5F8"/>
          </w:tcPr>
          <w:p>
            <w:pPr>
              <w:spacing w:after="0"/>
            </w:pPr>
            <w:r/>
            <w:r>
              <w:rPr>
                <w:rFonts w:ascii="Aptos" w:hAnsi="Aptos"/>
                <w:b w:val="0"/>
                <w:sz w:val="18"/>
              </w:rPr>
              <w:t>88,649</w:t>
            </w:r>
          </w:p>
        </w:tc>
        <w:tc>
          <w:tcPr>
            <w:tcW w:type="dxa" w:w="6192"/>
            <w:vAlign w:val="center"/>
            <w:shd w:fill="F1F5F8"/>
          </w:tcPr>
          <w:p>
            <w:pPr>
              <w:spacing w:after="0"/>
            </w:pPr>
            <w:r/>
            <w:r>
              <w:rPr>
                <w:rFonts w:ascii="Aptos" w:hAnsi="Aptos"/>
                <w:b w:val="0"/>
                <w:sz w:val="18"/>
              </w:rPr>
              <w:t>Actual delivery date is on or before estimated date.</w:t>
            </w:r>
          </w:p>
        </w:tc>
      </w:tr>
      <w:tr>
        <w:tc>
          <w:tcPr>
            <w:tcW w:type="dxa" w:w="2448"/>
            <w:vAlign w:val="center"/>
          </w:tcPr>
          <w:p>
            <w:pPr>
              <w:spacing w:after="0"/>
            </w:pPr>
            <w:r/>
            <w:r>
              <w:rPr>
                <w:rFonts w:ascii="Aptos" w:hAnsi="Aptos"/>
                <w:b w:val="0"/>
                <w:sz w:val="18"/>
              </w:rPr>
              <w:t>On-time delivery rate</w:t>
            </w:r>
          </w:p>
        </w:tc>
        <w:tc>
          <w:tcPr>
            <w:tcW w:type="dxa" w:w="1728"/>
            <w:vAlign w:val="center"/>
          </w:tcPr>
          <w:p>
            <w:pPr>
              <w:spacing w:after="0"/>
            </w:pPr>
            <w:r/>
            <w:r>
              <w:rPr>
                <w:rFonts w:ascii="Aptos" w:hAnsi="Aptos"/>
                <w:b w:val="0"/>
                <w:sz w:val="18"/>
              </w:rPr>
              <w:t>89.15%</w:t>
            </w:r>
          </w:p>
        </w:tc>
        <w:tc>
          <w:tcPr>
            <w:tcW w:type="dxa" w:w="6192"/>
            <w:vAlign w:val="center"/>
          </w:tcPr>
          <w:p>
            <w:pPr>
              <w:spacing w:after="0"/>
            </w:pPr>
            <w:r/>
            <w:r>
              <w:rPr>
                <w:rFonts w:ascii="Aptos" w:hAnsi="Aptos"/>
                <w:b w:val="0"/>
                <w:sz w:val="18"/>
              </w:rPr>
              <w:t>On-time orders divided by all orders.</w:t>
            </w:r>
          </w:p>
        </w:tc>
      </w:tr>
      <w:tr>
        <w:tc>
          <w:tcPr>
            <w:tcW w:type="dxa" w:w="2448"/>
            <w:vAlign w:val="center"/>
            <w:shd w:fill="F1F5F8"/>
          </w:tcPr>
          <w:p>
            <w:pPr>
              <w:spacing w:after="0"/>
            </w:pPr>
            <w:r/>
            <w:r>
              <w:rPr>
                <w:rFonts w:ascii="Aptos" w:hAnsi="Aptos"/>
                <w:b w:val="0"/>
                <w:sz w:val="18"/>
              </w:rPr>
              <w:t>Late orders</w:t>
            </w:r>
          </w:p>
        </w:tc>
        <w:tc>
          <w:tcPr>
            <w:tcW w:type="dxa" w:w="1728"/>
            <w:vAlign w:val="center"/>
            <w:shd w:fill="F1F5F8"/>
          </w:tcPr>
          <w:p>
            <w:pPr>
              <w:spacing w:after="0"/>
            </w:pPr>
            <w:r/>
            <w:r>
              <w:rPr>
                <w:rFonts w:ascii="Aptos" w:hAnsi="Aptos"/>
                <w:b w:val="0"/>
                <w:sz w:val="18"/>
              </w:rPr>
              <w:t>7,827</w:t>
            </w:r>
          </w:p>
        </w:tc>
        <w:tc>
          <w:tcPr>
            <w:tcW w:type="dxa" w:w="6192"/>
            <w:vAlign w:val="center"/>
            <w:shd w:fill="F1F5F8"/>
          </w:tcPr>
          <w:p>
            <w:pPr>
              <w:spacing w:after="0"/>
            </w:pPr>
            <w:r/>
            <w:r>
              <w:rPr>
                <w:rFonts w:ascii="Aptos" w:hAnsi="Aptos"/>
                <w:b w:val="0"/>
                <w:sz w:val="18"/>
              </w:rPr>
              <w:t>Actual delivery date is after estimated date.</w:t>
            </w:r>
          </w:p>
        </w:tc>
      </w:tr>
      <w:tr>
        <w:tc>
          <w:tcPr>
            <w:tcW w:type="dxa" w:w="2448"/>
            <w:vAlign w:val="center"/>
          </w:tcPr>
          <w:p>
            <w:pPr>
              <w:spacing w:after="0"/>
            </w:pPr>
            <w:r/>
            <w:r>
              <w:rPr>
                <w:rFonts w:ascii="Aptos" w:hAnsi="Aptos"/>
                <w:b w:val="0"/>
                <w:sz w:val="18"/>
              </w:rPr>
              <w:t>Late delivery rate</w:t>
            </w:r>
          </w:p>
        </w:tc>
        <w:tc>
          <w:tcPr>
            <w:tcW w:type="dxa" w:w="1728"/>
            <w:vAlign w:val="center"/>
          </w:tcPr>
          <w:p>
            <w:pPr>
              <w:spacing w:after="0"/>
            </w:pPr>
            <w:r/>
            <w:r>
              <w:rPr>
                <w:rFonts w:ascii="Aptos" w:hAnsi="Aptos"/>
                <w:b w:val="0"/>
                <w:sz w:val="18"/>
              </w:rPr>
              <w:t>7.87%</w:t>
            </w:r>
          </w:p>
        </w:tc>
        <w:tc>
          <w:tcPr>
            <w:tcW w:type="dxa" w:w="6192"/>
            <w:vAlign w:val="center"/>
          </w:tcPr>
          <w:p>
            <w:pPr>
              <w:spacing w:after="0"/>
            </w:pPr>
            <w:r/>
            <w:r>
              <w:rPr>
                <w:rFonts w:ascii="Aptos" w:hAnsi="Aptos"/>
                <w:b w:val="0"/>
                <w:sz w:val="18"/>
              </w:rPr>
              <w:t>Late orders divided by all orders.</w:t>
            </w:r>
          </w:p>
        </w:tc>
      </w:tr>
    </w:tbl>
    <w:p/>
    <w:p>
      <w:r>
        <w:t>On-time and late counts exclude orders without a recorded customer-delivery date. The headline on-time and late rates use all 99,441 orders as the denominator, so the percentages do not add to 100%. The difference includes orders not classified as on-time or late, including records without delivery dates and orders that were not delivered.</w:t>
      </w:r>
    </w:p>
    <w:p>
      <w:pPr>
        <w:pStyle w:val="Heading2"/>
      </w:pPr>
      <w:r>
        <w:t>5.2 Order volume over time</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74A70"/>
          </w:tcPr>
          <w:p>
            <w:pPr>
              <w:spacing w:after="0"/>
            </w:pPr>
            <w:r/>
            <w:r>
              <w:rPr>
                <w:rFonts w:ascii="Aptos" w:hAnsi="Aptos"/>
                <w:b/>
                <w:color w:val="FFFFFF"/>
                <w:sz w:val="18"/>
              </w:rPr>
              <w:t>Period</w:t>
            </w:r>
          </w:p>
        </w:tc>
        <w:tc>
          <w:tcPr>
            <w:tcW w:type="dxa" w:w="6048"/>
            <w:vAlign w:val="center"/>
            <w:shd w:fill="174A70"/>
          </w:tcPr>
          <w:p>
            <w:pPr>
              <w:spacing w:after="0"/>
            </w:pPr>
            <w:r/>
            <w:r>
              <w:rPr>
                <w:rFonts w:ascii="Aptos" w:hAnsi="Aptos"/>
                <w:b/>
                <w:color w:val="FFFFFF"/>
                <w:sz w:val="18"/>
              </w:rPr>
              <w:t>Orders</w:t>
            </w:r>
          </w:p>
        </w:tc>
      </w:tr>
      <w:tr>
        <w:tc>
          <w:tcPr>
            <w:tcW w:type="dxa" w:w="4320"/>
            <w:vAlign w:val="center"/>
          </w:tcPr>
          <w:p>
            <w:pPr>
              <w:spacing w:after="0"/>
            </w:pPr>
            <w:r/>
            <w:r>
              <w:rPr>
                <w:rFonts w:ascii="Aptos" w:hAnsi="Aptos"/>
                <w:b w:val="0"/>
                <w:sz w:val="18"/>
              </w:rPr>
              <w:t>2016</w:t>
            </w:r>
          </w:p>
        </w:tc>
        <w:tc>
          <w:tcPr>
            <w:tcW w:type="dxa" w:w="6048"/>
            <w:vAlign w:val="center"/>
          </w:tcPr>
          <w:p>
            <w:pPr>
              <w:spacing w:after="0"/>
            </w:pPr>
            <w:r/>
            <w:r>
              <w:rPr>
                <w:rFonts w:ascii="Aptos" w:hAnsi="Aptos"/>
                <w:b w:val="0"/>
                <w:sz w:val="18"/>
              </w:rPr>
              <w:t>329</w:t>
            </w:r>
          </w:p>
        </w:tc>
      </w:tr>
      <w:tr>
        <w:tc>
          <w:tcPr>
            <w:tcW w:type="dxa" w:w="4320"/>
            <w:vAlign w:val="center"/>
            <w:shd w:fill="F1F5F8"/>
          </w:tcPr>
          <w:p>
            <w:pPr>
              <w:spacing w:after="0"/>
            </w:pPr>
            <w:r/>
            <w:r>
              <w:rPr>
                <w:rFonts w:ascii="Aptos" w:hAnsi="Aptos"/>
                <w:b w:val="0"/>
                <w:sz w:val="18"/>
              </w:rPr>
              <w:t>2017</w:t>
            </w:r>
          </w:p>
        </w:tc>
        <w:tc>
          <w:tcPr>
            <w:tcW w:type="dxa" w:w="6048"/>
            <w:vAlign w:val="center"/>
            <w:shd w:fill="F1F5F8"/>
          </w:tcPr>
          <w:p>
            <w:pPr>
              <w:spacing w:after="0"/>
            </w:pPr>
            <w:r/>
            <w:r>
              <w:rPr>
                <w:rFonts w:ascii="Aptos" w:hAnsi="Aptos"/>
                <w:b w:val="0"/>
                <w:sz w:val="18"/>
              </w:rPr>
              <w:t>45,101</w:t>
            </w:r>
          </w:p>
        </w:tc>
      </w:tr>
      <w:tr>
        <w:tc>
          <w:tcPr>
            <w:tcW w:type="dxa" w:w="4320"/>
            <w:vAlign w:val="center"/>
          </w:tcPr>
          <w:p>
            <w:pPr>
              <w:spacing w:after="0"/>
            </w:pPr>
            <w:r/>
            <w:r>
              <w:rPr>
                <w:rFonts w:ascii="Aptos" w:hAnsi="Aptos"/>
                <w:b w:val="0"/>
                <w:sz w:val="18"/>
              </w:rPr>
              <w:t>2018</w:t>
            </w:r>
          </w:p>
        </w:tc>
        <w:tc>
          <w:tcPr>
            <w:tcW w:type="dxa" w:w="6048"/>
            <w:vAlign w:val="center"/>
          </w:tcPr>
          <w:p>
            <w:pPr>
              <w:spacing w:after="0"/>
            </w:pPr>
            <w:r/>
            <w:r>
              <w:rPr>
                <w:rFonts w:ascii="Aptos" w:hAnsi="Aptos"/>
                <w:b w:val="0"/>
                <w:sz w:val="18"/>
              </w:rPr>
              <w:t>54,011</w:t>
            </w:r>
          </w:p>
        </w:tc>
      </w:tr>
      <w:tr>
        <w:tc>
          <w:tcPr>
            <w:tcW w:type="dxa" w:w="4320"/>
            <w:vAlign w:val="center"/>
            <w:shd w:fill="F1F5F8"/>
          </w:tcPr>
          <w:p>
            <w:pPr>
              <w:spacing w:after="0"/>
            </w:pPr>
            <w:r/>
            <w:r>
              <w:rPr>
                <w:rFonts w:ascii="Aptos" w:hAnsi="Aptos"/>
                <w:b w:val="0"/>
                <w:sz w:val="18"/>
              </w:rPr>
              <w:t>Highest month: November 2017</w:t>
            </w:r>
          </w:p>
        </w:tc>
        <w:tc>
          <w:tcPr>
            <w:tcW w:type="dxa" w:w="6048"/>
            <w:vAlign w:val="center"/>
            <w:shd w:fill="F1F5F8"/>
          </w:tcPr>
          <w:p>
            <w:pPr>
              <w:spacing w:after="0"/>
            </w:pPr>
            <w:r/>
            <w:r>
              <w:rPr>
                <w:rFonts w:ascii="Aptos" w:hAnsi="Aptos"/>
                <w:b w:val="0"/>
                <w:sz w:val="18"/>
              </w:rPr>
              <w:t>7,544</w:t>
            </w:r>
          </w:p>
        </w:tc>
      </w:tr>
    </w:tbl>
    <w:p/>
    <w:p>
      <w:r>
        <w:t>The monthly trend shows strong order volume across 2017 and 2018. The dataset ends partway through October 2018; September 2018 contains 16 orders and October 2018 contains 4. These small final-month counts should be interpreted as a partial-period limitation, not as proof of a sudden collapse in demand.</w:t>
      </w:r>
    </w:p>
    <w:p>
      <w:pPr>
        <w:pStyle w:val="Heading2"/>
      </w:pPr>
      <w:r>
        <w:t>5.3 Customer behaviour</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74A70"/>
          </w:tcPr>
          <w:p>
            <w:pPr>
              <w:spacing w:after="0"/>
            </w:pPr>
            <w:r/>
            <w:r>
              <w:rPr>
                <w:rFonts w:ascii="Aptos" w:hAnsi="Aptos"/>
                <w:b/>
                <w:color w:val="FFFFFF"/>
                <w:sz w:val="18"/>
              </w:rPr>
              <w:t>Metric</w:t>
            </w:r>
          </w:p>
        </w:tc>
        <w:tc>
          <w:tcPr>
            <w:tcW w:type="dxa" w:w="6048"/>
            <w:vAlign w:val="center"/>
            <w:shd w:fill="174A70"/>
          </w:tcPr>
          <w:p>
            <w:pPr>
              <w:spacing w:after="0"/>
            </w:pPr>
            <w:r/>
            <w:r>
              <w:rPr>
                <w:rFonts w:ascii="Aptos" w:hAnsi="Aptos"/>
                <w:b/>
                <w:color w:val="FFFFFF"/>
                <w:sz w:val="18"/>
              </w:rPr>
              <w:t>Result</w:t>
            </w:r>
          </w:p>
        </w:tc>
      </w:tr>
      <w:tr>
        <w:tc>
          <w:tcPr>
            <w:tcW w:type="dxa" w:w="4320"/>
            <w:vAlign w:val="center"/>
          </w:tcPr>
          <w:p>
            <w:pPr>
              <w:spacing w:after="0"/>
            </w:pPr>
            <w:r/>
            <w:r>
              <w:rPr>
                <w:rFonts w:ascii="Aptos" w:hAnsi="Aptos"/>
                <w:b w:val="0"/>
                <w:sz w:val="18"/>
              </w:rPr>
              <w:t>Unique customers</w:t>
            </w:r>
          </w:p>
        </w:tc>
        <w:tc>
          <w:tcPr>
            <w:tcW w:type="dxa" w:w="6048"/>
            <w:vAlign w:val="center"/>
          </w:tcPr>
          <w:p>
            <w:pPr>
              <w:spacing w:after="0"/>
            </w:pPr>
            <w:r/>
            <w:r>
              <w:rPr>
                <w:rFonts w:ascii="Aptos" w:hAnsi="Aptos"/>
                <w:b w:val="0"/>
                <w:sz w:val="18"/>
              </w:rPr>
              <w:t>96,096</w:t>
            </w:r>
          </w:p>
        </w:tc>
      </w:tr>
      <w:tr>
        <w:tc>
          <w:tcPr>
            <w:tcW w:type="dxa" w:w="4320"/>
            <w:vAlign w:val="center"/>
            <w:shd w:fill="F1F5F8"/>
          </w:tcPr>
          <w:p>
            <w:pPr>
              <w:spacing w:after="0"/>
            </w:pPr>
            <w:r/>
            <w:r>
              <w:rPr>
                <w:rFonts w:ascii="Aptos" w:hAnsi="Aptos"/>
                <w:b w:val="0"/>
                <w:sz w:val="18"/>
              </w:rPr>
              <w:t>Repeat customers</w:t>
            </w:r>
          </w:p>
        </w:tc>
        <w:tc>
          <w:tcPr>
            <w:tcW w:type="dxa" w:w="6048"/>
            <w:vAlign w:val="center"/>
            <w:shd w:fill="F1F5F8"/>
          </w:tcPr>
          <w:p>
            <w:pPr>
              <w:spacing w:after="0"/>
            </w:pPr>
            <w:r/>
            <w:r>
              <w:rPr>
                <w:rFonts w:ascii="Aptos" w:hAnsi="Aptos"/>
                <w:b w:val="0"/>
                <w:sz w:val="18"/>
              </w:rPr>
              <w:t>2,997</w:t>
            </w:r>
          </w:p>
        </w:tc>
      </w:tr>
      <w:tr>
        <w:tc>
          <w:tcPr>
            <w:tcW w:type="dxa" w:w="4320"/>
            <w:vAlign w:val="center"/>
          </w:tcPr>
          <w:p>
            <w:pPr>
              <w:spacing w:after="0"/>
            </w:pPr>
            <w:r/>
            <w:r>
              <w:rPr>
                <w:rFonts w:ascii="Aptos" w:hAnsi="Aptos"/>
                <w:b w:val="0"/>
                <w:sz w:val="18"/>
              </w:rPr>
              <w:t>One-time customers</w:t>
            </w:r>
          </w:p>
        </w:tc>
        <w:tc>
          <w:tcPr>
            <w:tcW w:type="dxa" w:w="6048"/>
            <w:vAlign w:val="center"/>
          </w:tcPr>
          <w:p>
            <w:pPr>
              <w:spacing w:after="0"/>
            </w:pPr>
            <w:r/>
            <w:r>
              <w:rPr>
                <w:rFonts w:ascii="Aptos" w:hAnsi="Aptos"/>
                <w:b w:val="0"/>
                <w:sz w:val="18"/>
              </w:rPr>
              <w:t>93,099</w:t>
            </w:r>
          </w:p>
        </w:tc>
      </w:tr>
      <w:tr>
        <w:tc>
          <w:tcPr>
            <w:tcW w:type="dxa" w:w="4320"/>
            <w:vAlign w:val="center"/>
            <w:shd w:fill="F1F5F8"/>
          </w:tcPr>
          <w:p>
            <w:pPr>
              <w:spacing w:after="0"/>
            </w:pPr>
            <w:r/>
            <w:r>
              <w:rPr>
                <w:rFonts w:ascii="Aptos" w:hAnsi="Aptos"/>
                <w:b w:val="0"/>
                <w:sz w:val="18"/>
              </w:rPr>
              <w:t>Repeat-customer rate</w:t>
            </w:r>
          </w:p>
        </w:tc>
        <w:tc>
          <w:tcPr>
            <w:tcW w:type="dxa" w:w="6048"/>
            <w:vAlign w:val="center"/>
            <w:shd w:fill="F1F5F8"/>
          </w:tcPr>
          <w:p>
            <w:pPr>
              <w:spacing w:after="0"/>
            </w:pPr>
            <w:r/>
            <w:r>
              <w:rPr>
                <w:rFonts w:ascii="Aptos" w:hAnsi="Aptos"/>
                <w:b w:val="0"/>
                <w:sz w:val="18"/>
              </w:rPr>
              <w:t>3.12%</w:t>
            </w:r>
          </w:p>
        </w:tc>
      </w:tr>
      <w:tr>
        <w:tc>
          <w:tcPr>
            <w:tcW w:type="dxa" w:w="4320"/>
            <w:vAlign w:val="center"/>
          </w:tcPr>
          <w:p>
            <w:pPr>
              <w:spacing w:after="0"/>
            </w:pPr>
            <w:r/>
            <w:r>
              <w:rPr>
                <w:rFonts w:ascii="Aptos" w:hAnsi="Aptos"/>
                <w:b w:val="0"/>
                <w:sz w:val="18"/>
              </w:rPr>
              <w:t>One-time-customer rate</w:t>
            </w:r>
          </w:p>
        </w:tc>
        <w:tc>
          <w:tcPr>
            <w:tcW w:type="dxa" w:w="6048"/>
            <w:vAlign w:val="center"/>
          </w:tcPr>
          <w:p>
            <w:pPr>
              <w:spacing w:after="0"/>
            </w:pPr>
            <w:r/>
            <w:r>
              <w:rPr>
                <w:rFonts w:ascii="Aptos" w:hAnsi="Aptos"/>
                <w:b w:val="0"/>
                <w:sz w:val="18"/>
              </w:rPr>
              <w:t>96.88%</w:t>
            </w:r>
          </w:p>
        </w:tc>
      </w:tr>
    </w:tbl>
    <w:p/>
    <w:p>
      <w:r>
        <w:t>Repeat purchasing was defined by customers associated with more than one order. This is a useful first view of customer behaviour, but it does not explain why customers did or did not return.</w:t>
      </w:r>
    </w:p>
    <w:p>
      <w:pPr>
        <w:pStyle w:val="Heading2"/>
      </w:pPr>
      <w:r>
        <w:t>5.4 Geographic and delivery insights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74A70"/>
          </w:tcPr>
          <w:p>
            <w:pPr>
              <w:spacing w:after="0"/>
            </w:pPr>
            <w:r/>
            <w:r>
              <w:rPr>
                <w:rFonts w:ascii="Aptos" w:hAnsi="Aptos"/>
                <w:b/>
                <w:color w:val="FFFFFF"/>
                <w:sz w:val="18"/>
              </w:rPr>
              <w:t>Finding</w:t>
            </w:r>
          </w:p>
        </w:tc>
        <w:tc>
          <w:tcPr>
            <w:tcW w:type="dxa" w:w="2880"/>
            <w:vAlign w:val="center"/>
            <w:shd w:fill="174A70"/>
          </w:tcPr>
          <w:p>
            <w:pPr>
              <w:spacing w:after="0"/>
            </w:pPr>
            <w:r/>
            <w:r>
              <w:rPr>
                <w:rFonts w:ascii="Aptos" w:hAnsi="Aptos"/>
                <w:b/>
                <w:color w:val="FFFFFF"/>
                <w:sz w:val="18"/>
              </w:rPr>
              <w:t>Result</w:t>
            </w:r>
          </w:p>
        </w:tc>
        <w:tc>
          <w:tcPr>
            <w:tcW w:type="dxa" w:w="4896"/>
            <w:vAlign w:val="center"/>
            <w:shd w:fill="174A70"/>
          </w:tcPr>
          <w:p>
            <w:pPr>
              <w:spacing w:after="0"/>
            </w:pPr>
            <w:r/>
            <w:r>
              <w:rPr>
                <w:rFonts w:ascii="Aptos" w:hAnsi="Aptos"/>
                <w:b/>
                <w:color w:val="FFFFFF"/>
                <w:sz w:val="18"/>
              </w:rPr>
              <w:t>Interpretation</w:t>
            </w:r>
          </w:p>
        </w:tc>
      </w:tr>
      <w:tr>
        <w:tc>
          <w:tcPr>
            <w:tcW w:type="dxa" w:w="2592"/>
            <w:vAlign w:val="center"/>
          </w:tcPr>
          <w:p>
            <w:pPr>
              <w:spacing w:after="0"/>
            </w:pPr>
            <w:r/>
            <w:r>
              <w:rPr>
                <w:rFonts w:ascii="Aptos" w:hAnsi="Aptos"/>
                <w:b w:val="0"/>
                <w:sz w:val="18"/>
              </w:rPr>
              <w:t>Highest order volume by state</w:t>
            </w:r>
          </w:p>
        </w:tc>
        <w:tc>
          <w:tcPr>
            <w:tcW w:type="dxa" w:w="2880"/>
            <w:vAlign w:val="center"/>
          </w:tcPr>
          <w:p>
            <w:pPr>
              <w:spacing w:after="0"/>
            </w:pPr>
            <w:r/>
            <w:r>
              <w:rPr>
                <w:rFonts w:ascii="Aptos" w:hAnsi="Aptos"/>
                <w:b w:val="0"/>
                <w:sz w:val="18"/>
              </w:rPr>
              <w:t>São Paulo (SP): 41,746</w:t>
            </w:r>
          </w:p>
        </w:tc>
        <w:tc>
          <w:tcPr>
            <w:tcW w:type="dxa" w:w="4896"/>
            <w:vAlign w:val="center"/>
          </w:tcPr>
          <w:p>
            <w:pPr>
              <w:spacing w:after="0"/>
            </w:pPr>
            <w:r/>
            <w:r>
              <w:rPr>
                <w:rFonts w:ascii="Aptos" w:hAnsi="Aptos"/>
                <w:b w:val="0"/>
                <w:sz w:val="18"/>
              </w:rPr>
              <w:t>SP contributes the largest order volume.</w:t>
            </w:r>
          </w:p>
        </w:tc>
      </w:tr>
      <w:tr>
        <w:tc>
          <w:tcPr>
            <w:tcW w:type="dxa" w:w="2592"/>
            <w:vAlign w:val="center"/>
            <w:shd w:fill="F1F5F8"/>
          </w:tcPr>
          <w:p>
            <w:pPr>
              <w:spacing w:after="0"/>
            </w:pPr>
            <w:r/>
            <w:r>
              <w:rPr>
                <w:rFonts w:ascii="Aptos" w:hAnsi="Aptos"/>
                <w:b w:val="0"/>
                <w:sz w:val="18"/>
              </w:rPr>
              <w:t>Second-highest order volume</w:t>
            </w:r>
          </w:p>
        </w:tc>
        <w:tc>
          <w:tcPr>
            <w:tcW w:type="dxa" w:w="2880"/>
            <w:vAlign w:val="center"/>
            <w:shd w:fill="F1F5F8"/>
          </w:tcPr>
          <w:p>
            <w:pPr>
              <w:spacing w:after="0"/>
            </w:pPr>
            <w:r/>
            <w:r>
              <w:rPr>
                <w:rFonts w:ascii="Aptos" w:hAnsi="Aptos"/>
                <w:b w:val="0"/>
                <w:sz w:val="18"/>
              </w:rPr>
              <w:t>Rio de Janeiro (RJ): 12,852</w:t>
            </w:r>
          </w:p>
        </w:tc>
        <w:tc>
          <w:tcPr>
            <w:tcW w:type="dxa" w:w="4896"/>
            <w:vAlign w:val="center"/>
            <w:shd w:fill="F1F5F8"/>
          </w:tcPr>
          <w:p>
            <w:pPr>
              <w:spacing w:after="0"/>
            </w:pPr>
            <w:r/>
            <w:r>
              <w:rPr>
                <w:rFonts w:ascii="Aptos" w:hAnsi="Aptos"/>
                <w:b w:val="0"/>
                <w:sz w:val="18"/>
              </w:rPr>
              <w:t>RJ is the next-largest state by order volume.</w:t>
            </w:r>
          </w:p>
        </w:tc>
      </w:tr>
      <w:tr>
        <w:tc>
          <w:tcPr>
            <w:tcW w:type="dxa" w:w="2592"/>
            <w:vAlign w:val="center"/>
          </w:tcPr>
          <w:p>
            <w:pPr>
              <w:spacing w:after="0"/>
            </w:pPr>
            <w:r/>
            <w:r>
              <w:rPr>
                <w:rFonts w:ascii="Aptos" w:hAnsi="Aptos"/>
                <w:b w:val="0"/>
                <w:sz w:val="18"/>
              </w:rPr>
              <w:t>Largest count of late orders</w:t>
            </w:r>
          </w:p>
        </w:tc>
        <w:tc>
          <w:tcPr>
            <w:tcW w:type="dxa" w:w="2880"/>
            <w:vAlign w:val="center"/>
          </w:tcPr>
          <w:p>
            <w:pPr>
              <w:spacing w:after="0"/>
            </w:pPr>
            <w:r/>
            <w:r>
              <w:rPr>
                <w:rFonts w:ascii="Aptos" w:hAnsi="Aptos"/>
                <w:b w:val="0"/>
                <w:sz w:val="18"/>
              </w:rPr>
              <w:t>SP: 2,387</w:t>
            </w:r>
          </w:p>
        </w:tc>
        <w:tc>
          <w:tcPr>
            <w:tcW w:type="dxa" w:w="4896"/>
            <w:vAlign w:val="center"/>
          </w:tcPr>
          <w:p>
            <w:pPr>
              <w:spacing w:after="0"/>
            </w:pPr>
            <w:r/>
            <w:r>
              <w:rPr>
                <w:rFonts w:ascii="Aptos" w:hAnsi="Aptos"/>
                <w:b w:val="0"/>
                <w:sz w:val="18"/>
              </w:rPr>
              <w:t>High order volume can lead to a high late-order count.</w:t>
            </w:r>
          </w:p>
        </w:tc>
      </w:tr>
      <w:tr>
        <w:tc>
          <w:tcPr>
            <w:tcW w:type="dxa" w:w="2592"/>
            <w:vAlign w:val="center"/>
            <w:shd w:fill="F1F5F8"/>
          </w:tcPr>
          <w:p>
            <w:pPr>
              <w:spacing w:after="0"/>
            </w:pPr>
            <w:r/>
            <w:r>
              <w:rPr>
                <w:rFonts w:ascii="Aptos" w:hAnsi="Aptos"/>
                <w:b w:val="0"/>
                <w:sz w:val="18"/>
              </w:rPr>
              <w:t>Highest late-delivery rate</w:t>
            </w:r>
          </w:p>
        </w:tc>
        <w:tc>
          <w:tcPr>
            <w:tcW w:type="dxa" w:w="2880"/>
            <w:vAlign w:val="center"/>
            <w:shd w:fill="F1F5F8"/>
          </w:tcPr>
          <w:p>
            <w:pPr>
              <w:spacing w:after="0"/>
            </w:pPr>
            <w:r/>
            <w:r>
              <w:rPr>
                <w:rFonts w:ascii="Aptos" w:hAnsi="Aptos"/>
                <w:b w:val="0"/>
                <w:sz w:val="18"/>
              </w:rPr>
              <w:t>Alagoas (AL): about 23.93%</w:t>
            </w:r>
          </w:p>
        </w:tc>
        <w:tc>
          <w:tcPr>
            <w:tcW w:type="dxa" w:w="4896"/>
            <w:vAlign w:val="center"/>
            <w:shd w:fill="F1F5F8"/>
          </w:tcPr>
          <w:p>
            <w:pPr>
              <w:spacing w:after="0"/>
            </w:pPr>
            <w:r/>
            <w:r>
              <w:rPr>
                <w:rFonts w:ascii="Aptos" w:hAnsi="Aptos"/>
                <w:b w:val="0"/>
                <w:sz w:val="18"/>
              </w:rPr>
              <w:t>AL has the highest observed rate in this analysis.</w:t>
            </w:r>
          </w:p>
        </w:tc>
      </w:tr>
      <w:tr>
        <w:tc>
          <w:tcPr>
            <w:tcW w:type="dxa" w:w="2592"/>
            <w:vAlign w:val="center"/>
          </w:tcPr>
          <w:p>
            <w:pPr>
              <w:spacing w:after="0"/>
            </w:pPr>
            <w:r/>
            <w:r>
              <w:rPr>
                <w:rFonts w:ascii="Aptos" w:hAnsi="Aptos"/>
                <w:b w:val="0"/>
                <w:sz w:val="18"/>
              </w:rPr>
              <w:t>São Paulo late-delivery rate</w:t>
            </w:r>
          </w:p>
        </w:tc>
        <w:tc>
          <w:tcPr>
            <w:tcW w:type="dxa" w:w="2880"/>
            <w:vAlign w:val="center"/>
          </w:tcPr>
          <w:p>
            <w:pPr>
              <w:spacing w:after="0"/>
            </w:pPr>
            <w:r/>
            <w:r>
              <w:rPr>
                <w:rFonts w:ascii="Aptos" w:hAnsi="Aptos"/>
                <w:b w:val="0"/>
                <w:sz w:val="18"/>
              </w:rPr>
              <w:t>About 5.89%</w:t>
            </w:r>
          </w:p>
        </w:tc>
        <w:tc>
          <w:tcPr>
            <w:tcW w:type="dxa" w:w="4896"/>
            <w:vAlign w:val="center"/>
          </w:tcPr>
          <w:p>
            <w:pPr>
              <w:spacing w:after="0"/>
            </w:pPr>
            <w:r/>
            <w:r>
              <w:rPr>
                <w:rFonts w:ascii="Aptos" w:hAnsi="Aptos"/>
                <w:b w:val="0"/>
                <w:sz w:val="18"/>
              </w:rPr>
              <w:t>SP has the most late orders by count, but a lower rate than AL.</w:t>
            </w:r>
          </w:p>
        </w:tc>
      </w:tr>
    </w:tbl>
    <w:p/>
    <w:p>
      <w:r>
        <w:t>The state-level late-delivery rate uses delivered orders with recorded customer-delivery dates as its denominator. It therefore differs from the overall late-delivery KPI, which divides late orders by all orders. These are descriptive patterns; they do not establish the causes of delays.</w:t>
      </w:r>
    </w:p>
    <w:p>
      <w:pPr>
        <w:pStyle w:val="Heading2"/>
      </w:pPr>
      <w:r>
        <w:t>5.5 Revenue-related calculation</w:t>
      </w:r>
    </w:p>
    <w:p>
      <w:r>
        <w:t>Item-price revenue was R$13,591,643.70, freight was R$2,251,909.54 and the combined total was R$15,843,553.24. These figures represent item-price and freight amounts in the dataset and should not be described as profit.</w:t>
      </w:r>
    </w:p>
    <w:p>
      <w:pPr>
        <w:pStyle w:val="Heading1"/>
      </w:pPr>
      <w:r>
        <w:t>6. Work Completed in Each Tool</w:t>
      </w:r>
    </w:p>
    <w:p>
      <w:pPr>
        <w:pStyle w:val="Heading2"/>
      </w:pPr>
      <w:r>
        <w:t>Microsoft Excel</w:t>
      </w:r>
    </w:p>
    <w:p>
      <w:pPr>
        <w:pStyle w:val="ListBullet"/>
        <w:spacing w:after="40"/>
      </w:pPr>
      <w:r>
        <w:t>Inspected the dataset structure and checked order identifiers.</w:t>
      </w:r>
    </w:p>
    <w:p>
      <w:pPr>
        <w:pStyle w:val="ListBullet"/>
        <w:spacing w:after="40"/>
      </w:pPr>
      <w:r>
        <w:t>Counted missing approval, carrier and customer-delivery dates.</w:t>
      </w:r>
    </w:p>
    <w:p>
      <w:pPr>
        <w:pStyle w:val="ListBullet"/>
        <w:spacing w:after="40"/>
      </w:pPr>
      <w:r>
        <w:t>Reviewed order-status distributions and investigated missing dates by status.</w:t>
      </w:r>
    </w:p>
    <w:p>
      <w:pPr>
        <w:pStyle w:val="ListBullet"/>
        <w:spacing w:after="40"/>
      </w:pPr>
      <w:r>
        <w:t>Analysed annual and monthly order volumes and identified the highest-volume month.</w:t>
      </w:r>
    </w:p>
    <w:p>
      <w:pPr>
        <w:pStyle w:val="ListBullet"/>
        <w:spacing w:after="40"/>
      </w:pPr>
      <w:r>
        <w:t>Compared on-time and late delivery outcomes and examined state-level results.</w:t>
      </w:r>
    </w:p>
    <w:p>
      <w:pPr>
        <w:pStyle w:val="ListBullet"/>
        <w:spacing w:after="40"/>
      </w:pPr>
      <w:r>
        <w:t>Analysed repeat versus one-time customers and summarised item-price and freight amounts.</w:t>
      </w:r>
    </w:p>
    <w:p>
      <w:pPr>
        <w:pStyle w:val="ListBullet"/>
        <w:spacing w:after="40"/>
      </w:pPr>
      <w:r>
        <w:t>Created an Excel dashboard sheet with key indicators and visuals.</w:t>
      </w:r>
    </w:p>
    <w:p>
      <w:pPr>
        <w:pStyle w:val="Heading2"/>
      </w:pPr>
      <w:r>
        <w:t>MySQL Workbench</w:t>
      </w:r>
    </w:p>
    <w:p>
      <w:pPr>
        <w:pStyle w:val="ListBullet"/>
        <w:spacing w:after="40"/>
      </w:pPr>
      <w:r>
        <w:t>Created and used the olist_project database with orders and customers tables.</w:t>
      </w:r>
    </w:p>
    <w:p>
      <w:pPr>
        <w:pStyle w:val="ListBullet"/>
        <w:spacing w:after="40"/>
      </w:pPr>
      <w:r>
        <w:t>Validated row counts and unique order IDs.</w:t>
      </w:r>
    </w:p>
    <w:p>
      <w:pPr>
        <w:pStyle w:val="ListBullet"/>
        <w:spacing w:after="40"/>
      </w:pPr>
      <w:r>
        <w:t>Used COUNT, COUNT(DISTINCT), WHERE, GROUP BY, ORDER BY and conditional calculations.</w:t>
      </w:r>
    </w:p>
    <w:p>
      <w:pPr>
        <w:pStyle w:val="ListBullet"/>
        <w:spacing w:after="40"/>
      </w:pPr>
      <w:r>
        <w:t>Extracted year and month information to analyse order trends.</w:t>
      </w:r>
    </w:p>
    <w:p>
      <w:pPr>
        <w:pStyle w:val="ListBullet"/>
        <w:spacing w:after="40"/>
      </w:pPr>
      <w:r>
        <w:t>Compared actual and estimated delivery dates to classify on-time and late orders.</w:t>
      </w:r>
    </w:p>
    <w:p>
      <w:pPr>
        <w:pStyle w:val="ListBullet"/>
        <w:spacing w:after="40"/>
      </w:pPr>
      <w:r>
        <w:t>Joined order and customer data for state-level and customer-level analysis.</w:t>
      </w:r>
    </w:p>
    <w:p>
      <w:pPr>
        <w:pStyle w:val="ListBullet"/>
        <w:spacing w:after="40"/>
      </w:pPr>
      <w:r>
        <w:t>Calculated repeat-customer counts, delivery rate, cancellation rate and state-level late-delivery rates.</w:t>
      </w:r>
    </w:p>
    <w:p>
      <w:pPr>
        <w:pStyle w:val="Heading2"/>
      </w:pPr>
      <w:r>
        <w:t>Power BI Desktop</w:t>
      </w:r>
    </w:p>
    <w:p>
      <w:pPr>
        <w:pStyle w:val="ListBullet"/>
        <w:spacing w:after="40"/>
      </w:pPr>
      <w:r>
        <w:t>Imported the original orders and customers CSV datasets.</w:t>
      </w:r>
    </w:p>
    <w:p>
      <w:pPr>
        <w:pStyle w:val="ListBullet"/>
        <w:spacing w:after="40"/>
      </w:pPr>
      <w:r>
        <w:t>Checked the customer relationship in the data model.</w:t>
      </w:r>
    </w:p>
    <w:p>
      <w:pPr>
        <w:pStyle w:val="ListBullet"/>
        <w:spacing w:after="40"/>
      </w:pPr>
      <w:r>
        <w:t>Created DAX measures for order counts, delivery rate, cancellation rate, on-time orders, late orders and related rates.</w:t>
      </w:r>
    </w:p>
    <w:p>
      <w:pPr>
        <w:pStyle w:val="ListBullet"/>
        <w:spacing w:after="40"/>
      </w:pPr>
      <w:r>
        <w:t>Built eight KPI cards and visuals for order status, monthly trends, state order volume and delivery performance.</w:t>
      </w:r>
    </w:p>
    <w:p>
      <w:pPr>
        <w:pStyle w:val="ListBullet"/>
        <w:spacing w:after="40"/>
      </w:pPr>
      <w:r>
        <w:t>Retained the customer-state late-delivery rate table.</w:t>
      </w:r>
    </w:p>
    <w:p>
      <w:pPr>
        <w:pStyle w:val="ListBullet"/>
        <w:spacing w:after="40"/>
      </w:pPr>
      <w:r>
        <w:t>Validated KPI values, chart rankings and labels, dashboard readability and layout.</w:t>
      </w:r>
    </w:p>
    <w:p>
      <w:pPr>
        <w:pStyle w:val="ListBullet"/>
        <w:spacing w:after="40"/>
      </w:pPr>
      <w:r>
        <w:t>Saved the report as Project_1_Ecommerce_Analytics.pbix.</w:t>
      </w:r>
    </w:p>
    <w:p>
      <w:pPr>
        <w:pStyle w:val="Heading1"/>
      </w:pPr>
      <w:r>
        <w:t>7. Final Power BI Dashboard Inventory</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174A70"/>
          </w:tcPr>
          <w:p>
            <w:pPr>
              <w:spacing w:after="0"/>
            </w:pPr>
            <w:r/>
            <w:r>
              <w:rPr>
                <w:rFonts w:ascii="Aptos" w:hAnsi="Aptos"/>
                <w:b/>
                <w:color w:val="FFFFFF"/>
                <w:sz w:val="18"/>
              </w:rPr>
              <w:t>Component</w:t>
            </w:r>
          </w:p>
        </w:tc>
        <w:tc>
          <w:tcPr>
            <w:tcW w:type="dxa" w:w="6768"/>
            <w:vAlign w:val="center"/>
            <w:shd w:fill="174A70"/>
          </w:tcPr>
          <w:p>
            <w:pPr>
              <w:spacing w:after="0"/>
            </w:pPr>
            <w:r/>
            <w:r>
              <w:rPr>
                <w:rFonts w:ascii="Aptos" w:hAnsi="Aptos"/>
                <w:b/>
                <w:color w:val="FFFFFF"/>
                <w:sz w:val="18"/>
              </w:rPr>
              <w:t>Purpose</w:t>
            </w:r>
          </w:p>
        </w:tc>
      </w:tr>
      <w:tr>
        <w:tc>
          <w:tcPr>
            <w:tcW w:type="dxa" w:w="3600"/>
            <w:vAlign w:val="center"/>
          </w:tcPr>
          <w:p>
            <w:pPr>
              <w:spacing w:after="0"/>
            </w:pPr>
            <w:r/>
            <w:r>
              <w:rPr>
                <w:rFonts w:ascii="Aptos" w:hAnsi="Aptos"/>
                <w:b w:val="0"/>
                <w:sz w:val="18"/>
              </w:rPr>
              <w:t>Total Orders card</w:t>
            </w:r>
          </w:p>
        </w:tc>
        <w:tc>
          <w:tcPr>
            <w:tcW w:type="dxa" w:w="6768"/>
            <w:vAlign w:val="center"/>
          </w:tcPr>
          <w:p>
            <w:pPr>
              <w:spacing w:after="0"/>
            </w:pPr>
            <w:r/>
            <w:r>
              <w:rPr>
                <w:rFonts w:ascii="Aptos" w:hAnsi="Aptos"/>
                <w:b w:val="0"/>
                <w:sz w:val="18"/>
              </w:rPr>
              <w:t>Shows total orders.</w:t>
            </w:r>
          </w:p>
        </w:tc>
      </w:tr>
      <w:tr>
        <w:tc>
          <w:tcPr>
            <w:tcW w:type="dxa" w:w="3600"/>
            <w:vAlign w:val="center"/>
            <w:shd w:fill="F1F5F8"/>
          </w:tcPr>
          <w:p>
            <w:pPr>
              <w:spacing w:after="0"/>
            </w:pPr>
            <w:r/>
            <w:r>
              <w:rPr>
                <w:rFonts w:ascii="Aptos" w:hAnsi="Aptos"/>
                <w:b w:val="0"/>
                <w:sz w:val="18"/>
              </w:rPr>
              <w:t>Delivered Orders card</w:t>
            </w:r>
          </w:p>
        </w:tc>
        <w:tc>
          <w:tcPr>
            <w:tcW w:type="dxa" w:w="6768"/>
            <w:vAlign w:val="center"/>
            <w:shd w:fill="F1F5F8"/>
          </w:tcPr>
          <w:p>
            <w:pPr>
              <w:spacing w:after="0"/>
            </w:pPr>
            <w:r/>
            <w:r>
              <w:rPr>
                <w:rFonts w:ascii="Aptos" w:hAnsi="Aptos"/>
                <w:b w:val="0"/>
                <w:sz w:val="18"/>
              </w:rPr>
              <w:t>Shows orders with delivered status.</w:t>
            </w:r>
          </w:p>
        </w:tc>
      </w:tr>
      <w:tr>
        <w:tc>
          <w:tcPr>
            <w:tcW w:type="dxa" w:w="3600"/>
            <w:vAlign w:val="center"/>
          </w:tcPr>
          <w:p>
            <w:pPr>
              <w:spacing w:after="0"/>
            </w:pPr>
            <w:r/>
            <w:r>
              <w:rPr>
                <w:rFonts w:ascii="Aptos" w:hAnsi="Aptos"/>
                <w:b w:val="0"/>
                <w:sz w:val="18"/>
              </w:rPr>
              <w:t>Delivery Rate card</w:t>
            </w:r>
          </w:p>
        </w:tc>
        <w:tc>
          <w:tcPr>
            <w:tcW w:type="dxa" w:w="6768"/>
            <w:vAlign w:val="center"/>
          </w:tcPr>
          <w:p>
            <w:pPr>
              <w:spacing w:after="0"/>
            </w:pPr>
            <w:r/>
            <w:r>
              <w:rPr>
                <w:rFonts w:ascii="Aptos" w:hAnsi="Aptos"/>
                <w:b w:val="0"/>
                <w:sz w:val="18"/>
              </w:rPr>
              <w:t>Shows delivered orders as a share of all orders.</w:t>
            </w:r>
          </w:p>
        </w:tc>
      </w:tr>
      <w:tr>
        <w:tc>
          <w:tcPr>
            <w:tcW w:type="dxa" w:w="3600"/>
            <w:vAlign w:val="center"/>
            <w:shd w:fill="F1F5F8"/>
          </w:tcPr>
          <w:p>
            <w:pPr>
              <w:spacing w:after="0"/>
            </w:pPr>
            <w:r/>
            <w:r>
              <w:rPr>
                <w:rFonts w:ascii="Aptos" w:hAnsi="Aptos"/>
                <w:b w:val="0"/>
                <w:sz w:val="18"/>
              </w:rPr>
              <w:t>Cancellation Rate card</w:t>
            </w:r>
          </w:p>
        </w:tc>
        <w:tc>
          <w:tcPr>
            <w:tcW w:type="dxa" w:w="6768"/>
            <w:vAlign w:val="center"/>
            <w:shd w:fill="F1F5F8"/>
          </w:tcPr>
          <w:p>
            <w:pPr>
              <w:spacing w:after="0"/>
            </w:pPr>
            <w:r/>
            <w:r>
              <w:rPr>
                <w:rFonts w:ascii="Aptos" w:hAnsi="Aptos"/>
                <w:b w:val="0"/>
                <w:sz w:val="18"/>
              </w:rPr>
              <w:t>Shows canceled orders as a share of all orders.</w:t>
            </w:r>
          </w:p>
        </w:tc>
      </w:tr>
      <w:tr>
        <w:tc>
          <w:tcPr>
            <w:tcW w:type="dxa" w:w="3600"/>
            <w:vAlign w:val="center"/>
          </w:tcPr>
          <w:p>
            <w:pPr>
              <w:spacing w:after="0"/>
            </w:pPr>
            <w:r/>
            <w:r>
              <w:rPr>
                <w:rFonts w:ascii="Aptos" w:hAnsi="Aptos"/>
                <w:b w:val="0"/>
                <w:sz w:val="18"/>
              </w:rPr>
              <w:t>On-Time Orders card</w:t>
            </w:r>
          </w:p>
        </w:tc>
        <w:tc>
          <w:tcPr>
            <w:tcW w:type="dxa" w:w="6768"/>
            <w:vAlign w:val="center"/>
          </w:tcPr>
          <w:p>
            <w:pPr>
              <w:spacing w:after="0"/>
            </w:pPr>
            <w:r/>
            <w:r>
              <w:rPr>
                <w:rFonts w:ascii="Aptos" w:hAnsi="Aptos"/>
                <w:b w:val="0"/>
                <w:sz w:val="18"/>
              </w:rPr>
              <w:t>Shows orders delivered on or before the estimated date.</w:t>
            </w:r>
          </w:p>
        </w:tc>
      </w:tr>
      <w:tr>
        <w:tc>
          <w:tcPr>
            <w:tcW w:type="dxa" w:w="3600"/>
            <w:vAlign w:val="center"/>
            <w:shd w:fill="F1F5F8"/>
          </w:tcPr>
          <w:p>
            <w:pPr>
              <w:spacing w:after="0"/>
            </w:pPr>
            <w:r/>
            <w:r>
              <w:rPr>
                <w:rFonts w:ascii="Aptos" w:hAnsi="Aptos"/>
                <w:b w:val="0"/>
                <w:sz w:val="18"/>
              </w:rPr>
              <w:t>On-Time Delivery Rate card</w:t>
            </w:r>
          </w:p>
        </w:tc>
        <w:tc>
          <w:tcPr>
            <w:tcW w:type="dxa" w:w="6768"/>
            <w:vAlign w:val="center"/>
            <w:shd w:fill="F1F5F8"/>
          </w:tcPr>
          <w:p>
            <w:pPr>
              <w:spacing w:after="0"/>
            </w:pPr>
            <w:r/>
            <w:r>
              <w:rPr>
                <w:rFonts w:ascii="Aptos" w:hAnsi="Aptos"/>
                <w:b w:val="0"/>
                <w:sz w:val="18"/>
              </w:rPr>
              <w:t>Shows on-time orders as a share of all orders.</w:t>
            </w:r>
          </w:p>
        </w:tc>
      </w:tr>
      <w:tr>
        <w:tc>
          <w:tcPr>
            <w:tcW w:type="dxa" w:w="3600"/>
            <w:vAlign w:val="center"/>
          </w:tcPr>
          <w:p>
            <w:pPr>
              <w:spacing w:after="0"/>
            </w:pPr>
            <w:r/>
            <w:r>
              <w:rPr>
                <w:rFonts w:ascii="Aptos" w:hAnsi="Aptos"/>
                <w:b w:val="0"/>
                <w:sz w:val="18"/>
              </w:rPr>
              <w:t>Late Orders card</w:t>
            </w:r>
          </w:p>
        </w:tc>
        <w:tc>
          <w:tcPr>
            <w:tcW w:type="dxa" w:w="6768"/>
            <w:vAlign w:val="center"/>
          </w:tcPr>
          <w:p>
            <w:pPr>
              <w:spacing w:after="0"/>
            </w:pPr>
            <w:r/>
            <w:r>
              <w:rPr>
                <w:rFonts w:ascii="Aptos" w:hAnsi="Aptos"/>
                <w:b w:val="0"/>
                <w:sz w:val="18"/>
              </w:rPr>
              <w:t>Shows orders delivered after the estimated date.</w:t>
            </w:r>
          </w:p>
        </w:tc>
      </w:tr>
      <w:tr>
        <w:tc>
          <w:tcPr>
            <w:tcW w:type="dxa" w:w="3600"/>
            <w:vAlign w:val="center"/>
            <w:shd w:fill="F1F5F8"/>
          </w:tcPr>
          <w:p>
            <w:pPr>
              <w:spacing w:after="0"/>
            </w:pPr>
            <w:r/>
            <w:r>
              <w:rPr>
                <w:rFonts w:ascii="Aptos" w:hAnsi="Aptos"/>
                <w:b w:val="0"/>
                <w:sz w:val="18"/>
              </w:rPr>
              <w:t>Late Delivery Rate card</w:t>
            </w:r>
          </w:p>
        </w:tc>
        <w:tc>
          <w:tcPr>
            <w:tcW w:type="dxa" w:w="6768"/>
            <w:vAlign w:val="center"/>
            <w:shd w:fill="F1F5F8"/>
          </w:tcPr>
          <w:p>
            <w:pPr>
              <w:spacing w:after="0"/>
            </w:pPr>
            <w:r/>
            <w:r>
              <w:rPr>
                <w:rFonts w:ascii="Aptos" w:hAnsi="Aptos"/>
                <w:b w:val="0"/>
                <w:sz w:val="18"/>
              </w:rPr>
              <w:t>Shows late orders as a share of all orders.</w:t>
            </w:r>
          </w:p>
        </w:tc>
      </w:tr>
      <w:tr>
        <w:tc>
          <w:tcPr>
            <w:tcW w:type="dxa" w:w="3600"/>
            <w:vAlign w:val="center"/>
          </w:tcPr>
          <w:p>
            <w:pPr>
              <w:spacing w:after="0"/>
            </w:pPr>
            <w:r/>
            <w:r>
              <w:rPr>
                <w:rFonts w:ascii="Aptos" w:hAnsi="Aptos"/>
                <w:b w:val="0"/>
                <w:sz w:val="18"/>
              </w:rPr>
              <w:t>Orders by Status</w:t>
            </w:r>
          </w:p>
        </w:tc>
        <w:tc>
          <w:tcPr>
            <w:tcW w:type="dxa" w:w="6768"/>
            <w:vAlign w:val="center"/>
          </w:tcPr>
          <w:p>
            <w:pPr>
              <w:spacing w:after="0"/>
            </w:pPr>
            <w:r/>
            <w:r>
              <w:rPr>
                <w:rFonts w:ascii="Aptos" w:hAnsi="Aptos"/>
                <w:b w:val="0"/>
                <w:sz w:val="18"/>
              </w:rPr>
              <w:t>Compares counts across eight order statuses.</w:t>
            </w:r>
          </w:p>
        </w:tc>
      </w:tr>
      <w:tr>
        <w:tc>
          <w:tcPr>
            <w:tcW w:type="dxa" w:w="3600"/>
            <w:vAlign w:val="center"/>
            <w:shd w:fill="F1F5F8"/>
          </w:tcPr>
          <w:p>
            <w:pPr>
              <w:spacing w:after="0"/>
            </w:pPr>
            <w:r/>
            <w:r>
              <w:rPr>
                <w:rFonts w:ascii="Aptos" w:hAnsi="Aptos"/>
                <w:b w:val="0"/>
                <w:sz w:val="18"/>
              </w:rPr>
              <w:t>Monthly Order Trend</w:t>
            </w:r>
          </w:p>
        </w:tc>
        <w:tc>
          <w:tcPr>
            <w:tcW w:type="dxa" w:w="6768"/>
            <w:vAlign w:val="center"/>
            <w:shd w:fill="F1F5F8"/>
          </w:tcPr>
          <w:p>
            <w:pPr>
              <w:spacing w:after="0"/>
            </w:pPr>
            <w:r/>
            <w:r>
              <w:rPr>
                <w:rFonts w:ascii="Aptos" w:hAnsi="Aptos"/>
                <w:b w:val="0"/>
                <w:sz w:val="18"/>
              </w:rPr>
              <w:t>Shows order volume over time.</w:t>
            </w:r>
          </w:p>
        </w:tc>
      </w:tr>
      <w:tr>
        <w:tc>
          <w:tcPr>
            <w:tcW w:type="dxa" w:w="3600"/>
            <w:vAlign w:val="center"/>
          </w:tcPr>
          <w:p>
            <w:pPr>
              <w:spacing w:after="0"/>
            </w:pPr>
            <w:r/>
            <w:r>
              <w:rPr>
                <w:rFonts w:ascii="Aptos" w:hAnsi="Aptos"/>
                <w:b w:val="0"/>
                <w:sz w:val="18"/>
              </w:rPr>
              <w:t>Order Status Distribution</w:t>
            </w:r>
          </w:p>
        </w:tc>
        <w:tc>
          <w:tcPr>
            <w:tcW w:type="dxa" w:w="6768"/>
            <w:vAlign w:val="center"/>
          </w:tcPr>
          <w:p>
            <w:pPr>
              <w:spacing w:after="0"/>
            </w:pPr>
            <w:r/>
            <w:r>
              <w:rPr>
                <w:rFonts w:ascii="Aptos" w:hAnsi="Aptos"/>
                <w:b w:val="0"/>
                <w:sz w:val="18"/>
              </w:rPr>
              <w:t>Shows the relative size of each order status.</w:t>
            </w:r>
          </w:p>
        </w:tc>
      </w:tr>
      <w:tr>
        <w:tc>
          <w:tcPr>
            <w:tcW w:type="dxa" w:w="3600"/>
            <w:vAlign w:val="center"/>
            <w:shd w:fill="F1F5F8"/>
          </w:tcPr>
          <w:p>
            <w:pPr>
              <w:spacing w:after="0"/>
            </w:pPr>
            <w:r/>
            <w:r>
              <w:rPr>
                <w:rFonts w:ascii="Aptos" w:hAnsi="Aptos"/>
                <w:b w:val="0"/>
                <w:sz w:val="18"/>
              </w:rPr>
              <w:t>Orders by Customer State</w:t>
            </w:r>
          </w:p>
        </w:tc>
        <w:tc>
          <w:tcPr>
            <w:tcW w:type="dxa" w:w="6768"/>
            <w:vAlign w:val="center"/>
            <w:shd w:fill="F1F5F8"/>
          </w:tcPr>
          <w:p>
            <w:pPr>
              <w:spacing w:after="0"/>
            </w:pPr>
            <w:r/>
            <w:r>
              <w:rPr>
                <w:rFonts w:ascii="Aptos" w:hAnsi="Aptos"/>
                <w:b w:val="0"/>
                <w:sz w:val="18"/>
              </w:rPr>
              <w:t>Ranks states by order count.</w:t>
            </w:r>
          </w:p>
        </w:tc>
      </w:tr>
      <w:tr>
        <w:tc>
          <w:tcPr>
            <w:tcW w:type="dxa" w:w="3600"/>
            <w:vAlign w:val="center"/>
          </w:tcPr>
          <w:p>
            <w:pPr>
              <w:spacing w:after="0"/>
            </w:pPr>
            <w:r/>
            <w:r>
              <w:rPr>
                <w:rFonts w:ascii="Aptos" w:hAnsi="Aptos"/>
                <w:b w:val="0"/>
                <w:sz w:val="18"/>
              </w:rPr>
              <w:t>On-Time vs Late Orders</w:t>
            </w:r>
          </w:p>
        </w:tc>
        <w:tc>
          <w:tcPr>
            <w:tcW w:type="dxa" w:w="6768"/>
            <w:vAlign w:val="center"/>
          </w:tcPr>
          <w:p>
            <w:pPr>
              <w:spacing w:after="0"/>
            </w:pPr>
            <w:r/>
            <w:r>
              <w:rPr>
                <w:rFonts w:ascii="Aptos" w:hAnsi="Aptos"/>
                <w:b w:val="0"/>
                <w:sz w:val="18"/>
              </w:rPr>
              <w:t>Compares on-time and late order counts.</w:t>
            </w:r>
          </w:p>
        </w:tc>
      </w:tr>
      <w:tr>
        <w:tc>
          <w:tcPr>
            <w:tcW w:type="dxa" w:w="3600"/>
            <w:vAlign w:val="center"/>
            <w:shd w:fill="F1F5F8"/>
          </w:tcPr>
          <w:p>
            <w:pPr>
              <w:spacing w:after="0"/>
            </w:pPr>
            <w:r/>
            <w:r>
              <w:rPr>
                <w:rFonts w:ascii="Aptos" w:hAnsi="Aptos"/>
                <w:b w:val="0"/>
                <w:sz w:val="18"/>
              </w:rPr>
              <w:t>Late Delivery Rate by State</w:t>
            </w:r>
          </w:p>
        </w:tc>
        <w:tc>
          <w:tcPr>
            <w:tcW w:type="dxa" w:w="6768"/>
            <w:vAlign w:val="center"/>
            <w:shd w:fill="F1F5F8"/>
          </w:tcPr>
          <w:p>
            <w:pPr>
              <w:spacing w:after="0"/>
            </w:pPr>
            <w:r/>
            <w:r>
              <w:rPr>
                <w:rFonts w:ascii="Aptos" w:hAnsi="Aptos"/>
                <w:b w:val="0"/>
                <w:sz w:val="18"/>
              </w:rPr>
              <w:t>Ranks states by late-delivery rate.</w:t>
            </w:r>
          </w:p>
        </w:tc>
      </w:tr>
      <w:tr>
        <w:tc>
          <w:tcPr>
            <w:tcW w:type="dxa" w:w="3600"/>
            <w:vAlign w:val="center"/>
          </w:tcPr>
          <w:p>
            <w:pPr>
              <w:spacing w:after="0"/>
            </w:pPr>
            <w:r/>
            <w:r>
              <w:rPr>
                <w:rFonts w:ascii="Aptos" w:hAnsi="Aptos"/>
                <w:b w:val="0"/>
                <w:sz w:val="18"/>
              </w:rPr>
              <w:t>Customer-state table</w:t>
            </w:r>
          </w:p>
        </w:tc>
        <w:tc>
          <w:tcPr>
            <w:tcW w:type="dxa" w:w="6768"/>
            <w:vAlign w:val="center"/>
          </w:tcPr>
          <w:p>
            <w:pPr>
              <w:spacing w:after="0"/>
            </w:pPr>
            <w:r/>
            <w:r>
              <w:rPr>
                <w:rFonts w:ascii="Aptos" w:hAnsi="Aptos"/>
                <w:b w:val="0"/>
                <w:sz w:val="18"/>
              </w:rPr>
              <w:t>Displays state-level late-delivery rates for detailed comparison.</w:t>
            </w:r>
          </w:p>
        </w:tc>
      </w:tr>
    </w:tbl>
    <w:p/>
    <w:p>
      <w:pPr>
        <w:pStyle w:val="Heading1"/>
      </w:pPr>
      <w:r>
        <w:t>8. Skills Demonstrated</w:t>
      </w:r>
    </w:p>
    <w:p>
      <w:pPr>
        <w:pStyle w:val="ListBullet"/>
        <w:spacing w:after="40"/>
      </w:pPr>
      <w:r>
        <w:t>Data validation and quality checking.</w:t>
      </w:r>
    </w:p>
    <w:p>
      <w:pPr>
        <w:pStyle w:val="ListBullet"/>
        <w:spacing w:after="40"/>
      </w:pPr>
      <w:r>
        <w:t>Spreadsheet-based analysis using formulas, PivotTables and charts.</w:t>
      </w:r>
    </w:p>
    <w:p>
      <w:pPr>
        <w:pStyle w:val="ListBullet"/>
        <w:spacing w:after="40"/>
      </w:pPr>
      <w:r>
        <w:t>SQL querying, aggregation, joins and date-based analysis.</w:t>
      </w:r>
    </w:p>
    <w:p>
      <w:pPr>
        <w:pStyle w:val="ListBullet"/>
        <w:spacing w:after="40"/>
      </w:pPr>
      <w:r>
        <w:t>Data modelling and DAX measures in Power BI.</w:t>
      </w:r>
    </w:p>
    <w:p>
      <w:pPr>
        <w:pStyle w:val="ListBullet"/>
        <w:spacing w:after="40"/>
      </w:pPr>
      <w:r>
        <w:t>KPI definition and denominator awareness.</w:t>
      </w:r>
    </w:p>
    <w:p>
      <w:pPr>
        <w:pStyle w:val="ListBullet"/>
        <w:spacing w:after="40"/>
      </w:pPr>
      <w:r>
        <w:t>Business interpretation of order trends, delivery performance and customer behaviour.</w:t>
      </w:r>
    </w:p>
    <w:p>
      <w:pPr>
        <w:pStyle w:val="ListBullet"/>
        <w:spacing w:after="40"/>
      </w:pPr>
      <w:r>
        <w:t>Building a multi-tool workflow from raw CSV files to a reporting dashboard.</w:t>
      </w:r>
    </w:p>
    <w:p>
      <w:pPr>
        <w:pStyle w:val="Heading1"/>
      </w:pPr>
      <w:r>
        <w:t>9. Limitations and Careful Interpretation</w:t>
      </w:r>
    </w:p>
    <w:p>
      <w:pPr>
        <w:pStyle w:val="ListBullet"/>
        <w:spacing w:after="40"/>
      </w:pPr>
      <w:r>
        <w:t>Missing date fields limit the number of orders that can be classified as on-time or late.</w:t>
      </w:r>
    </w:p>
    <w:p>
      <w:pPr>
        <w:pStyle w:val="ListBullet"/>
        <w:spacing w:after="40"/>
      </w:pPr>
      <w:r>
        <w:t>The final months of 2018 are incomplete; the sharp drop at the end of the trend is not proof of a demand collapse.</w:t>
      </w:r>
    </w:p>
    <w:p>
      <w:pPr>
        <w:pStyle w:val="ListBullet"/>
        <w:spacing w:after="40"/>
      </w:pPr>
      <w:r>
        <w:t>Overall and state-level late-delivery rates use different denominators and should not be compared as identical calculations.</w:t>
      </w:r>
    </w:p>
    <w:p>
      <w:pPr>
        <w:pStyle w:val="ListBullet"/>
        <w:spacing w:after="40"/>
      </w:pPr>
      <w:r>
        <w:t>State-level patterns are descriptive and do not establish causes of late deliveries.</w:t>
      </w:r>
    </w:p>
    <w:p>
      <w:pPr>
        <w:pStyle w:val="ListBullet"/>
        <w:spacing w:after="40"/>
      </w:pPr>
      <w:r>
        <w:t>Item-price and freight totals are not profit calculations.</w:t>
      </w:r>
    </w:p>
    <w:p>
      <w:pPr>
        <w:pStyle w:val="ListBullet"/>
        <w:spacing w:after="40"/>
      </w:pPr>
      <w:r>
        <w:t>This is an entry-level portfolio analysis; it does not claim production-grade pipelines or causal modelling.</w:t>
      </w:r>
    </w:p>
    <w:p>
      <w:pPr>
        <w:pStyle w:val="Heading1"/>
      </w:pPr>
      <w:r>
        <w:t>10. Deliverables and Closeout</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174A70"/>
          </w:tcPr>
          <w:p>
            <w:pPr>
              <w:spacing w:after="0"/>
            </w:pPr>
            <w:r/>
            <w:r>
              <w:rPr>
                <w:rFonts w:ascii="Aptos" w:hAnsi="Aptos"/>
                <w:b/>
                <w:color w:val="FFFFFF"/>
                <w:sz w:val="18"/>
              </w:rPr>
              <w:t>Deliverable</w:t>
            </w:r>
          </w:p>
        </w:tc>
        <w:tc>
          <w:tcPr>
            <w:tcW w:type="dxa" w:w="6912"/>
            <w:vAlign w:val="center"/>
            <w:shd w:fill="174A70"/>
          </w:tcPr>
          <w:p>
            <w:pPr>
              <w:spacing w:after="0"/>
            </w:pPr>
            <w:r/>
            <w:r>
              <w:rPr>
                <w:rFonts w:ascii="Aptos" w:hAnsi="Aptos"/>
                <w:b/>
                <w:color w:val="FFFFFF"/>
                <w:sz w:val="18"/>
              </w:rPr>
              <w:t>File / location</w:t>
            </w:r>
          </w:p>
        </w:tc>
      </w:tr>
      <w:tr>
        <w:tc>
          <w:tcPr>
            <w:tcW w:type="dxa" w:w="3456"/>
            <w:vAlign w:val="center"/>
          </w:tcPr>
          <w:p>
            <w:pPr>
              <w:spacing w:after="0"/>
            </w:pPr>
            <w:r/>
            <w:r>
              <w:rPr>
                <w:rFonts w:ascii="Aptos" w:hAnsi="Aptos"/>
                <w:b w:val="0"/>
                <w:sz w:val="18"/>
              </w:rPr>
              <w:t>Excel analysis and dashboard</w:t>
            </w:r>
          </w:p>
        </w:tc>
        <w:tc>
          <w:tcPr>
            <w:tcW w:type="dxa" w:w="6912"/>
            <w:vAlign w:val="center"/>
          </w:tcPr>
          <w:p>
            <w:pPr>
              <w:spacing w:after="0"/>
            </w:pPr>
            <w:r/>
            <w:r>
              <w:rPr>
                <w:rFonts w:ascii="Aptos" w:hAnsi="Aptos"/>
                <w:b w:val="0"/>
                <w:sz w:val="18"/>
              </w:rPr>
              <w:t>Project_1_Working.xlsx</w:t>
            </w:r>
          </w:p>
        </w:tc>
      </w:tr>
      <w:tr>
        <w:tc>
          <w:tcPr>
            <w:tcW w:type="dxa" w:w="3456"/>
            <w:vAlign w:val="center"/>
            <w:shd w:fill="F1F5F8"/>
          </w:tcPr>
          <w:p>
            <w:pPr>
              <w:spacing w:after="0"/>
            </w:pPr>
            <w:r/>
            <w:r>
              <w:rPr>
                <w:rFonts w:ascii="Aptos" w:hAnsi="Aptos"/>
                <w:b w:val="0"/>
                <w:sz w:val="18"/>
              </w:rPr>
              <w:t>SQL analysis</w:t>
            </w:r>
          </w:p>
        </w:tc>
        <w:tc>
          <w:tcPr>
            <w:tcW w:type="dxa" w:w="6912"/>
            <w:vAlign w:val="center"/>
            <w:shd w:fill="F1F5F8"/>
          </w:tcPr>
          <w:p>
            <w:pPr>
              <w:spacing w:after="0"/>
            </w:pPr>
            <w:r/>
            <w:r>
              <w:rPr>
                <w:rFonts w:ascii="Aptos" w:hAnsi="Aptos"/>
                <w:b w:val="0"/>
                <w:sz w:val="18"/>
              </w:rPr>
              <w:t>MySQL Workbench script for the olist_project database</w:t>
            </w:r>
          </w:p>
        </w:tc>
      </w:tr>
      <w:tr>
        <w:tc>
          <w:tcPr>
            <w:tcW w:type="dxa" w:w="3456"/>
            <w:vAlign w:val="center"/>
          </w:tcPr>
          <w:p>
            <w:pPr>
              <w:spacing w:after="0"/>
            </w:pPr>
            <w:r/>
            <w:r>
              <w:rPr>
                <w:rFonts w:ascii="Aptos" w:hAnsi="Aptos"/>
                <w:b w:val="0"/>
                <w:sz w:val="18"/>
              </w:rPr>
              <w:t>Power BI report</w:t>
            </w:r>
          </w:p>
        </w:tc>
        <w:tc>
          <w:tcPr>
            <w:tcW w:type="dxa" w:w="6912"/>
            <w:vAlign w:val="center"/>
          </w:tcPr>
          <w:p>
            <w:pPr>
              <w:spacing w:after="0"/>
            </w:pPr>
            <w:r/>
            <w:r>
              <w:rPr>
                <w:rFonts w:ascii="Aptos" w:hAnsi="Aptos"/>
                <w:b w:val="0"/>
                <w:sz w:val="18"/>
              </w:rPr>
              <w:t>Project_1_Ecommerce_Analytics.pbix</w:t>
            </w:r>
          </w:p>
        </w:tc>
      </w:tr>
      <w:tr>
        <w:tc>
          <w:tcPr>
            <w:tcW w:type="dxa" w:w="3456"/>
            <w:vAlign w:val="center"/>
            <w:shd w:fill="F1F5F8"/>
          </w:tcPr>
          <w:p>
            <w:pPr>
              <w:spacing w:after="0"/>
            </w:pPr>
            <w:r/>
            <w:r>
              <w:rPr>
                <w:rFonts w:ascii="Aptos" w:hAnsi="Aptos"/>
                <w:b w:val="0"/>
                <w:sz w:val="18"/>
              </w:rPr>
              <w:t>Project summary</w:t>
            </w:r>
          </w:p>
        </w:tc>
        <w:tc>
          <w:tcPr>
            <w:tcW w:type="dxa" w:w="6912"/>
            <w:vAlign w:val="center"/>
            <w:shd w:fill="F1F5F8"/>
          </w:tcPr>
          <w:p>
            <w:pPr>
              <w:spacing w:after="0"/>
            </w:pPr>
            <w:r/>
            <w:r>
              <w:rPr>
                <w:rFonts w:ascii="Aptos" w:hAnsi="Aptos"/>
                <w:b w:val="0"/>
                <w:sz w:val="18"/>
              </w:rPr>
              <w:t>This document</w:t>
            </w:r>
          </w:p>
        </w:tc>
      </w:tr>
    </w:tbl>
    <w:p/>
    <w:p>
      <w:r>
        <w:t>The Excel analysis, SQL analysis and Power BI dashboard have been completed and reviewed as an entry-level portfolio project. The Power BI KPI cards, main charts, customer-state table, titles, readability, layout and saved report were confirmed during the final review.</w:t>
      </w:r>
    </w:p>
    <w:p>
      <w:pPr>
        <w:pStyle w:val="Heading1"/>
      </w:pPr>
      <w:r>
        <w:t>Conclusion</w:t>
      </w:r>
    </w:p>
    <w:p>
      <w:r>
        <w:t>This project demonstrates a practical analytics workflow: understand the data, validate and analyse it, then communicate the results through a dashboard. The value lies not only in the visuals, but in being able to explain how metrics were calculated, what the findings mean and where the data has limitations.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Project Summary  •  Excel | MySQL | Power BI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E7D"/>
        <w:sz w:val="16"/>
      </w:rPr>
      <w:t>PROJECT 01  |  E-COMMERCE BUSINESS &amp; CUSTOMER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