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9090B"/>
          <w:sz w:val="44"/>
        </w:rPr>
        <w:t>ADITYA FAUZIYANTO</w:t>
        <w:br/>
      </w:r>
      <w:r>
        <w:rPr>
          <w:rFonts w:ascii="Calibri" w:hAnsi="Calibri"/>
          <w:b/>
          <w:color w:val="3F3F46"/>
          <w:sz w:val="22"/>
        </w:rPr>
        <w:t>Country Presales &amp; Solutions Architecture Lead – Indonesia</w:t>
      </w:r>
    </w:p>
    <w:p>
      <w:pPr>
        <w:spacing w:before="40" w:after="160"/>
        <w:pBdr>
          <w:bottom w:val="single" w:sz="12" w:space="4" w:color="09090B"/>
        </w:pBdr>
      </w:pPr>
      <w:r>
        <w:rPr>
          <w:rFonts w:ascii="Calibri" w:hAnsi="Calibri"/>
          <w:color w:val="52525B"/>
          <w:sz w:val="17"/>
        </w:rPr>
        <w:t>Bekasi / Jakarta Area, Indonesia  |  adityafauziyanto@gmail.com  |  +62 851 5533 3480</w:t>
        <w:br/>
        <w:t>LinkedIn: linkedin.com/in/adityafauzii  |  Portfolio: luckywizardd.github.io/aditya-fauziyanto-portfolio</w:t>
      </w:r>
    </w:p>
    <w:p>
      <w:pPr>
        <w:spacing w:before="200" w:after="80"/>
        <w:pBdr>
          <w:bottom w:val="single" w:sz="6" w:space="4" w:color="E4E4E7"/>
        </w:pBdr>
      </w:pPr>
      <w:r>
        <w:rPr>
          <w:rFonts w:ascii="Calibri" w:hAnsi="Calibri"/>
          <w:b/>
          <w:color w:val="09090B"/>
          <w:sz w:val="19"/>
        </w:rPr>
        <w:t>EXECUTIVE PROFILE</w:t>
      </w:r>
      <w:r>
        <w:rPr>
          <w:rFonts w:ascii="Calibri" w:hAnsi="Calibri"/>
          <w:color w:val="52525B"/>
          <w:sz w:val="16"/>
        </w:rPr>
        <w:t xml:space="preserve">   —   10+ Years Enterprise Experience</w:t>
      </w:r>
    </w:p>
    <w:p>
      <w:pPr>
        <w:spacing w:after="120" w:line="276" w:lineRule="auto"/>
      </w:pPr>
      <w:r>
        <w:rPr>
          <w:rFonts w:ascii="Calibri" w:hAnsi="Calibri"/>
          <w:color w:val="27272A"/>
          <w:sz w:val="18"/>
        </w:rPr>
        <w:t>High-impact Country Presales &amp; Solutions Architecture Lead with over 10+ years of enterprise experience leading technical presales strategy, enterprise solution architecture, and mission-critical 24/7 IT operations. Proven 100% presales deal-to-delivery track record across multinational corporations, tier-1 commercial banking institutions, regional decacorn superapps, and hyperscale data centers in Southeast Asia. Deeply specialized in the Atlassian Cloud ecosystem (Jira Service Management, Atlassian Cloud Enterprise migrations, relational JSM Assets/CMDB, Forge serverless automation) and audit-ready Service Governance. Uniquely bridges commercial presales acumen and high-precision SOW sizing with 4 years of hands-on 24/7 enterprise service desk operational command.</w:t>
      </w:r>
    </w:p>
    <w:p>
      <w:pPr>
        <w:spacing w:before="200" w:after="80"/>
        <w:pBdr>
          <w:bottom w:val="single" w:sz="6" w:space="4" w:color="E4E4E7"/>
        </w:pBdr>
      </w:pPr>
      <w:r>
        <w:rPr>
          <w:rFonts w:ascii="Calibri" w:hAnsi="Calibri"/>
          <w:b/>
          <w:color w:val="09090B"/>
          <w:sz w:val="19"/>
        </w:rPr>
        <w:t>CORE COMPETENCIES &amp; TECHNICAL ARCHITECTURE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Technical Presales &amp; Bidding: </w:t>
      </w:r>
      <w:r>
        <w:rPr>
          <w:rFonts w:ascii="Calibri" w:hAnsi="Calibri"/>
          <w:color w:val="52525B"/>
          <w:sz w:val="17"/>
        </w:rPr>
        <w:t>C-Level Discovery, Commercial RFP/RFI Defense, High-Precision SOW &amp; Man-Day Sizing, Solution GAP Analysis, Live POC Demonstrations.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Enterprise ITSM &amp; JSM Architecture: </w:t>
      </w:r>
      <w:r>
        <w:rPr>
          <w:rFonts w:ascii="Calibri" w:hAnsi="Calibri"/>
          <w:color w:val="52525B"/>
          <w:sz w:val="17"/>
        </w:rPr>
        <w:t>Jira Service Management Cloud/DC, Multi-Tier SLAs, Dynamic Request Catalogs, Multi-Tenant Architecture, Approval Matrices.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Service Governance &amp; Compliance: </w:t>
      </w:r>
      <w:r>
        <w:rPr>
          <w:rFonts w:ascii="Calibri" w:hAnsi="Calibri"/>
          <w:color w:val="52525B"/>
          <w:sz w:val="17"/>
        </w:rPr>
        <w:t>Major Incident Command, Root Cause Analysis (RCA), Change Advisory Board (CAB), UU PDP Data Privacy Compliance, SLA Auditing.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Atlassian Cloud Migration: </w:t>
      </w:r>
      <w:r>
        <w:rPr>
          <w:rFonts w:ascii="Calibri" w:hAnsi="Calibri"/>
          <w:color w:val="52525B"/>
          <w:sz w:val="17"/>
        </w:rPr>
        <w:t>Server/DC to Cloud Enterprise (JCMA), Zero-Downtime Weekend Cutovers, ScriptRunner Groovy-to-REST Cloud Refactoring, Atlassian Guard SSO/SCIM.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Living CMDB &amp; ITAM Architecture: </w:t>
      </w:r>
      <w:r>
        <w:rPr>
          <w:rFonts w:ascii="Calibri" w:hAnsi="Calibri"/>
          <w:color w:val="52525B"/>
          <w:sz w:val="17"/>
        </w:rPr>
        <w:t>Relational JSM Assets Schema Design, Blast-Radius Incident Mapping, Device42 Hybrid Auto-Discovery Grid, Multi-Source Reconciliation.</w:t>
      </w:r>
    </w:p>
    <w:p>
      <w:pPr>
        <w:spacing w:before="0" w:after="40"/>
        <w:ind w:left="216"/>
      </w:pPr>
      <w:r>
        <w:rPr>
          <w:rFonts w:ascii="Calibri" w:hAnsi="Calibri"/>
          <w:b/>
          <w:color w:val="09090B"/>
          <w:sz w:val="17"/>
        </w:rPr>
        <w:t xml:space="preserve">•  Edge Automation &amp; Development: </w:t>
      </w:r>
      <w:r>
        <w:rPr>
          <w:rFonts w:ascii="Calibri" w:hAnsi="Calibri"/>
          <w:color w:val="52525B"/>
          <w:sz w:val="17"/>
        </w:rPr>
        <w:t>Atlassian Forge Cloud Apps, Cloudflare Serverless Workers, REST API Pipelines, SAP S/4HANA &amp; SuccessFactors Integrations, Microsoft Sentinel.</w:t>
      </w:r>
    </w:p>
    <w:p>
      <w:pPr>
        <w:spacing w:before="200" w:after="80"/>
        <w:pBdr>
          <w:bottom w:val="single" w:sz="6" w:space="4" w:color="E4E4E7"/>
        </w:pBdr>
      </w:pPr>
      <w:r>
        <w:rPr>
          <w:rFonts w:ascii="Calibri" w:hAnsi="Calibri"/>
          <w:b/>
          <w:color w:val="09090B"/>
          <w:sz w:val="19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09090B"/>
          <w:sz w:val="20"/>
        </w:rPr>
        <w:t>Country Presales &amp; Solutions Architecture Lead – Indonesia</w:t>
      </w:r>
      <w:r>
        <w:rPr>
          <w:rFonts w:ascii="Calibri" w:hAnsi="Calibri"/>
          <w:color w:val="52525B"/>
          <w:sz w:val="17"/>
        </w:rPr>
        <w:t xml:space="preserve">    (2022 — Present)</w:t>
      </w:r>
    </w:p>
    <w:p>
      <w:pPr>
        <w:spacing w:before="0" w:after="40"/>
      </w:pPr>
      <w:r>
        <w:rPr>
          <w:rFonts w:ascii="Calibri" w:hAnsi="Calibri"/>
          <w:b/>
          <w:color w:val="3F3F46"/>
          <w:sz w:val="17"/>
        </w:rPr>
        <w:t>PT iZeno Teknologi Indonesia  •  Jakarta / Hybrid</w:t>
      </w:r>
    </w:p>
    <w:p>
      <w:pPr>
        <w:spacing w:before="0" w:after="60"/>
      </w:pPr>
      <w:r>
        <w:rPr>
          <w:rFonts w:ascii="Calibri" w:hAnsi="Calibri"/>
          <w:i/>
          <w:color w:val="52525B"/>
          <w:sz w:val="17"/>
        </w:rPr>
        <w:t>Leading the Indonesia technical practice, driving country-level presales strategy, deal scoping, SOW man-day sizing, enterprise ITSM/CMDB architecture, and cloud cutover delivery for multinational clients.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Country-Level Presales &amp; RFP Defense: </w:t>
      </w:r>
      <w:r>
        <w:rPr>
          <w:rFonts w:ascii="Calibri" w:hAnsi="Calibri"/>
          <w:color w:val="27272A"/>
          <w:sz w:val="17"/>
        </w:rPr>
        <w:t>Directed technical presales solutioning and C-level discovery sessions across enterprise accounts; authored winning technical proposals, RFP/RFI responses, and high-accuracy SOW man-day estimations that secured multi-billion-IDR enterprise mandates.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Enterprise ITSM &amp; Living CMDB Architecture: </w:t>
      </w:r>
      <w:r>
        <w:rPr>
          <w:rFonts w:ascii="Calibri" w:hAnsi="Calibri"/>
          <w:color w:val="27272A"/>
          <w:sz w:val="17"/>
        </w:rPr>
        <w:t>Architected large-scale Jira Service Management (JSM) platforms, bespoke JSM Assets (CMDB) object schemas, multi-tier SLA matrices, and hierarchical approval workflows for regional decacorn superapps, tier-1 commercial banks, pan-Asian hyperscale data centers, and petrochemical groups.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Operational-Grade Cloud Migration: </w:t>
      </w:r>
      <w:r>
        <w:rPr>
          <w:rFonts w:ascii="Calibri" w:hAnsi="Calibri"/>
          <w:color w:val="27272A"/>
          <w:sz w:val="17"/>
        </w:rPr>
        <w:t>Leveraged deep operational background to engineer zero-loss, zero-downtime migration pipelines from on-premises Jira Server/DC to Atlassian Cloud Enterprise, including a massive 345,000+ ticket migration and 50 man-days of ScriptRunner Groovy-to-REST Cloud modernization.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Enterprise Service Governance &amp; Regulatory Compliance: </w:t>
      </w:r>
      <w:r>
        <w:rPr>
          <w:rFonts w:ascii="Calibri" w:hAnsi="Calibri"/>
          <w:color w:val="27272A"/>
          <w:sz w:val="17"/>
        </w:rPr>
        <w:t>Designed audit-ready Change Advisory Board (CAB) workflows, regulatory PII data masking engines satisfying statutory Indonesian UU PDP privacy laws, and multi-calendar SLA frameworks that satisfied rigorous central banking audits.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Practice Mentorship &amp; Technical Steering: </w:t>
      </w:r>
      <w:r>
        <w:rPr>
          <w:rFonts w:ascii="Calibri" w:hAnsi="Calibri"/>
          <w:color w:val="27272A"/>
          <w:sz w:val="17"/>
        </w:rPr>
        <w:t>Guided cross-functional delivery consultants and engineering squads, maintaining implementation excellence, delivery methodology, and high-trust executive stakeholder alignment.</w:t>
      </w:r>
    </w:p>
    <w:p>
      <w:pPr>
        <w:spacing w:before="120" w:after="20"/>
      </w:pPr>
      <w:r>
        <w:rPr>
          <w:rFonts w:ascii="Calibri" w:hAnsi="Calibri"/>
          <w:b/>
          <w:color w:val="09090B"/>
          <w:sz w:val="20"/>
        </w:rPr>
        <w:t>Service Desk Supervisor &amp; Service Management Analyst</w:t>
      </w:r>
      <w:r>
        <w:rPr>
          <w:rFonts w:ascii="Calibri" w:hAnsi="Calibri"/>
          <w:color w:val="52525B"/>
          <w:sz w:val="17"/>
        </w:rPr>
        <w:t xml:space="preserve">    (2018 — 2022)</w:t>
      </w:r>
    </w:p>
    <w:p>
      <w:pPr>
        <w:spacing w:before="0" w:after="40"/>
      </w:pPr>
      <w:r>
        <w:rPr>
          <w:rFonts w:ascii="Calibri" w:hAnsi="Calibri"/>
          <w:b/>
          <w:color w:val="3F3F46"/>
          <w:sz w:val="17"/>
        </w:rPr>
        <w:t>PT Aplikanusa Lintasarta (Enterprise ICT &amp; Telco Backbone Provider)  •  Jakarta, Indonesia</w:t>
      </w:r>
    </w:p>
    <w:p>
      <w:pPr>
        <w:spacing w:before="0" w:after="60"/>
      </w:pPr>
      <w:r>
        <w:rPr>
          <w:rFonts w:ascii="Calibri" w:hAnsi="Calibri"/>
          <w:i/>
          <w:color w:val="52525B"/>
          <w:sz w:val="17"/>
        </w:rPr>
        <w:t>Spearheaded 24/7 mission-critical IT &amp; telecommunications operations serving tier-1 banking, nationwide enterprise telco backbones, and corporate clients. Directed front-line operational governance, major incident command, and multi-tier SLA compliance.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24/7 Operations Command &amp; Team Leadership: </w:t>
      </w:r>
      <w:r>
        <w:rPr>
          <w:rFonts w:ascii="Calibri" w:hAnsi="Calibri"/>
          <w:color w:val="27272A"/>
          <w:sz w:val="17"/>
        </w:rPr>
        <w:t>Directly supervised and mentored a front-line operational force of 8 Service Desk Analysts operating in a continuous 24/7/365 shift rotation, maintaining &gt;98% enterprise client satisfaction and flawless contractual SLA compliance across mission-critical networks.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Major Incident Commander (P1/P2): </w:t>
      </w:r>
      <w:r>
        <w:rPr>
          <w:rFonts w:ascii="Calibri" w:hAnsi="Calibri"/>
          <w:color w:val="27272A"/>
          <w:sz w:val="17"/>
        </w:rPr>
        <w:t>Served as primary Incident Commander during high-severity network outages, coordinating rapid cross-functional escalations between field engineering, network operations (NOC), third-party carriers, and enterprise client stakeholders to drastically minimize service downtime.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Problem Management &amp; Deep RCA: </w:t>
      </w:r>
      <w:r>
        <w:rPr>
          <w:rFonts w:ascii="Calibri" w:hAnsi="Calibri"/>
          <w:color w:val="27272A"/>
          <w:sz w:val="17"/>
        </w:rPr>
        <w:t>Spearheaded formal Problem Management frameworks and Root Cause Analysis (RCA) playbooks for unresolved and recurring incidents; facilitated Post-Incident Reviews (PIR) that reduced chronic infrastructure failure recurrence by 35%.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Operational KPI Benchmarking &amp; Governance: </w:t>
      </w:r>
      <w:r>
        <w:rPr>
          <w:rFonts w:ascii="Calibri" w:hAnsi="Calibri"/>
          <w:color w:val="27272A"/>
          <w:sz w:val="17"/>
        </w:rPr>
        <w:t>Formulated, monitored, and audited core operational metrics (First Contact Resolution / FCR, Mean Time to Detect / MTTD, MTTR), enforcing proactive SLA breach prevention protocols and executive reporting dashboards.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ITSM Tooling Optimization (ServiceDesk Plus): </w:t>
      </w:r>
      <w:r>
        <w:rPr>
          <w:rFonts w:ascii="Calibri" w:hAnsi="Calibri"/>
          <w:color w:val="27272A"/>
          <w:sz w:val="17"/>
        </w:rPr>
        <w:t>Administered and re-engineered enterprise ITSM platform configurations (ManageEngine ServiceDesk Plus), redesigning approval chains, incident dispatch logic, and change control workflows to align with international enterprise service governance standards.</w:t>
      </w:r>
    </w:p>
    <w:p>
      <w:pPr>
        <w:spacing w:before="120" w:after="20"/>
      </w:pPr>
      <w:r>
        <w:rPr>
          <w:rFonts w:ascii="Calibri" w:hAnsi="Calibri"/>
          <w:b/>
          <w:color w:val="09090B"/>
          <w:sz w:val="20"/>
        </w:rPr>
        <w:t>Network Operation Center (NOC) Support Analyst</w:t>
      </w:r>
      <w:r>
        <w:rPr>
          <w:rFonts w:ascii="Calibri" w:hAnsi="Calibri"/>
          <w:color w:val="52525B"/>
          <w:sz w:val="17"/>
        </w:rPr>
        <w:t xml:space="preserve">    (2017 — 2018)</w:t>
      </w:r>
    </w:p>
    <w:p>
      <w:pPr>
        <w:spacing w:before="0" w:after="40"/>
      </w:pPr>
      <w:r>
        <w:rPr>
          <w:rFonts w:ascii="Calibri" w:hAnsi="Calibri"/>
          <w:b/>
          <w:color w:val="3F3F46"/>
          <w:sz w:val="17"/>
        </w:rPr>
        <w:t>PT Swadharma Duta Data (Financial &amp; Banking IT Services)  •  Jakarta, Indonesia</w:t>
      </w:r>
    </w:p>
    <w:p>
      <w:pPr>
        <w:spacing w:before="0" w:after="60"/>
      </w:pPr>
      <w:r>
        <w:rPr>
          <w:rFonts w:ascii="Calibri" w:hAnsi="Calibri"/>
          <w:i/>
          <w:color w:val="52525B"/>
          <w:sz w:val="17"/>
        </w:rPr>
        <w:t>Provided real-time 24/7 Tier-1 technical monitoring and incident containment for mission-critical core banking and inter-bank financial transaction networks.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24/7 Mission-Critical Financial Surveillance: </w:t>
      </w:r>
      <w:r>
        <w:rPr>
          <w:rFonts w:ascii="Calibri" w:hAnsi="Calibri"/>
          <w:color w:val="27272A"/>
          <w:sz w:val="17"/>
        </w:rPr>
        <w:t>Executed continuous real-time surveillance across mission-critical banking infrastructure, ATM switching networks, and core financial transaction systems under strict contractual banking SLAs.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Rapid Incident Triage &amp; Escalation: </w:t>
      </w:r>
      <w:r>
        <w:rPr>
          <w:rFonts w:ascii="Calibri" w:hAnsi="Calibri"/>
          <w:color w:val="27272A"/>
          <w:sz w:val="17"/>
        </w:rPr>
        <w:t>Diagnosed link degradations and hardware faults in real time, executing rapid first-level containment and coordinating seamless handoffs with Tier-2 infrastructure and telecom provider engineers.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Knowledge Base &amp; SOP Standardization: </w:t>
      </w:r>
      <w:r>
        <w:rPr>
          <w:rFonts w:ascii="Calibri" w:hAnsi="Calibri"/>
          <w:color w:val="27272A"/>
          <w:sz w:val="17"/>
        </w:rPr>
        <w:t>Authored standard operating procedures (SOPs) and disaster recovery runbooks within the central banking NOC repository, accelerating shift onboarding and incident resolution velocity.</w:t>
      </w:r>
    </w:p>
    <w:p>
      <w:pPr>
        <w:spacing w:before="120" w:after="20"/>
      </w:pPr>
      <w:r>
        <w:rPr>
          <w:rFonts w:ascii="Calibri" w:hAnsi="Calibri"/>
          <w:b/>
          <w:color w:val="09090B"/>
          <w:sz w:val="20"/>
        </w:rPr>
        <w:t>Enterprise Network Field Engineer</w:t>
      </w:r>
      <w:r>
        <w:rPr>
          <w:rFonts w:ascii="Calibri" w:hAnsi="Calibri"/>
          <w:color w:val="52525B"/>
          <w:sz w:val="17"/>
        </w:rPr>
        <w:t xml:space="preserve">    (2015 — 2017)</w:t>
      </w:r>
    </w:p>
    <w:p>
      <w:pPr>
        <w:spacing w:before="0" w:after="40"/>
      </w:pPr>
      <w:r>
        <w:rPr>
          <w:rFonts w:ascii="Calibri" w:hAnsi="Calibri"/>
          <w:b/>
          <w:color w:val="3F3F46"/>
          <w:sz w:val="17"/>
        </w:rPr>
        <w:t>Sab'a System Solution (Vendor Partner for Indosat Ooredoo)  •  Greater Jakarta / On-Site</w:t>
      </w:r>
    </w:p>
    <w:p>
      <w:pPr>
        <w:spacing w:before="0" w:after="60"/>
      </w:pPr>
      <w:r>
        <w:rPr>
          <w:rFonts w:ascii="Calibri" w:hAnsi="Calibri"/>
          <w:i/>
          <w:color w:val="52525B"/>
          <w:sz w:val="17"/>
        </w:rPr>
        <w:t>Spearheaded on-site deployment, physical installation, and commissioning of enterprise network infrastructure across corporate client sites for Indosat's B2B enterprise telecommunications division.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Enterprise On-Site Deployment: </w:t>
      </w:r>
      <w:r>
        <w:rPr>
          <w:rFonts w:ascii="Calibri" w:hAnsi="Calibri"/>
          <w:color w:val="27272A"/>
          <w:sz w:val="17"/>
        </w:rPr>
        <w:t>Executed rack-and-stack installations, patch panel cabling, router/switch hardware commissioning, and CPE configuration across enterprise corporate client premises.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Site Survey &amp; Physical Testing: </w:t>
      </w:r>
      <w:r>
        <w:rPr>
          <w:rFonts w:ascii="Calibri" w:hAnsi="Calibri"/>
          <w:color w:val="27272A"/>
          <w:sz w:val="17"/>
        </w:rPr>
        <w:t>Conducted technical site surveys, physical layer loopback testing, signal attenuation verification, and link stability validations for high-bandwidth leased lines and enterprise MPLS WAN connectivity.</w:t>
      </w:r>
    </w:p>
    <w:p>
      <w:pPr>
        <w:spacing w:before="0" w:after="40" w:line="276" w:lineRule="auto"/>
        <w:ind w:left="259"/>
      </w:pPr>
      <w:r>
        <w:rPr>
          <w:rFonts w:ascii="Calibri" w:hAnsi="Calibri"/>
          <w:b/>
          <w:color w:val="09090B"/>
          <w:sz w:val="17"/>
        </w:rPr>
        <w:t xml:space="preserve">•  Cutover &amp; Handover Management: </w:t>
      </w:r>
      <w:r>
        <w:rPr>
          <w:rFonts w:ascii="Calibri" w:hAnsi="Calibri"/>
          <w:color w:val="27272A"/>
          <w:sz w:val="17"/>
        </w:rPr>
        <w:t>Coordinated cutover windows and user acceptance testing (UAT) directly with client IT managers and Indosat network operations, ensuring seamless handovers, zero schedule slippage, and formal acceptance reports (BAST).</w:t>
      </w:r>
    </w:p>
    <w:p>
      <w:pPr>
        <w:spacing w:before="200" w:after="80"/>
        <w:pBdr>
          <w:bottom w:val="single" w:sz="6" w:space="4" w:color="E4E4E7"/>
        </w:pBdr>
      </w:pPr>
      <w:r>
        <w:rPr>
          <w:rFonts w:ascii="Calibri" w:hAnsi="Calibri"/>
          <w:b/>
          <w:color w:val="09090B"/>
          <w:sz w:val="19"/>
        </w:rPr>
        <w:t>SELECTED ENTERPRISE TRACK RECORD</w:t>
      </w:r>
      <w:r>
        <w:rPr>
          <w:rFonts w:ascii="Calibri" w:hAnsi="Calibri"/>
          <w:color w:val="52525B"/>
          <w:sz w:val="16"/>
        </w:rPr>
        <w:t xml:space="preserve">   —   100% Won via Presales &amp; Delivered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59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9090B"/>
                <w:sz w:val="15"/>
              </w:rPr>
              <w:t>CLIENT &amp; PROJECT</w:t>
            </w:r>
          </w:p>
        </w:tc>
        <w:tc>
          <w:tcPr>
            <w:tcW w:type="dxa" w:w="3168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9090B"/>
                <w:sz w:val="15"/>
              </w:rPr>
              <w:t>PRESALES &amp; ARCHITECTURAL STRATEGY</w:t>
            </w:r>
          </w:p>
        </w:tc>
        <w:tc>
          <w:tcPr>
            <w:tcW w:type="dxa" w:w="432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9090B"/>
                <w:sz w:val="15"/>
              </w:rPr>
              <w:t>OUTCOME &amp; BUSINESS IMPACT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Regional Tech Decacorn Superapp</w:t>
              <w:br/>
              <w:t>Salesforce to JSM Cloud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Led presales discovery against legacy tools; authored SOW with phased sizing; architected Datahub ETL pipelines.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Migrated 345,000+ historical tickets with zero data loss; streamlined 205 legacy forms down to 47 dynamic JSM forms (-75% sprawl).</w:t>
            </w:r>
          </w:p>
        </w:tc>
      </w:tr>
      <w:tr>
        <w:tc>
          <w:tcPr>
            <w:tcW w:type="dxa" w:w="25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Pan-Asian Hyperscale Data Centers</w:t>
              <w:br/>
              <w:t>Mission-Critical ITSM &amp; JSM Assets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Won international tender by defending live CMDB dependency mapping linking EUC/servers/networks to CAB change control.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Automated change collision prevention across 99.999% uptime Tier-3/Tier-4 hyperscale facilities; 100% audit-compliant records.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State-Owned Microfinance BUMN</w:t>
              <w:br/>
              <w:t>ITSM Portal &amp; ScriptRunner PII Engine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Spearheaded technical bid addressing statutory Indonesian UU PDP data privacy laws via automated in-flight PII masking.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100% statutory PII data privacy compliance; resolved nationwide branch SLA bottlenecks and orphaned account sprawl.</w:t>
            </w:r>
          </w:p>
        </w:tc>
      </w:tr>
      <w:tr>
        <w:tc>
          <w:tcPr>
            <w:tcW w:type="dxa" w:w="25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Leading Commercial Bank</w:t>
              <w:br/>
              <w:t>Core Banking ITSM &amp; SAP Integration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Formulated unified architecture consolidating 5 ticketing silos; integrated SAP S/4HANA master data for dynamic CCB approvals.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Unified 5 disparate operational silos into single pane; achieved 100% central banking audit readiness.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Regional Automotive Mobility Giant</w:t>
              <w:br/>
              <w:t>Freshservice &amp; Device42 Hybrid CMDB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Won tech refresh RFP via live proof-of-concept integrating Freshservice Enterprise with on-premise Device42 auto-discovery grid.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7272A"/>
                <w:sz w:val="16"/>
              </w:rPr>
              <w:t>Continuous living CMDB tracking 4,000+ hardware and network nodes; achieved ~35% Tier-1 ticket deflection via Freddy AI.</w:t>
            </w:r>
          </w:p>
        </w:tc>
      </w:tr>
    </w:tbl>
    <w:p>
      <w:pPr>
        <w:spacing w:before="200" w:after="80"/>
        <w:pBdr>
          <w:bottom w:val="single" w:sz="6" w:space="4" w:color="E4E4E7"/>
        </w:pBdr>
      </w:pPr>
      <w:r>
        <w:rPr>
          <w:rFonts w:ascii="Calibri" w:hAnsi="Calibri"/>
          <w:b/>
          <w:color w:val="09090B"/>
          <w:sz w:val="19"/>
        </w:rPr>
        <w:t>CERTIFICATIONS &amp; 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760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9090B"/>
                <w:sz w:val="17"/>
              </w:rPr>
              <w:t>ITIL® 4 Specialist: Create, Deliver and Support (CDS)</w:t>
              <w:br/>
            </w:r>
            <w:r>
              <w:rPr>
                <w:rFonts w:ascii="Calibri" w:hAnsi="Calibri"/>
                <w:color w:val="52525B"/>
                <w:sz w:val="16"/>
              </w:rPr>
              <w:t>PeopleCert / AXELOS — Advanced Value Streams &amp; Service Integration</w:t>
              <w:br/>
              <w:br/>
            </w:r>
            <w:r>
              <w:rPr>
                <w:rFonts w:ascii="Calibri" w:hAnsi="Calibri"/>
                <w:b/>
                <w:color w:val="09090B"/>
                <w:sz w:val="17"/>
              </w:rPr>
              <w:t>ITIL® 4 Foundation in IT Service Management</w:t>
              <w:br/>
            </w:r>
            <w:r>
              <w:rPr>
                <w:rFonts w:ascii="Calibri" w:hAnsi="Calibri"/>
                <w:color w:val="52525B"/>
                <w:sz w:val="16"/>
              </w:rPr>
              <w:t>PeopleCert / AXELOS — Service Value System &amp; 34 Management Practices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9090B"/>
                <w:sz w:val="17"/>
              </w:rPr>
              <w:t>Bachelor of Computer Science (S1 Teknik Informatika)</w:t>
              <w:br/>
            </w:r>
            <w:r>
              <w:rPr>
                <w:rFonts w:ascii="Calibri" w:hAnsi="Calibri"/>
                <w:color w:val="52525B"/>
                <w:sz w:val="16"/>
              </w:rPr>
              <w:t>Universitas Mercu Buana (2016 — 2021)  |  GPA: 3.23 / 4.00</w:t>
              <w:br/>
            </w:r>
            <w:r>
              <w:rPr>
                <w:rFonts w:ascii="Calibri" w:hAnsi="Calibri"/>
                <w:color w:val="52525B"/>
                <w:sz w:val="15"/>
              </w:rPr>
              <w:t>Focus: Software Engineering, Database Systems, Computer Networks &amp; Systems Architecture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