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E26" w:rsidRDefault="002D75DF" w:rsidP="00763E26">
      <w:pPr>
        <w:pStyle w:val="Default"/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>Data Examination</w:t>
      </w:r>
    </w:p>
    <w:p w:rsidR="002D75DF" w:rsidRDefault="002D75DF" w:rsidP="00763E26">
      <w:pPr>
        <w:pStyle w:val="Default"/>
      </w:pPr>
    </w:p>
    <w:p w:rsidR="00763E26" w:rsidRPr="00763E26" w:rsidRDefault="00763E26" w:rsidP="00763E26">
      <w:pPr>
        <w:pStyle w:val="Default"/>
        <w:rPr>
          <w:sz w:val="22"/>
          <w:szCs w:val="22"/>
          <w:lang w:val="en-US"/>
        </w:rPr>
      </w:pPr>
      <w:r w:rsidRPr="00763E26">
        <w:rPr>
          <w:lang w:val="en-US"/>
        </w:rPr>
        <w:t xml:space="preserve"> </w:t>
      </w:r>
      <w:r w:rsidRPr="00763E26">
        <w:rPr>
          <w:b/>
          <w:bCs/>
          <w:sz w:val="22"/>
          <w:szCs w:val="22"/>
          <w:lang w:val="en-US"/>
        </w:rPr>
        <w:t xml:space="preserve">Data Description: </w:t>
      </w:r>
      <w:r w:rsidRPr="00763E26">
        <w:rPr>
          <w:sz w:val="22"/>
          <w:szCs w:val="22"/>
          <w:lang w:val="en-US"/>
        </w:rPr>
        <w:t xml:space="preserve">Employment in various industry segments reported as a percent for thirty European nations. Note that EU stands for European Union, EFTA stands for European Free Trade Association, and Eastern stand for Eastern European nations or the former Eastern </w:t>
      </w:r>
      <w:proofErr w:type="spellStart"/>
      <w:r w:rsidRPr="00763E26">
        <w:rPr>
          <w:sz w:val="22"/>
          <w:szCs w:val="22"/>
          <w:lang w:val="en-US"/>
        </w:rPr>
        <w:t>Block</w:t>
      </w:r>
      <w:proofErr w:type="spellEnd"/>
      <w:r w:rsidRPr="00763E26">
        <w:rPr>
          <w:sz w:val="22"/>
          <w:szCs w:val="22"/>
          <w:lang w:val="en-US"/>
        </w:rPr>
        <w:t xml:space="preserve">. </w:t>
      </w:r>
    </w:p>
    <w:p w:rsidR="00763E26" w:rsidRPr="00763E26" w:rsidRDefault="00763E26" w:rsidP="00763E26">
      <w:pPr>
        <w:pStyle w:val="Default"/>
        <w:rPr>
          <w:sz w:val="22"/>
          <w:szCs w:val="22"/>
          <w:lang w:val="en-US"/>
        </w:rPr>
      </w:pPr>
      <w:r w:rsidRPr="00763E26">
        <w:rPr>
          <w:sz w:val="22"/>
          <w:szCs w:val="22"/>
          <w:lang w:val="en-US"/>
        </w:rPr>
        <w:t xml:space="preserve">For convenience here are the definitions of the abbreviated industries. </w:t>
      </w:r>
    </w:p>
    <w:p w:rsidR="00763E26" w:rsidRPr="00763E26" w:rsidRDefault="00763E26" w:rsidP="00763E26">
      <w:pPr>
        <w:pStyle w:val="Default"/>
        <w:rPr>
          <w:sz w:val="22"/>
          <w:szCs w:val="22"/>
          <w:lang w:val="en-US"/>
        </w:rPr>
      </w:pPr>
      <w:r w:rsidRPr="00763E26">
        <w:rPr>
          <w:sz w:val="22"/>
          <w:szCs w:val="22"/>
          <w:lang w:val="en-US"/>
        </w:rPr>
        <w:t xml:space="preserve">AGR: agriculture </w:t>
      </w:r>
    </w:p>
    <w:p w:rsidR="00763E26" w:rsidRPr="00763E26" w:rsidRDefault="00763E26" w:rsidP="00763E26">
      <w:pPr>
        <w:pStyle w:val="Default"/>
        <w:rPr>
          <w:sz w:val="22"/>
          <w:szCs w:val="22"/>
          <w:lang w:val="en-US"/>
        </w:rPr>
      </w:pPr>
      <w:r w:rsidRPr="00763E26">
        <w:rPr>
          <w:sz w:val="22"/>
          <w:szCs w:val="22"/>
          <w:lang w:val="en-US"/>
        </w:rPr>
        <w:t xml:space="preserve">MIN: mining </w:t>
      </w:r>
    </w:p>
    <w:p w:rsidR="00763E26" w:rsidRPr="00763E26" w:rsidRDefault="00763E26" w:rsidP="00763E26">
      <w:pPr>
        <w:pStyle w:val="Default"/>
        <w:rPr>
          <w:sz w:val="22"/>
          <w:szCs w:val="22"/>
          <w:lang w:val="en-US"/>
        </w:rPr>
      </w:pPr>
      <w:r w:rsidRPr="00763E26">
        <w:rPr>
          <w:sz w:val="22"/>
          <w:szCs w:val="22"/>
          <w:lang w:val="en-US"/>
        </w:rPr>
        <w:t xml:space="preserve">MAN: manufacturing </w:t>
      </w:r>
    </w:p>
    <w:p w:rsidR="00763E26" w:rsidRPr="00763E26" w:rsidRDefault="00763E26" w:rsidP="00763E26">
      <w:pPr>
        <w:pStyle w:val="Default"/>
        <w:rPr>
          <w:sz w:val="22"/>
          <w:szCs w:val="22"/>
          <w:lang w:val="en-US"/>
        </w:rPr>
      </w:pPr>
      <w:r w:rsidRPr="00763E26">
        <w:rPr>
          <w:sz w:val="22"/>
          <w:szCs w:val="22"/>
          <w:lang w:val="en-US"/>
        </w:rPr>
        <w:t xml:space="preserve">PS: power and water supply </w:t>
      </w:r>
    </w:p>
    <w:p w:rsidR="00763E26" w:rsidRPr="00763E26" w:rsidRDefault="00763E26" w:rsidP="00763E26">
      <w:pPr>
        <w:pStyle w:val="Default"/>
        <w:rPr>
          <w:sz w:val="22"/>
          <w:szCs w:val="22"/>
          <w:lang w:val="en-US"/>
        </w:rPr>
      </w:pPr>
      <w:r w:rsidRPr="00763E26">
        <w:rPr>
          <w:sz w:val="22"/>
          <w:szCs w:val="22"/>
          <w:lang w:val="en-US"/>
        </w:rPr>
        <w:t xml:space="preserve">CON: construction </w:t>
      </w:r>
    </w:p>
    <w:p w:rsidR="00763E26" w:rsidRPr="00763E26" w:rsidRDefault="00763E26" w:rsidP="00763E26">
      <w:pPr>
        <w:pStyle w:val="Default"/>
        <w:rPr>
          <w:sz w:val="22"/>
          <w:szCs w:val="22"/>
          <w:lang w:val="en-US"/>
        </w:rPr>
      </w:pPr>
      <w:r w:rsidRPr="00763E26">
        <w:rPr>
          <w:sz w:val="22"/>
          <w:szCs w:val="22"/>
          <w:lang w:val="en-US"/>
        </w:rPr>
        <w:t xml:space="preserve">SER: services </w:t>
      </w:r>
    </w:p>
    <w:p w:rsidR="00763E26" w:rsidRPr="00763E26" w:rsidRDefault="00763E26" w:rsidP="00763E26">
      <w:pPr>
        <w:pStyle w:val="Default"/>
        <w:rPr>
          <w:sz w:val="22"/>
          <w:szCs w:val="22"/>
          <w:lang w:val="en-US"/>
        </w:rPr>
      </w:pPr>
      <w:r w:rsidRPr="00763E26">
        <w:rPr>
          <w:sz w:val="22"/>
          <w:szCs w:val="22"/>
          <w:lang w:val="en-US"/>
        </w:rPr>
        <w:t xml:space="preserve">FIN: finance </w:t>
      </w:r>
    </w:p>
    <w:p w:rsidR="00763E26" w:rsidRPr="00763E26" w:rsidRDefault="00763E26" w:rsidP="00763E26">
      <w:pPr>
        <w:pStyle w:val="Default"/>
        <w:rPr>
          <w:sz w:val="22"/>
          <w:szCs w:val="22"/>
          <w:lang w:val="en-US"/>
        </w:rPr>
      </w:pPr>
      <w:r w:rsidRPr="00763E26">
        <w:rPr>
          <w:sz w:val="22"/>
          <w:szCs w:val="22"/>
          <w:lang w:val="en-US"/>
        </w:rPr>
        <w:t xml:space="preserve">SPS: social and personal services </w:t>
      </w:r>
    </w:p>
    <w:p w:rsidR="007C673B" w:rsidRDefault="00763E26" w:rsidP="00763E26">
      <w:r>
        <w:t xml:space="preserve">TC: transport and </w:t>
      </w:r>
      <w:proofErr w:type="spellStart"/>
      <w:r>
        <w:t>communications</w:t>
      </w:r>
      <w:proofErr w:type="spellEnd"/>
    </w:p>
    <w:p w:rsidR="00763E26" w:rsidRPr="002D75DF" w:rsidRDefault="002D75DF" w:rsidP="00763E26">
      <w:pPr>
        <w:rPr>
          <w:lang w:val="en-US"/>
        </w:rPr>
      </w:pPr>
      <w:r w:rsidRPr="002D75DF">
        <w:rPr>
          <w:lang w:val="en-US"/>
        </w:rPr>
        <w:t xml:space="preserve">Let’s have a look at some basic </w:t>
      </w:r>
      <w:proofErr w:type="spellStart"/>
      <w:r w:rsidRPr="002D75DF">
        <w:rPr>
          <w:lang w:val="en-US"/>
        </w:rPr>
        <w:t>statistcs</w:t>
      </w:r>
      <w:proofErr w:type="spellEnd"/>
      <w:r w:rsidRPr="002D75DF">
        <w:rPr>
          <w:lang w:val="en-US"/>
        </w:rPr>
        <w:t>.</w:t>
      </w:r>
    </w:p>
    <w:p w:rsidR="00763E26" w:rsidRDefault="00763E26" w:rsidP="00763E26">
      <w:r>
        <w:rPr>
          <w:noProof/>
          <w:lang w:eastAsia="sv-SE"/>
        </w:rPr>
        <w:drawing>
          <wp:inline distT="0" distB="0" distL="0" distR="0" wp14:anchorId="39FBD54E" wp14:editId="7439D134">
            <wp:extent cx="3177540" cy="1851660"/>
            <wp:effectExtent l="0" t="0" r="381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26" w:rsidRPr="00763E26" w:rsidRDefault="00763E26" w:rsidP="00763E2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763E26">
        <w:rPr>
          <w:rFonts w:ascii="LMRoman10-Regular" w:hAnsi="LMRoman10-Regular" w:cs="LMRoman10-Regular"/>
          <w:sz w:val="20"/>
          <w:szCs w:val="20"/>
          <w:lang w:val="en-US"/>
        </w:rPr>
        <w:t>The strongest co</w:t>
      </w:r>
      <w:r w:rsidR="002D75DF">
        <w:rPr>
          <w:rFonts w:ascii="LMRoman10-Regular" w:hAnsi="LMRoman10-Regular" w:cs="LMRoman10-Regular"/>
          <w:sz w:val="20"/>
          <w:szCs w:val="20"/>
          <w:lang w:val="en-US"/>
        </w:rPr>
        <w:t xml:space="preserve">rrelation, with a statistically </w:t>
      </w:r>
      <w:r w:rsidRPr="00763E26">
        <w:rPr>
          <w:rFonts w:ascii="LMRoman10-Regular" w:hAnsi="LMRoman10-Regular" w:cs="LMRoman10-Regular"/>
          <w:sz w:val="20"/>
          <w:szCs w:val="20"/>
          <w:lang w:val="en-US"/>
        </w:rPr>
        <w:t>significant test, was between AGR and SPS. The correlation being 0</w:t>
      </w:r>
      <w:r w:rsidRPr="00763E26">
        <w:rPr>
          <w:rFonts w:ascii="LMMathItalic10-Regular" w:hAnsi="LMMathItalic10-Regular" w:cs="LMMathItalic10-Regular"/>
          <w:i/>
          <w:iCs/>
          <w:sz w:val="20"/>
          <w:szCs w:val="20"/>
          <w:lang w:val="en-US"/>
        </w:rPr>
        <w:t>.</w:t>
      </w:r>
      <w:r w:rsidRPr="00763E26">
        <w:rPr>
          <w:rFonts w:ascii="LMRoman10-Regular" w:hAnsi="LMRoman10-Regular" w:cs="LMRoman10-Regular"/>
          <w:sz w:val="20"/>
          <w:szCs w:val="20"/>
          <w:lang w:val="en-US"/>
        </w:rPr>
        <w:t xml:space="preserve">81148 with a probability </w:t>
      </w:r>
      <w:r w:rsidRPr="00763E26">
        <w:rPr>
          <w:rFonts w:ascii="LMMathItalic10-Regular" w:hAnsi="LMMathItalic10-Regular" w:cs="LMMathItalic10-Regular"/>
          <w:i/>
          <w:iCs/>
          <w:sz w:val="20"/>
          <w:szCs w:val="20"/>
          <w:lang w:val="en-US"/>
        </w:rPr>
        <w:t xml:space="preserve">&gt; </w:t>
      </w:r>
      <w:r w:rsidRPr="00763E26">
        <w:rPr>
          <w:rFonts w:ascii="LMMathSymbols10-Regular" w:hAnsi="LMMathSymbols10-Regular" w:cs="LMMathSymbols10-Regular"/>
          <w:sz w:val="20"/>
          <w:szCs w:val="20"/>
          <w:lang w:val="en-US"/>
        </w:rPr>
        <w:t>|</w:t>
      </w:r>
      <w:r w:rsidRPr="00763E26">
        <w:rPr>
          <w:rFonts w:ascii="LMMathItalic10-Regular" w:hAnsi="LMMathItalic10-Regular" w:cs="LMMathItalic10-Regular"/>
          <w:i/>
          <w:iCs/>
          <w:sz w:val="20"/>
          <w:szCs w:val="20"/>
          <w:lang w:val="en-US"/>
        </w:rPr>
        <w:t>r</w:t>
      </w:r>
      <w:r w:rsidRPr="00763E26">
        <w:rPr>
          <w:rFonts w:ascii="LMMathSymbols10-Regular" w:hAnsi="LMMathSymbols10-Regular" w:cs="LMMathSymbols10-Regular"/>
          <w:sz w:val="20"/>
          <w:szCs w:val="20"/>
          <w:lang w:val="en-US"/>
        </w:rPr>
        <w:t xml:space="preserve">| </w:t>
      </w:r>
      <w:r w:rsidRPr="00763E26">
        <w:rPr>
          <w:rFonts w:ascii="LMRoman10-Regular" w:hAnsi="LMRoman10-Regular" w:cs="LMRoman10-Regular"/>
          <w:sz w:val="20"/>
          <w:szCs w:val="20"/>
          <w:lang w:val="en-US"/>
        </w:rPr>
        <w:t>under</w:t>
      </w:r>
    </w:p>
    <w:p w:rsidR="002D75DF" w:rsidRDefault="00763E26" w:rsidP="00763E26">
      <w:pPr>
        <w:rPr>
          <w:rFonts w:ascii="LMRoman10-Regular" w:hAnsi="LMRoman10-Regular" w:cs="LMRoman10-Regular"/>
          <w:sz w:val="20"/>
          <w:szCs w:val="20"/>
          <w:lang w:val="en-US"/>
        </w:rPr>
      </w:pPr>
      <w:proofErr w:type="gramStart"/>
      <w:r w:rsidRPr="00763E26">
        <w:rPr>
          <w:rFonts w:ascii="LMMathItalic10-Regular" w:hAnsi="LMMathItalic10-Regular" w:cs="LMMathItalic10-Regular"/>
          <w:i/>
          <w:iCs/>
          <w:sz w:val="20"/>
          <w:szCs w:val="20"/>
          <w:lang w:val="en-US"/>
        </w:rPr>
        <w:t>H</w:t>
      </w:r>
      <w:r w:rsidRPr="00763E26">
        <w:rPr>
          <w:rFonts w:ascii="LMRoman7-Regular" w:hAnsi="LMRoman7-Regular" w:cs="LMRoman7-Regular"/>
          <w:sz w:val="14"/>
          <w:szCs w:val="14"/>
          <w:lang w:val="en-US"/>
        </w:rPr>
        <w:t xml:space="preserve">0 </w:t>
      </w:r>
      <w:r w:rsidRPr="00763E26">
        <w:rPr>
          <w:rFonts w:ascii="LMRoman10-Regular" w:hAnsi="LMRoman10-Regular" w:cs="LMRoman10-Regular"/>
          <w:sz w:val="20"/>
          <w:szCs w:val="20"/>
          <w:lang w:val="en-US"/>
        </w:rPr>
        <w:t>:</w:t>
      </w:r>
      <w:proofErr w:type="gramEnd"/>
      <w:r w:rsidRPr="00763E26">
        <w:rPr>
          <w:rFonts w:ascii="LMRoman10-Regular" w:hAnsi="LMRoman10-Regular" w:cs="LMRoman10-Regular"/>
          <w:sz w:val="20"/>
          <w:szCs w:val="20"/>
          <w:lang w:val="en-US"/>
        </w:rPr>
        <w:t xml:space="preserve"> </w:t>
      </w:r>
      <w:r w:rsidRPr="00763E26">
        <w:rPr>
          <w:rFonts w:ascii="LMMathItalic10-Regular" w:hAnsi="LMMathItalic10-Regular" w:cs="LMMathItalic10-Regular"/>
          <w:i/>
          <w:iCs/>
          <w:sz w:val="20"/>
          <w:szCs w:val="20"/>
          <w:lang w:val="en-US"/>
        </w:rPr>
        <w:t xml:space="preserve">_ </w:t>
      </w:r>
      <w:r w:rsidRPr="00763E26">
        <w:rPr>
          <w:rFonts w:ascii="LMRoman10-Regular" w:hAnsi="LMRoman10-Regular" w:cs="LMRoman10-Regular"/>
          <w:sz w:val="20"/>
          <w:szCs w:val="20"/>
          <w:lang w:val="en-US"/>
        </w:rPr>
        <w:t xml:space="preserve">= 0 test statistic of </w:t>
      </w:r>
      <w:r w:rsidRPr="00763E26">
        <w:rPr>
          <w:rFonts w:ascii="LMMathItalic10-Regular" w:hAnsi="LMMathItalic10-Regular" w:cs="LMMathItalic10-Regular"/>
          <w:i/>
          <w:iCs/>
          <w:sz w:val="20"/>
          <w:szCs w:val="20"/>
          <w:lang w:val="en-US"/>
        </w:rPr>
        <w:t xml:space="preserve">&lt; </w:t>
      </w:r>
      <w:r w:rsidRPr="00763E26">
        <w:rPr>
          <w:rFonts w:ascii="LMRoman10-Regular" w:hAnsi="LMRoman10-Regular" w:cs="LMRoman10-Regular"/>
          <w:sz w:val="20"/>
          <w:szCs w:val="20"/>
          <w:lang w:val="en-US"/>
        </w:rPr>
        <w:t>0</w:t>
      </w:r>
      <w:r w:rsidRPr="00763E26">
        <w:rPr>
          <w:rFonts w:ascii="LMMathItalic10-Regular" w:hAnsi="LMMathItalic10-Regular" w:cs="LMMathItalic10-Regular"/>
          <w:i/>
          <w:iCs/>
          <w:sz w:val="20"/>
          <w:szCs w:val="20"/>
          <w:lang w:val="en-US"/>
        </w:rPr>
        <w:t>.</w:t>
      </w:r>
      <w:r w:rsidRPr="00763E26">
        <w:rPr>
          <w:rFonts w:ascii="LMRoman10-Regular" w:hAnsi="LMRoman10-Regular" w:cs="LMRoman10-Regular"/>
          <w:sz w:val="20"/>
          <w:szCs w:val="20"/>
          <w:lang w:val="en-US"/>
        </w:rPr>
        <w:t xml:space="preserve">0001. </w:t>
      </w:r>
    </w:p>
    <w:p w:rsidR="00763E26" w:rsidRDefault="00763E26" w:rsidP="00763E26">
      <w:r>
        <w:rPr>
          <w:noProof/>
          <w:lang w:eastAsia="sv-SE"/>
        </w:rPr>
        <w:drawing>
          <wp:inline distT="0" distB="0" distL="0" distR="0" wp14:anchorId="5C6141BF" wp14:editId="793E3528">
            <wp:extent cx="4213860" cy="2720340"/>
            <wp:effectExtent l="0" t="0" r="0" b="381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DF" w:rsidRPr="00763E26" w:rsidRDefault="002D75DF" w:rsidP="002D75DF">
      <w:pPr>
        <w:rPr>
          <w:lang w:val="en-US"/>
        </w:rPr>
      </w:pPr>
      <w:r w:rsidRPr="00763E26">
        <w:rPr>
          <w:rFonts w:ascii="LMRoman10-Regular" w:hAnsi="LMRoman10-Regular" w:cs="LMRoman10-Regular"/>
          <w:sz w:val="20"/>
          <w:szCs w:val="20"/>
          <w:lang w:val="en-US"/>
        </w:rPr>
        <w:t>We</w:t>
      </w:r>
      <w:r>
        <w:rPr>
          <w:rFonts w:ascii="LMRoman10-Regular" w:hAnsi="LMRoman10-Regular" w:cs="LMRoman10-Regular"/>
          <w:sz w:val="20"/>
          <w:szCs w:val="20"/>
          <w:lang w:val="en-US"/>
        </w:rPr>
        <w:t>’</w:t>
      </w:r>
      <w:r w:rsidRPr="00763E26">
        <w:rPr>
          <w:rFonts w:ascii="LMRoman10-Regular" w:hAnsi="LMRoman10-Regular" w:cs="LMRoman10-Regular"/>
          <w:sz w:val="20"/>
          <w:szCs w:val="20"/>
          <w:lang w:val="en-US"/>
        </w:rPr>
        <w:t>ll continue to examine this correlation by producing a scatter-plot:</w:t>
      </w:r>
    </w:p>
    <w:p w:rsidR="002D75DF" w:rsidRDefault="002D75DF" w:rsidP="00763E26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18AA2CF6" wp14:editId="2F5A3187">
            <wp:extent cx="5486400" cy="4145280"/>
            <wp:effectExtent l="0" t="0" r="0" b="762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DF" w:rsidRDefault="002D75DF" w:rsidP="00763E26">
      <w:pPr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 xml:space="preserve">Principal Components, </w:t>
      </w:r>
      <w:proofErr w:type="spellStart"/>
      <w:r>
        <w:rPr>
          <w:rFonts w:ascii="LMRoman12-Bold" w:hAnsi="LMRoman12-Bold" w:cs="LMRoman12-Bold"/>
          <w:b/>
          <w:bCs/>
          <w:sz w:val="29"/>
          <w:szCs w:val="29"/>
        </w:rPr>
        <w:t>Dimensionality</w:t>
      </w:r>
      <w:proofErr w:type="spellEnd"/>
      <w:r>
        <w:rPr>
          <w:rFonts w:ascii="LMRoman12-Bold" w:hAnsi="LMRoman12-Bold" w:cs="LMRoman12-Bold"/>
          <w:b/>
          <w:bCs/>
          <w:sz w:val="29"/>
          <w:szCs w:val="29"/>
        </w:rPr>
        <w:t xml:space="preserve"> </w:t>
      </w:r>
      <w:proofErr w:type="spellStart"/>
      <w:r>
        <w:rPr>
          <w:rFonts w:ascii="LMRoman12-Bold" w:hAnsi="LMRoman12-Bold" w:cs="LMRoman12-Bold"/>
          <w:b/>
          <w:bCs/>
          <w:sz w:val="29"/>
          <w:szCs w:val="29"/>
        </w:rPr>
        <w:t>Reduction</w:t>
      </w:r>
      <w:proofErr w:type="spellEnd"/>
    </w:p>
    <w:p w:rsidR="00C71958" w:rsidRDefault="00C71958" w:rsidP="00C7195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C71958">
        <w:rPr>
          <w:rFonts w:ascii="LMRoman10-Regular" w:hAnsi="LMRoman10-Regular" w:cs="LMRoman10-Regular"/>
          <w:sz w:val="20"/>
          <w:szCs w:val="20"/>
          <w:lang w:val="en-US"/>
        </w:rPr>
        <w:t xml:space="preserve">As we have nine variables within the data set, we’ll use PCA as a dimensionality reduction method. </w:t>
      </w:r>
      <w:proofErr w:type="spellStart"/>
      <w:r w:rsidRPr="00C71958">
        <w:rPr>
          <w:rFonts w:ascii="LMRoman10-Regular" w:hAnsi="LMRoman10-Regular" w:cs="LMRoman10-Regular"/>
          <w:sz w:val="20"/>
          <w:szCs w:val="20"/>
          <w:lang w:val="en-US"/>
        </w:rPr>
        <w:t>We’</w:t>
      </w:r>
      <w:r>
        <w:rPr>
          <w:rFonts w:ascii="LMRoman10-Regular" w:hAnsi="LMRoman10-Regular" w:cs="LMRoman10-Regular"/>
          <w:sz w:val="20"/>
          <w:szCs w:val="20"/>
          <w:lang w:val="en-US"/>
        </w:rPr>
        <w:t>ll</w:t>
      </w:r>
      <w:r w:rsidRPr="00C71958">
        <w:rPr>
          <w:rFonts w:ascii="LMRoman10-Regular" w:hAnsi="LMRoman10-Regular" w:cs="LMRoman10-Regular"/>
          <w:sz w:val="20"/>
          <w:szCs w:val="20"/>
          <w:lang w:val="en-US"/>
        </w:rPr>
        <w:t>use</w:t>
      </w:r>
      <w:proofErr w:type="spellEnd"/>
      <w:r w:rsidRPr="00C71958">
        <w:rPr>
          <w:rFonts w:ascii="LMRoman10-Regular" w:hAnsi="LMRoman10-Regular" w:cs="LMRoman10-Regular"/>
          <w:sz w:val="20"/>
          <w:szCs w:val="20"/>
          <w:lang w:val="en-US"/>
        </w:rPr>
        <w:t xml:space="preserve"> the variability </w:t>
      </w:r>
      <w:proofErr w:type="gramStart"/>
      <w:r w:rsidRPr="00C71958">
        <w:rPr>
          <w:rFonts w:ascii="LMRoman10-Regular" w:hAnsi="LMRoman10-Regular" w:cs="LMRoman10-Regular"/>
          <w:sz w:val="20"/>
          <w:szCs w:val="20"/>
          <w:lang w:val="en-US"/>
        </w:rPr>
        <w:t>table,</w:t>
      </w:r>
      <w:proofErr w:type="gramEnd"/>
      <w:r w:rsidRPr="00C71958">
        <w:rPr>
          <w:rFonts w:ascii="LMRoman10-Regular" w:hAnsi="LMRoman10-Regular" w:cs="LMRoman10-Regular"/>
          <w:sz w:val="20"/>
          <w:szCs w:val="20"/>
          <w:lang w:val="en-US"/>
        </w:rPr>
        <w:t xml:space="preserve"> or scree plot to examine how many components we re</w:t>
      </w:r>
      <w:r>
        <w:rPr>
          <w:rFonts w:ascii="LMRoman10-Regular" w:hAnsi="LMRoman10-Regular" w:cs="LMRoman10-Regular"/>
          <w:sz w:val="20"/>
          <w:szCs w:val="20"/>
          <w:lang w:val="en-US"/>
        </w:rPr>
        <w:t xml:space="preserve">quire to account for 90% of the </w:t>
      </w:r>
      <w:r w:rsidRPr="00C71958">
        <w:rPr>
          <w:rFonts w:ascii="LMRoman10-Regular" w:hAnsi="LMRoman10-Regular" w:cs="LMRoman10-Regular"/>
          <w:sz w:val="20"/>
          <w:szCs w:val="20"/>
          <w:lang w:val="en-US"/>
        </w:rPr>
        <w:t>data variability.</w:t>
      </w:r>
    </w:p>
    <w:p w:rsidR="00C71958" w:rsidRPr="00C71958" w:rsidRDefault="00C71958" w:rsidP="00C7195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2D75DF" w:rsidRDefault="00C71958" w:rsidP="00763E26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0D5D9F07" wp14:editId="35D05B3E">
            <wp:extent cx="2484120" cy="1691640"/>
            <wp:effectExtent l="0" t="0" r="0" b="381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DF" w:rsidRDefault="002D75DF" w:rsidP="00763E26">
      <w:pPr>
        <w:rPr>
          <w:lang w:val="en-US"/>
        </w:rPr>
      </w:pPr>
    </w:p>
    <w:p w:rsidR="002D75DF" w:rsidRDefault="002D75DF" w:rsidP="00763E26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267C40AD" wp14:editId="6B166F20">
            <wp:extent cx="4358640" cy="1722120"/>
            <wp:effectExtent l="0" t="0" r="381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DF" w:rsidRDefault="00C71958" w:rsidP="00763E26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1966521" wp14:editId="67886164">
            <wp:extent cx="4122420" cy="4145280"/>
            <wp:effectExtent l="0" t="0" r="0" b="762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58" w:rsidRDefault="00C71958" w:rsidP="00763E26">
      <w:pPr>
        <w:rPr>
          <w:lang w:val="en-US"/>
        </w:rPr>
      </w:pPr>
    </w:p>
    <w:p w:rsidR="00C71958" w:rsidRDefault="00C71958" w:rsidP="00763E26">
      <w:pPr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 xml:space="preserve">Cluster </w:t>
      </w:r>
      <w:proofErr w:type="spellStart"/>
      <w:r>
        <w:rPr>
          <w:rFonts w:ascii="LMRoman12-Bold" w:hAnsi="LMRoman12-Bold" w:cs="LMRoman12-Bold"/>
          <w:b/>
          <w:bCs/>
          <w:sz w:val="29"/>
          <w:szCs w:val="29"/>
        </w:rPr>
        <w:t>Analysis</w:t>
      </w:r>
      <w:proofErr w:type="spellEnd"/>
    </w:p>
    <w:p w:rsidR="00C71958" w:rsidRPr="002D75DF" w:rsidRDefault="00C71958" w:rsidP="00763E26">
      <w:pPr>
        <w:rPr>
          <w:lang w:val="en-US"/>
        </w:rPr>
      </w:pPr>
      <w:bookmarkStart w:id="0" w:name="_GoBack"/>
      <w:bookmarkEnd w:id="0"/>
    </w:p>
    <w:sectPr w:rsidR="00C71958" w:rsidRPr="002D7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26"/>
    <w:rsid w:val="000249FE"/>
    <w:rsid w:val="00066415"/>
    <w:rsid w:val="000B2A7B"/>
    <w:rsid w:val="000C7F64"/>
    <w:rsid w:val="000D1C2E"/>
    <w:rsid w:val="000E6A1E"/>
    <w:rsid w:val="000F4AF4"/>
    <w:rsid w:val="00103D51"/>
    <w:rsid w:val="0010405D"/>
    <w:rsid w:val="00104B0F"/>
    <w:rsid w:val="00113D92"/>
    <w:rsid w:val="00116D4E"/>
    <w:rsid w:val="00133A85"/>
    <w:rsid w:val="00144767"/>
    <w:rsid w:val="00144F53"/>
    <w:rsid w:val="00181158"/>
    <w:rsid w:val="00185B06"/>
    <w:rsid w:val="001B1A2D"/>
    <w:rsid w:val="001C5760"/>
    <w:rsid w:val="0020044B"/>
    <w:rsid w:val="0022659F"/>
    <w:rsid w:val="002307FA"/>
    <w:rsid w:val="00291C52"/>
    <w:rsid w:val="002D1B7B"/>
    <w:rsid w:val="002D75DF"/>
    <w:rsid w:val="002E2990"/>
    <w:rsid w:val="002F6F88"/>
    <w:rsid w:val="00361E2F"/>
    <w:rsid w:val="00372BB7"/>
    <w:rsid w:val="003773EC"/>
    <w:rsid w:val="00386D0A"/>
    <w:rsid w:val="003A2899"/>
    <w:rsid w:val="003A413C"/>
    <w:rsid w:val="003C796C"/>
    <w:rsid w:val="004319AE"/>
    <w:rsid w:val="00436398"/>
    <w:rsid w:val="00437D06"/>
    <w:rsid w:val="00443E6D"/>
    <w:rsid w:val="0047398D"/>
    <w:rsid w:val="004B77E0"/>
    <w:rsid w:val="00517351"/>
    <w:rsid w:val="0052275F"/>
    <w:rsid w:val="00527807"/>
    <w:rsid w:val="005434FC"/>
    <w:rsid w:val="00585DE9"/>
    <w:rsid w:val="00586C65"/>
    <w:rsid w:val="00596CDB"/>
    <w:rsid w:val="005A0B99"/>
    <w:rsid w:val="005A6E8C"/>
    <w:rsid w:val="005C4264"/>
    <w:rsid w:val="005D3100"/>
    <w:rsid w:val="005F2698"/>
    <w:rsid w:val="00601CEE"/>
    <w:rsid w:val="006031B5"/>
    <w:rsid w:val="00603328"/>
    <w:rsid w:val="00617405"/>
    <w:rsid w:val="0062783C"/>
    <w:rsid w:val="00674F27"/>
    <w:rsid w:val="00696632"/>
    <w:rsid w:val="006A72F0"/>
    <w:rsid w:val="006C3F08"/>
    <w:rsid w:val="006D0D09"/>
    <w:rsid w:val="00715EF9"/>
    <w:rsid w:val="007217F8"/>
    <w:rsid w:val="00726B1C"/>
    <w:rsid w:val="00742CFB"/>
    <w:rsid w:val="00743D8B"/>
    <w:rsid w:val="00763E26"/>
    <w:rsid w:val="00773153"/>
    <w:rsid w:val="00781F8C"/>
    <w:rsid w:val="00792AA4"/>
    <w:rsid w:val="007A6747"/>
    <w:rsid w:val="007C34AC"/>
    <w:rsid w:val="007C673B"/>
    <w:rsid w:val="007E0764"/>
    <w:rsid w:val="008241E2"/>
    <w:rsid w:val="008249F0"/>
    <w:rsid w:val="00827B21"/>
    <w:rsid w:val="008528D3"/>
    <w:rsid w:val="00885833"/>
    <w:rsid w:val="008957BA"/>
    <w:rsid w:val="008C7103"/>
    <w:rsid w:val="008E2355"/>
    <w:rsid w:val="008E68BE"/>
    <w:rsid w:val="00906DF4"/>
    <w:rsid w:val="009114A3"/>
    <w:rsid w:val="009270D4"/>
    <w:rsid w:val="00941C18"/>
    <w:rsid w:val="00992EDE"/>
    <w:rsid w:val="009A1B8C"/>
    <w:rsid w:val="009D01B4"/>
    <w:rsid w:val="009D024A"/>
    <w:rsid w:val="009D0D40"/>
    <w:rsid w:val="00A11B39"/>
    <w:rsid w:val="00A133CA"/>
    <w:rsid w:val="00A153C8"/>
    <w:rsid w:val="00A33D92"/>
    <w:rsid w:val="00A94AD0"/>
    <w:rsid w:val="00AB4727"/>
    <w:rsid w:val="00AE077F"/>
    <w:rsid w:val="00B22B5E"/>
    <w:rsid w:val="00B27938"/>
    <w:rsid w:val="00B3712E"/>
    <w:rsid w:val="00B42ECE"/>
    <w:rsid w:val="00B50126"/>
    <w:rsid w:val="00B56E70"/>
    <w:rsid w:val="00BA0A79"/>
    <w:rsid w:val="00BB79BB"/>
    <w:rsid w:val="00C06AF4"/>
    <w:rsid w:val="00C234D2"/>
    <w:rsid w:val="00C32573"/>
    <w:rsid w:val="00C35FB9"/>
    <w:rsid w:val="00C50BFF"/>
    <w:rsid w:val="00C71958"/>
    <w:rsid w:val="00C856F7"/>
    <w:rsid w:val="00C96F58"/>
    <w:rsid w:val="00CA27B9"/>
    <w:rsid w:val="00CA5A4C"/>
    <w:rsid w:val="00CB1BEA"/>
    <w:rsid w:val="00CD0880"/>
    <w:rsid w:val="00CD2018"/>
    <w:rsid w:val="00CD2117"/>
    <w:rsid w:val="00CD4C11"/>
    <w:rsid w:val="00CE168E"/>
    <w:rsid w:val="00D048E6"/>
    <w:rsid w:val="00D12494"/>
    <w:rsid w:val="00D20662"/>
    <w:rsid w:val="00D24738"/>
    <w:rsid w:val="00D6010A"/>
    <w:rsid w:val="00D90C8D"/>
    <w:rsid w:val="00D965AF"/>
    <w:rsid w:val="00DC08F2"/>
    <w:rsid w:val="00DD2D35"/>
    <w:rsid w:val="00E00F1A"/>
    <w:rsid w:val="00E06A42"/>
    <w:rsid w:val="00E10C0F"/>
    <w:rsid w:val="00E21A0F"/>
    <w:rsid w:val="00E31849"/>
    <w:rsid w:val="00E43BDC"/>
    <w:rsid w:val="00E514CA"/>
    <w:rsid w:val="00E713F5"/>
    <w:rsid w:val="00E87405"/>
    <w:rsid w:val="00EF2983"/>
    <w:rsid w:val="00EF366F"/>
    <w:rsid w:val="00F00CD1"/>
    <w:rsid w:val="00F01323"/>
    <w:rsid w:val="00F06D0F"/>
    <w:rsid w:val="00F50A01"/>
    <w:rsid w:val="00F63A20"/>
    <w:rsid w:val="00FC7806"/>
    <w:rsid w:val="00FF03C8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763E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63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63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763E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63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63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3</Pages>
  <Words>187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afuyo</dc:creator>
  <cp:lastModifiedBy>afuyo</cp:lastModifiedBy>
  <cp:revision>1</cp:revision>
  <dcterms:created xsi:type="dcterms:W3CDTF">2017-02-26T19:36:00Z</dcterms:created>
  <dcterms:modified xsi:type="dcterms:W3CDTF">2017-03-07T10:42:00Z</dcterms:modified>
</cp:coreProperties>
</file>