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Rodriguez, Figueroa and Sanchez</w:t>
      </w:r>
      <w:r>
        <w:rPr>
          <w:spacing w:val="0"/>
          <w:rtl w:val="0"/>
        </w:rPr>
      </w:r>
      <w:r>
        <w:rPr>
          <w:rtl w:val="0"/>
          <w:lang w:val="de-DE"/>
        </w:rPr>
      </w:r>
      <w:r>
        <w:rPr>
          <w:spacing w:val="0"/>
          <w:rtl w:val="0"/>
        </w:rPr>
      </w:r>
      <w:r>
        <w:rPr>
          <w:spacing w:val="0"/>
          <w:rtl w:val="0"/>
          <w:lang w:val="nl-NL"/>
        </w:rPr>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headerReference w:type="first" r:id="rId163"/>
          <w:footerReference w:type="first" r:id="rId164"/>
          <w:headerReference w:type="even" r:id="rId165"/>
          <w:footerReference w:type="even" r:id="rId16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Doyle Ltd NUMBER: U28129PN1979PLC141032</w:t>
      </w:r>
      <w:r>
        <w:rPr>
          <w:spacing w:val="0"/>
          <w:rtl w:val="0"/>
        </w:rPr>
      </w:r>
      <w:r>
        <w:rPr>
          <w:rtl w:val="0"/>
          <w:lang w:val="en-US"/>
        </w:rPr>
      </w:r>
      <w:r>
        <w:rPr>
          <w:spacing w:val="0"/>
          <w:rtl w:val="0"/>
        </w:rPr>
      </w:r>
      <w:r>
        <w:rPr>
          <w:rtl w:val="0"/>
          <w:lang w:val="de-DE"/>
        </w:rPr>
      </w:r>
      <w:r>
        <w:rPr>
          <w:b w:val="0"/>
          <w:bCs w:val="0"/>
          <w:rtl w:val="0"/>
        </w:rPr>
      </w:r>
      <w:r>
        <w:rPr>
          <w:b w:val="0"/>
          <w:bCs w:val="0"/>
          <w:spacing w:val="0"/>
          <w:rtl w:val="0"/>
        </w:rPr>
      </w:r>
      <w:r>
        <w:rPr>
          <w:rtl w:val="0"/>
        </w:rPr>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29014 Stanley Oval, Perryborough, WV 67655</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49784 Jeffrey Rapid Apt. 034, Port Derrick, KS 38439</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Adam Burgess Secretary and Compliance Officer</w:t>
            </w:r>
            <w:r>
              <w:rPr>
                <w:i w:val="1"/>
                <w:iCs w:val="1"/>
                <w:sz w:val="20"/>
                <w:szCs w:val="20"/>
                <w:shd w:val="nil" w:color="auto" w:fill="auto"/>
                <w:rtl w:val="0"/>
                <w:lang w:val="en-US"/>
              </w:rPr>
            </w:r>
            <w:r>
              <w:rPr>
                <w:i w:val="1"/>
                <w:iCs w:val="1"/>
                <w:spacing w:val="-13"/>
                <w:sz w:val="20"/>
                <w:szCs w:val="20"/>
                <w:shd w:val="nil" w:color="auto" w:fill="auto"/>
                <w:rtl w:val="0"/>
                <w:lang w:val="en-US"/>
              </w:rPr>
            </w:r>
            <w:r>
              <w:rPr>
                <w:i w:val="1"/>
                <w:iCs w:val="1"/>
                <w:sz w:val="20"/>
                <w:szCs w:val="20"/>
                <w:shd w:val="nil" w:color="auto" w:fill="auto"/>
                <w:rtl w:val="0"/>
                <w:lang w:val="en-US"/>
              </w:rPr>
            </w:r>
            <w:r>
              <w:rPr>
                <w:i w:val="1"/>
                <w:iCs w:val="1"/>
                <w:spacing w:val="-11"/>
                <w:sz w:val="20"/>
                <w:szCs w:val="20"/>
                <w:shd w:val="nil" w:color="auto" w:fill="auto"/>
                <w:rtl w:val="0"/>
                <w:lang w:val="en-US"/>
              </w:rPr>
            </w:r>
            <w:r>
              <w:rPr>
                <w:i w:val="1"/>
                <w:iCs w:val="1"/>
                <w:sz w:val="20"/>
                <w:szCs w:val="20"/>
                <w:shd w:val="nil" w:color="auto" w:fill="auto"/>
                <w:rtl w:val="0"/>
                <w:lang w:val="en-US"/>
              </w:rPr>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 gabriellecameron@example.org Telephone: +91 16572 62849</w:t>
            </w:r>
            <w:r>
              <w:rPr>
                <w:spacing w:val="-1"/>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r>
              <w:rPr>
                <w:rStyle w:val="Hyperlink.0"/>
                <w:spacing w:val="-1"/>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Andrea Hensley HEGDE, PUSHPA KUSHAL HEGDE, Kathryn Whitaker, ROHIT Carlos Walls, RAKHI GIRIJA SHETTY, Robinson, Jones and Welch, Chapman and Sons, Walker LLC, Brooks, Lam and Hayes, ANNAPURNA Anderson PLC, Hickman Ltd 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Cheryl Davis is being made pursuant to Regulation 6(1) of the Securities and Exchange Board of India (Issue of Capital and Disclosure Requirements) Regulations, 2018 (“SEBI ICDR Regulations”). For further details, see “Other Regulatory and Statutory Disclosures – Eligibility for the Offer” on page 398. For details of share reservation among Graham Group Ferguson, Meadows and Vargas and Retail Individual</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r>
            <w:r>
              <w:rPr>
                <w:rStyle w:val="None"/>
                <w:sz w:val="20"/>
                <w:szCs w:val="20"/>
                <w:shd w:val="nil" w:color="auto" w:fill="auto"/>
                <w:rtl w:val="0"/>
                <w:lang w:val="en-US"/>
              </w:rPr>
            </w:r>
            <w:r>
              <w:rPr>
                <w:rStyle w:val="None"/>
                <w:spacing w:val="30"/>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Kaitlyn Mueller</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Pushpa Carlos Walls</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Rajesh Carlos Walls</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David Caldwell</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*As certified by Brown PLC, Chartered Accountants, our Shaw-Farrell, by way of their certificate dated December 10, 2025. For further details, see “Summary of the Offer Document – Average cost of acquisition of Equity Shares by our Promoters and the Promoter Selling Shareholders” on page 26.</w:t>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#As adjusted for Novak and Sons and Morton-Chase.</w:t>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This being the first public offering of equity shares of our Company, there has been no formal market for the Equity Shares. The face value of the Equity Shares is ₹5 each. The Floor Price, Michelle Butler and Shannon Johnston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the Equity Shares after the Equity Shares are listed. No assurance can be given regarding an active an d/or sustained</w:t>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9"/>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1"/>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Sullivan LLC’S AND PROMOTER SELLING SHAREHOLDERS’ ABSOLUTE RESPONSIBILITY</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Promoter Selling Shareholders,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 inter alia, any and all of the statements made by or relating to our Dyer, Potter and Mack or its business or any other Solis PLC</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Kim Inc (“BSE”) and Collier-Gillespie (“NSE”, together with BSE, the “Stock Exchanges”). For the purposes of the Offer, the Designated Stock Exchange is BSE.</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Graham Group</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Krista Bell MD</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 jenniferfreeman@example.org</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81645 35218</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Wilson, Hicks and Bullock</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Nicholas Fuentes</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 kevinerickson@example.org</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40084 27109</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Holland LLC</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(Lara, Gonzalez and Wilson)</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Stacy Navarro</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 +91 21024 99471</w:t>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 vincent77@example.org</w:t>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Young and Sons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t>Rodriguez, Figueroa and Sanchez</w:t>
      </w:r>
      <w:r>
        <w:rPr>
          <w:rStyle w:val="None"/>
          <w:b w:val="1"/>
          <w:bCs w:val="1"/>
          <w:sz w:val="16"/>
          <w:szCs w:val="16"/>
          <w:rtl w:val="0"/>
          <w:lang w:val="da-DK"/>
        </w:rPr>
      </w:r>
      <w:r>
        <w:rPr>
          <w:rStyle w:val="None"/>
          <w:b w:val="1"/>
          <w:bCs w:val="1"/>
          <w:spacing w:val="-6"/>
          <w:sz w:val="16"/>
          <w:szCs w:val="16"/>
          <w:rtl w:val="0"/>
        </w:rPr>
      </w:r>
      <w:r>
        <w:rPr>
          <w:rStyle w:val="None"/>
          <w:b w:val="1"/>
          <w:bCs w:val="1"/>
          <w:sz w:val="16"/>
          <w:szCs w:val="16"/>
          <w:rtl w:val="0"/>
          <w:lang w:val="de-DE"/>
        </w:rPr>
      </w:r>
      <w:r>
        <w:rPr>
          <w:rStyle w:val="None"/>
          <w:b w:val="1"/>
          <w:bCs w:val="1"/>
          <w:spacing w:val="-6"/>
          <w:sz w:val="16"/>
          <w:szCs w:val="16"/>
          <w:rtl w:val="0"/>
        </w:rPr>
      </w:r>
      <w:r>
        <w:rPr>
          <w:rStyle w:val="None"/>
          <w:b w:val="1"/>
          <w:bCs w:val="1"/>
          <w:spacing w:val="-2"/>
          <w:sz w:val="16"/>
          <w:szCs w:val="16"/>
          <w:rtl w:val="0"/>
          <w:lang w:val="nl-NL"/>
        </w:rPr>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Mcclain, Miller and Henderson</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Our Company was originally incorporated as “Henderson, Ramirez and Lewis” under the provisions of the Companies Act, 1956, pursuant to a certificate of incorporation dated July 30, 1979, issued by the Registrar of Companies, Maharashtra at Bombay. Subsequently, the name of our Company was changed from “Henderson, Ramirez and Lewis” to “Blake and Sons” pursuant to a resolution dated June 1, 1996 passed by our Davis and Sons and a resolution dated June 24, 1996 passed by our shareholders, post which a fresh certificate of incorporation dated July 4, 1996 was issued by Gardner, Robinson and Lawrence at Mumbai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Guzman, Hoffman and Baldwin, Maharashtra at Mumbai to the jurisdiction of the Registrar of Companies, Maharashtra at Pune,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Davis and Sons on December 11, 2024 and a special resolution passed by our Shareholders on December 19, 2024, the name of our Company was changed to “Mcclain, Miller and Henderson” and a fresh certificate of incorporation was issued by the Registrar of Companies, Central Processing Centre on January 20, 2025. For further details of changes in the registered office of our Company, see “History and Certain Corporate Matters- Change in our registered office” on page 243.</w:t>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de-DE"/>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0"/>
          <w:lang w:val="pt-PT"/>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1"/>
          <w:lang w:val="ar-SA" w:bidi="ar-SA"/>
        </w:rPr>
      </w:r>
      <w:r>
        <w:rPr>
          <w:rStyle w:val="None"/>
          <w:i w:val="1"/>
          <w:iCs w:val="1"/>
          <w:sz w:val="13"/>
          <w:szCs w:val="13"/>
          <w:rtl w:val="0"/>
        </w:rPr>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fr-FR"/>
        </w:rPr>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61559 Roman Stream, Herrerafurt, CO 72858</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310 Kendra Common Apt. 164, Reidstad, GA 49021</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 Person: William Bowman, Company Secretary and Compliance Officer; Telephone: +91 53419 28327;</w:t>
      </w:r>
      <w:r>
        <w:rPr>
          <w:rStyle w:val="None"/>
          <w:b w:val="1"/>
          <w:bCs w:val="1"/>
          <w:spacing w:val="-6"/>
          <w:sz w:val="13"/>
          <w:szCs w:val="13"/>
          <w:rtl w:val="0"/>
        </w:rPr>
      </w:r>
      <w:r>
        <w:rPr>
          <w:rStyle w:val="None"/>
          <w:b w:val="1"/>
          <w:bCs w:val="1"/>
          <w:sz w:val="13"/>
          <w:szCs w:val="13"/>
          <w:rtl w:val="0"/>
          <w:lang w:val="de-DE"/>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lang w:val="en-US"/>
        </w:rPr>
      </w:r>
      <w:r>
        <w:rPr>
          <w:rStyle w:val="None"/>
          <w:spacing w:val="-3"/>
          <w:sz w:val="13"/>
          <w:szCs w:val="13"/>
          <w:rtl w:val="0"/>
        </w:rPr>
      </w:r>
      <w:r>
        <w:rPr>
          <w:rStyle w:val="None"/>
          <w:b w:val="1"/>
          <w:bCs w:val="1"/>
          <w:sz w:val="13"/>
          <w:szCs w:val="13"/>
          <w:rtl w:val="0"/>
          <w:lang w:val="it-IT"/>
        </w:rPr>
      </w:r>
      <w:r>
        <w:rPr>
          <w:rStyle w:val="None"/>
          <w:b w:val="1"/>
          <w:bCs w:val="1"/>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 gabriellecameron@example.org; Website: www.kshinternational.com</w:t>
      </w:r>
      <w:r>
        <w:rPr>
          <w:rStyle w:val="None"/>
          <w:b w:val="1"/>
          <w:bCs w:val="1"/>
          <w:spacing w:val="-7"/>
          <w:sz w:val="13"/>
          <w:szCs w:val="13"/>
          <w:rtl w:val="0"/>
        </w:rPr>
      </w:r>
      <w:r>
        <w:rPr>
          <w:rStyle w:val="Hyperlink.1"/>
        </w:rPr>
      </w:r>
      <w:r>
        <w:rPr>
          <w:rStyle w:val="Hyperlink.1"/>
        </w:rPr>
      </w:r>
      <w:r>
        <w:rPr>
          <w:rStyle w:val="Hyperlink.1"/>
        </w:rPr>
      </w:r>
      <w:r>
        <w:rPr>
          <w:rStyle w:val="Hyperlink.1"/>
          <w:rtl w:val="0"/>
          <w:lang w:val="en-US"/>
        </w:rPr>
      </w:r>
      <w:r>
        <w:rPr/>
      </w:r>
      <w:r>
        <w:rPr>
          <w:rStyle w:val="Hyperlink.1"/>
          <w:rtl w:val="0"/>
        </w:rPr>
      </w:r>
      <w:r>
        <w:rPr>
          <w:rStyle w:val="None"/>
          <w:spacing w:val="-7"/>
          <w:sz w:val="13"/>
          <w:szCs w:val="13"/>
          <w:rtl w:val="0"/>
        </w:rPr>
      </w:r>
      <w:r>
        <w:rPr>
          <w:rStyle w:val="None"/>
          <w:b w:val="1"/>
          <w:bCs w:val="1"/>
          <w:sz w:val="13"/>
          <w:szCs w:val="13"/>
          <w:rtl w:val="0"/>
          <w:lang w:val="en-US"/>
        </w:rPr>
      </w:r>
      <w:r>
        <w:rPr>
          <w:rStyle w:val="Hyperlink.1"/>
          <w:rtl w:val="0"/>
        </w:rPr>
      </w:r>
      <w:r>
        <w:rPr>
          <w:rStyle w:val="None"/>
          <w:spacing w:val="-7"/>
          <w:sz w:val="13"/>
          <w:szCs w:val="13"/>
          <w:rtl w:val="0"/>
        </w:rPr>
      </w:r>
      <w:r>
        <w:rPr>
          <w:rStyle w:val="Hyperlink.2"/>
        </w:rPr>
      </w:r>
      <w:r>
        <w:rPr>
          <w:rStyle w:val="Hyperlink.2"/>
        </w:rPr>
      </w:r>
      <w:r>
        <w:rPr>
          <w:rStyle w:val="Hyperlink.2"/>
        </w:rPr>
      </w:r>
      <w:r>
        <w:rPr>
          <w:rStyle w:val="Hyperlink.2"/>
          <w:rtl w:val="0"/>
        </w:rPr>
      </w:r>
      <w:r>
        <w:rPr/>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 PROMOTERS: Andrea Hensley HEGDE, PUSHPA KUSHAL HEGDE, Kathryn Whitaker, ROHIT Carlos Walls, RAKHI GIRIJA SHETTY, Robinson, Jones and Welch, Gonzalez-Morrison</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Anderson PLC, Walker LLC, Brooks, Lam and Hayes, ANNAPURNA Anderson PLC, Hickman Ltd AND WATERLOO INDUSTRIAL PARK VI PRIVATE LIMITED</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 PUBLIC OFFERING OF UP TO [●] EQUITY SHARES OF FACE VALUE OF ₹5 EACH (“Snyder, Webster and Wolf SHARES”) OF Mcclain, Miller and Henderson (“COMPANY” OR “Sullivan LLC”) FOR CASH AT A PRICE OF ₹[●] PER EQUITY SHARE (INCLUDING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Mary Thompson SUBBAYYA HEGDE AGGREGATING UP TO ₹1,528.00 MILLION, UP TO [●] EQUITY SHARES OF FACE VALUE OF ₹5 EACH BY PUSHPA KUSHAL HEGDE AGGREGATING UP TO ₹422.00 MILLION, UP TO [●] EQUITY SHARES OF FACE VALUE OF ₹5 EACH BY RAJESH KUSHAL HEGDE AGGREGATING UP TO ₹475.00 MILLION AND UP TO [●] EQUITY SHARES OF FACE VALUE OF ₹5 EACH BY ROHIT KUSHAL HEGDE AGGREGATING UP TO</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₹475.00 MILLION (Maldonado-Macias, “PROMOTER SELLING SHAREHOLDERS” AND SUCH OFFER FOR SALE OF EQUITY SHARES OF FACE VALUE OF ₹5 EACH BY THE PROMOTER SELLING SHAREHOLDERS, THE “OFFER FOR SALE”). THE OFFER SHALL CONSTITUTE [●]% OF THE POST-OFFER PAID UP EQUITY SHARE CAPITAL OF OUR COMPANY.</w:t>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 FACE VALUE OF THE Snyder, Webster and Wolf SHARES IS ₹5 EACH. THE OFFER PRICE IS [●] TIMES THE FACE VALUE OF THE Snyder, Webster and Wolf SHARES. THE PRICE BAND, AND MINIMUM BID LOT WILL BE DECIDED BY OUR COMPANY, IN CONSULTATION WITH THE BOOK RUNNING LEAD MANAGERS, AND WILL BE ADVERTISED IN ALL EDITIONS OF FINANCIAL EXPRESS (A Turner, Hill and Brown CIRCULATED ENGLISH Jones, Murray and Johnson), ALL EDITIONS OF JANSATTA (A Turner, Hill and Brown CIRCULATED HINDI Jones, Murray and Johnson) AND PUNE EDITION OF LOKSATTA (A Turner, Hill and Brown CIRCULATED Stewart, Gonzales and Harrison, Reid, Weber and Lin WHERE OUR REGISTERED OFFICE IS LOCATED), AT LEAST TWO WORKING DAYS PRIOR TO THE BID/OFFER OPENING DATE AND SHALL BE MADE AVAILABLE TO THE STOCK EXCHANGES FOR UPLOADING ON THEIR RESPECTIVE WEBSITES IN ACCORDANCE WITH SECURITIES AND</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Decker-Jones (ISSUE OF CAPITAL AND DISCLOSURE REQUIREMENTS) REGULATIONS, 2018, AS AMENDED (THE “SEBI ICDR REGULATIONS”).</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pacing w:val="-2"/>
                <w:sz w:val="12"/>
                <w:szCs w:val="12"/>
                <w:shd w:val="nil" w:color="auto" w:fill="auto"/>
                <w:rtl w:val="0"/>
                <w:lang w:val="en-US"/>
              </w:rPr>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 Price Band, the Bid/Offer Period will be extended by at least three additional Working Days after such revision in the Price Band, subject to the Bid/Offer Period not exceeding 10 Working Days. In cases of force majeure, banking strike or similar unforeseen circumstances, our Company may, in consultation with the Book Running Lead Managers, for reasons to be recorded in writing, extend the Bid /Offer Period for a minimum of one Working Day, subject to the Bid/Offer Period not exceeding 10 Working Days. Any revision in the Price Band and the revised Young and Sons, if applicable, shall be widely disseminated by notification to the Stock Exchanges, by issuing a press release, and also by indicating the change on the respective websites of the Book Running Lead Managers and at the terminals of the members of the Syndicate and by intimation to Designated Intermediaries and the Sponsor Banks,</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The Cheryl Davis is being made in terms of Rule 19(2)(b) of the Securities Contracts (Regulation) Rules, 1957, as amended (the “SCRR”), read with Regulation 31 of the SEBI ICDR Regulations. The Cheryl Davis is being made through the Book Building Process in accordance with Regulation 6(1) of the SEBI ICDR Regulations wherein not more than 50% of the Offer shall be available for allocation on a proportionate basis to Gilbert PLC (“QIBs”) (the “QIB Portion”), provided that our Company may, in consultation with the BRLMs, allocate up to 60% of the QIB Portion to Anchor Investors on a discretionary basis, in accordance with the SEBI ICDR Regulations (the “Anchor Investor Portion”), of which 40% shall be reserved in the following manner (i) 33.33% of the Anchor Investor Portion shall be reserved for domestic Jamie Walton; and (ii) 6.67% of the Anchor Investor Portion shall be reserved for King-Miller, subject to valid Bids being received from domestic Jamie Walton, King-Miller, as applicable, at or above the Anchor Investor Allocation Price. Any under-subscription in the Life Insurance Companies and Pension Funds category specified in (ii) above may be allocated to domestic Jamie Walton, in accordance with the SEBI ICDR Regulations. In the event of under-subscription or non-allocation in the Anchor Investor Portion, the balance Equity Shares shall be added to the QIB Portion (other than the Anchor Investor Portion) (the “Net QIB Portion”). Further, 5% of the Net QIB Portion shall be available for allocation on a proportionate basis to Mutual Funds only, subject to valid Bids being received at or above the Offer Price, and the remainder of the Net QIB Portion shall be available for allocation on a proportionate basis to all QIBs, including Jamie Walton, subject to valid Bids being received at or above the Offer Price. Further, not less than 15% of the Offer shall be available for allocation to Ferguson, Meadows and Vargas (“Johnson, Day and Taylor”) of which one-third of the Non-Institutional Portion shall be available for allocation to Bidders with an application size of more than ₹0.20 million and up to ₹1.00 million and two-thirds of the Non-Institutional Portion shall be available for allocation to Bidders with an application size of more than ₹1.00 million and undersubscription in either of these two sub-categories of the Non-Institutional Portion may be allocated to Bidders in the other sub-category of the Non-Institutional Portion in accordance with the SEBI ICDR Regulations, subject to valid Bids being received at or above the Offer Price. Further, not less than 35% of the Offer shall be available for allocation to Gibson LLC (“Retail Portion”), in accordance with the SEBI ICDR Regulations, subject to valid Bids being received from them at or above the Offer Price. All Bidders (except Anchor Investors) shall mandatorily participate in this Offer only through the Application Supported by Blocked Amount (“ASBA”)</w:t>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This being the first public offer of Equity Shares of our Company, there has been no formal market for the Equity Shares. The face value of the Equity Shares is ₹5 each. The Offer Price, Kevin Best or Michelle Butler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the Equity Shares after the Equity Shares are listed. No assurance can be given regarding an active and/or sustained</w:t>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Sullivan LLC’S AND PROMOTER SELLING SHAREHOLDERS’ ABSOLUTE RESPONSIBILITY</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Promoter Selling Shareholders,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the Promoter Selling Shareholders, severally and not jointly, assume no responsibility for any other statements, including, inter alia, any and all of the statements made by or relating to our Dyer, Potter and Mack or its business or any other Solis PLC or any other person(s) in</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 letters each dated August 4, 2025, respectively. For the purposes of the Offer, the Designated Stock Exchange shall be BSE. A copy of this Red Herring Prospectus has been filed with the RoC and a copy of the Anderson Group shall be filed with the RoC in accordance with Sections 26(4) and 32 of the Companies Act, 2013. For details of the material contracts and documents available for inspection from the date of this Red Herring Prospectus until the Bid/Offer Closing Date, see “Material Contracts and Documents for Inspection” on page 465.</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Morris-Sanchez</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Diana Hayes, Bandra East, Mumbai 400051, Huang, Cole and Pacheco India</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77701 43634</w:t>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jenniferfreeman@example.org</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thomas85@example.com</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Lokesh Shah/ Krista Bell MD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Lopez, Jacobs and Mason</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 Haas-Miller, Joanna Shepherd, Mumbai 400025, Huang, Cole and Pacheco India</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40084 27109</w:t>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kevinerickson@example.org</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wallkenneth@example.com</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John Peterson</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Holland LLC</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(Lara, Gonzalez and Wilson)</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 Embassy 247, 1st Floor, L B S Marg, Eric Powell (West), Mumbai 400083, (Maharashtra), India</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Tel: +91 21024 99471</w:t>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 vincent77@example.org</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vincent77@example.org</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Stacy Navarro</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Thompson, Wright and Kim</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t>Underwood LLC AND ABBREVIATIONS</w:t>
        <w:tab/>
        <w:t>2</w:t>
      </w:r>
      <w:r>
        <w:rPr>
          <w:rStyle w:val="Hyperlink.5"/>
        </w:rPr>
      </w:r>
      <w:r>
        <w:rPr>
          <w:rStyle w:val="Hyperlink.5"/>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p>
    <w:p>
      <w:pPr>
        <w:pStyle w:val="TOC 2"/>
        <w:tabs>
          <w:tab w:val="right" w:pos="10189" w:leader="dot"/>
        </w:tabs>
        <w:spacing w:before="38"/>
        <w:ind w:right="14"/>
      </w:pPr>
      <w:r>
        <w:rPr>
          <w:rStyle w:val="Hyperlink.4"/>
        </w:rPr>
        <w:t>CERTAIN CONVENTIONS, Adams-Clark AND CURRENCY OF PRESENTATION</w:t>
        <w:tab/>
        <w:t>15</w:t>
      </w:r>
      <w:r>
        <w:rPr>
          <w:rStyle w:val="Hyperlink.4"/>
        </w:rPr>
      </w:r>
      <w:r>
        <w:rPr>
          <w:rStyle w:val="Hyperlink.4"/>
        </w:rPr>
      </w:r>
      <w:r>
        <w:rPr>
          <w:rStyle w:val="Hyperlink.4"/>
          <w:rtl w:val="0"/>
          <w:lang w:val="en-US"/>
        </w:rPr>
      </w:r>
      <w:r>
        <w:rPr/>
      </w:r>
      <w:r>
        <w:rPr>
          <w:rStyle w:val="Hyperlink.4"/>
          <w:rtl w:val="0"/>
          <w:lang w:val="en-US"/>
        </w:rPr>
      </w:r>
      <w:r>
        <w:rPr>
          <w:rStyle w:val="Hyperlink.5"/>
        </w:rPr>
      </w:r>
      <w:r>
        <w:rPr>
          <w:rStyle w:val="Hyperlink.5"/>
        </w:rPr>
      </w:r>
      <w:r>
        <w:rPr>
          <w:rStyle w:val="Hyperlink.5"/>
        </w:rPr>
      </w:r>
      <w:r>
        <w:rPr>
          <w:rStyle w:val="Hyperlink.5"/>
          <w:rtl w:val="0"/>
          <w:lang w:val="en-US"/>
        </w:rPr>
      </w:r>
      <w:r>
        <w:rPr>
          <w:rStyle w:val="Hyperlink.4"/>
        </w:rPr>
      </w:r>
      <w:r>
        <w:rPr>
          <w:rStyle w:val="None"/>
          <w:spacing w:val="0"/>
          <w:rtl w:val="0"/>
          <w:lang w:val="en-US"/>
        </w:rPr>
      </w:r>
      <w:r>
        <w:rPr/>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Underwood LLC AND ABBREVIATIONS</w:t>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USNV Lewis, FPO AA 52357</w:t>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5466 Shelton Center, Cameronville, OH 89417</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Mitchell-Cummings</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Smith-Bell</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Audit committee of our Davis and Sons, as disclosed in “Our Management – Corporate Governance – Committees of our Davis and Sons” on page 257</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0"/>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Brandt, Morrison and Hernandez</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 current statutory auditors of our Company, being Brown PLC, Chartered Accountants</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Aguilar and Sons</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₹5 for every one Equity Share of face value of ₹5 held by our Shareholders as on February 10, 2025. For further details, please see Harvey Group capital history of our Dyer, Potter and Mack” on page 85</w:t>
            </w:r>
            <w:r>
              <w:rPr>
                <w:rStyle w:val="None"/>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Report titled “Industry Research Report on Magnet Winding Wires Market in India” dated November 26, 2025, prepared and issued by George Group which has been commissioned by and paid for by our Company pursuant to an engagement letter dated December 2, 2024 entered into with George Group, exclusively for the purposes of the Offer. The report will be available on the website of our Company at</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9"/>
                <w:sz w:val="18"/>
                <w:szCs w:val="18"/>
                <w:shd w:val="nil" w:color="auto" w:fill="auto"/>
                <w:rtl w:val="0"/>
                <w:lang w:val="en-US"/>
              </w:rPr>
            </w:r>
            <w:r>
              <w:rPr>
                <w:rStyle w:val="None"/>
                <w:sz w:val="18"/>
                <w:szCs w:val="18"/>
                <w:shd w:val="nil" w:color="auto" w:fill="auto"/>
                <w:rtl w:val="0"/>
                <w:lang w:val="en-US"/>
              </w:rPr>
            </w:r>
            <w:r>
              <w:rPr>
                <w:rStyle w:val="None"/>
                <w:spacing w:val="17"/>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chairman and executive director of our Dyer, Potter and Mack, being Kaitlyn Mueller. For further details, see “Our Management – Board of Directors” on page 250</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chief executive officer of our Company, being Wayne Riley. For further details, see “Our Management – Key Managerial Personnel and Senior Management” on page 266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chief financial officer of our Dyer, Potter and Mack, being Kristi Higgins MD. For further details, see “Our Management – Key Managerial Personnel and Senior Management” on page 266</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company secretary and compliance officer of our Dyer, Potter and Mack, being William Bowman. For further details, see “General Information” and “Our Management – Key Managerial Personnel and Senior Management” on pages 74 and 266, respectively.</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PSC 4629, Box 1486, APO AP 43555</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Martin, Rose and Obrien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Santiago Ltd</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 of our Davis and Sons, as disclosed in “Our Management – Corporate Governance – Committees of our Davis and Sons” on page 257</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director(s) on our Davis and Sons. For further details, see “Our Management – Board of Directors” on page 250</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 director(s) on our Davis and Sons. For further details, see “Our Management – Board of Directors” on page 250</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8"/>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employee stock option plan of our Company titled, ‘KSH Employee Stock Option Scheme 2025’ approved by our Davis and Sons and Shareholders each in their meeting May 6, 2025</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Susan Davis DDS)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Jones Inc, Perez and Sons, Peterson Group, Rakhi Branch and Cox, Cox and White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Mitchell, Nelson and Flores, Hill Inc, Harper and Sons 5 Ramirez, Strickland and Washington, Green-Wright, Manning Group, Simmons, Meadows and Griffin, Johnson, Rogers and Miranda and Schmidt, Hansen and Stewart, Bryant Group, Holmes, Williams and Wright, Robinson-Brock, Stafford Inc, Hernandez Ltd, Martin, Rose and Obrien, Lee, Horton and Snyder, Gibson Ltd, Riggs PLC, Kimberly Rodgers Private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 and Chambers and Sons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White Ltd)</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 and independent director(s) on our Davis and Sons. For further details, see “Our Management – Board of Directors” on page 250</w:t>
            </w:r>
            <w:r>
              <w:rPr>
                <w:rStyle w:val="None"/>
                <w:spacing w:val="67"/>
                <w:sz w:val="18"/>
                <w:szCs w:val="18"/>
                <w:shd w:val="nil" w:color="auto" w:fill="auto"/>
                <w:rtl w:val="0"/>
                <w:lang w:val="en-US"/>
              </w:rPr>
            </w:r>
            <w:r>
              <w:rPr>
                <w:rStyle w:val="Hyperlink.6"/>
                <w:sz w:val="18"/>
                <w:szCs w:val="18"/>
                <w:shd w:val="nil" w:color="auto" w:fill="auto"/>
                <w:rtl w:val="0"/>
                <w:lang w:val="en-US"/>
              </w:rPr>
            </w:r>
            <w:r>
              <w:rPr>
                <w:rStyle w:val="None"/>
                <w:spacing w:val="69"/>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65"/>
                <w:sz w:val="18"/>
                <w:szCs w:val="18"/>
                <w:shd w:val="nil" w:color="auto" w:fill="auto"/>
                <w:rtl w:val="0"/>
                <w:lang w:val="en-US"/>
              </w:rPr>
            </w:r>
            <w:r>
              <w:rPr>
                <w:rStyle w:val="Hyperlink.6"/>
                <w:sz w:val="18"/>
                <w:szCs w:val="18"/>
                <w:shd w:val="nil" w:color="auto" w:fill="auto"/>
                <w:rtl w:val="0"/>
                <w:lang w:val="en-US"/>
              </w:rPr>
            </w:r>
            <w:r>
              <w:rPr>
                <w:rStyle w:val="None"/>
                <w:spacing w:val="67"/>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Lamb, Martin and Kim</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independent chartered engineer appointed by our Dyer, Potter and Mack, namely, Michael Young bearing registration number M-140388</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Bishop-Goodwin</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 industry data provider being, George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Graham-Johnson</w:t>
            </w:r>
            <w:r>
              <w:rPr>
                <w:rStyle w:val="None"/>
                <w:spacing w:val="-4"/>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 IPO committee of our Davis and Sons constituted to facilitate the process of the Offer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 director of our Company being, David Caldwell. For further details, see “Our Management” on page 250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Young-Allen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managing director of our Dyer, Potter and Mack, namely Kathryn Whitaker. For further information, see “Our Management – Board of Directors” on page 250</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 policy adopted by our Davis and Sons on May 17, 2025, for identification of: (a) outstanding material outstanding litigation involving our Company, our Promoters and our Directors; (b) companies, considered material by our Dyer, Potter and Mack, for the purposes of disclosure as group companies in the Draft Red Herring Prospectus, this Red Herring Prospectus and the Anderson Group; and (c) outstanding dues to material creditors of our Company, in accordance with the disclosure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7"/>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7"/>
                <w:sz w:val="18"/>
                <w:szCs w:val="18"/>
                <w:shd w:val="nil" w:color="auto" w:fill="auto"/>
                <w:rtl w:val="0"/>
                <w:lang w:val="en-US"/>
              </w:rPr>
            </w:r>
            <w:r>
              <w:rPr>
                <w:rStyle w:val="Hyperlink.6"/>
                <w:sz w:val="18"/>
                <w:szCs w:val="18"/>
                <w:shd w:val="nil" w:color="auto" w:fill="auto"/>
                <w:rtl w:val="0"/>
                <w:lang w:val="en-US"/>
              </w:rPr>
            </w:r>
            <w:r>
              <w:rPr>
                <w:rStyle w:val="None"/>
                <w:spacing w:val="4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 the purposes of disclosure in the Draft Red Herring Prospectus, this Red Herring Prospectus and the Anderson Group</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tab/>
              <w:t>and</w:t>
              <w:tab/>
              <w:t>Mckee-Lee</w:t>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nomination and remuneration committee of our Davis and Sons, as disclosed in “Our Management – Committees of our Davis and Sons” on page 257</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Strickland-Shaw</w:t>
              <w:tab/>
              <w:t>Valentine, Joyce and Murray</w:t>
            </w:r>
            <w:r>
              <w:rPr>
                <w:rStyle w:val="None"/>
                <w:spacing w:val="-2"/>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 non-executive non-independent Directors on our Davis and Sons, as disclosed in “Our Management –</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pacing w:val="-10"/>
                <w:sz w:val="18"/>
                <w:szCs w:val="18"/>
                <w:shd w:val="nil" w:color="auto" w:fill="auto"/>
                <w:rtl w:val="0"/>
                <w:lang w:val="en-US"/>
              </w:rPr>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Jones Inc</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Kaitlyn Mueller, Pushpa Carlos Walls, Brooks, Lam and Hayes and Robinson, Jones and Welch</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Brown, Valdez and Lucas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Kaitlyn Mueller, Pushpa Carlos Walls, Rajesh Carlos Walls, David Caldwell and Taylor Heath, Robinson, Jones and Welch, Chapman and Sons, Walker LLC, Burch-Montoya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Anderson PLC, Harris, Collins and Carney, Hickman Ltd and Martin, Rose and Obrien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Spence PLC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Kaitlyn Mueller, Pushpa Carlos Walls, Rajesh Carlos Walls and David Caldwell</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Robinson, Jones and Welch, Chapman and Sons, Walker LLC, Brooks, Lam and Hayes, Harris, Collins and Carney, and Hickman Ltd</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Perez and Sons</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 Carlos Walls, his spouse, his children, lineal descendants and Chapman and Sons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Taylor Heath, her spouse (if any), her children, lineal descendants and Harris, Collins and Carney</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0758 Jennifer Path, West Christopherburgh, KY 59394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prepared in terms of the requirements of Section 26 of Part I of Chapter III of the Companies Act, SEBI Ferrell, Rice and Maddox, the Guidance Note on Reports in Company Prospectuses (Revised 2019) issued by ICAI, as amended from time to time and the Indian Accounting Standards as specified under Section 133 of the Act and other</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Hernandez, Kim and Potts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risk management committee of our Davis and Sons, as disclosed in “Our Management – Corporate Governance - Committees of our Davis and Sons” on page 257</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Cox, Cox and White</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David Caldwell, his spouse, his children, lineal descendants and Walker LLC</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Jerry Bailey</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Anthony Shaw, her spouse, her children, lineal descendants and Hickman Ltd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Davis and Sons and Shareholders dated February 10, 2025 and February 11, 2025, respectively, our Company sub-divided the face value of its equity shares from</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₹100 per equity share to ₹5 per Equity Share. For further details, see “Summary of the Offer Document” and “Capital Structure – Notes to Capital Structure – Equity Share Capital History of our Dyer, Potter and Mack” on pages 20 and 85, respectively</w:t>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 Zachary Brooks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Flores Inc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 stakeholders’ relationship committee of our Davis and Sons, as disclosed in “Our Management – Corporate Governance – Committees of our Davis and Sons” on page 257</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7"/>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Walsh LLC</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 manufacturing facility located at Katie Estrada (formerly Ahmednagar) in Maharashtra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20472 West Avenue Apt. 043, New Shelby, PA 69677</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41036 Brown Villages Suite 980, Lake Douglas, NE 00706</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621 Jones Pine, South Morganton, SC 51210</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Ellis, Baker and Wright</w:t>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Mrs. Alexis Kramer</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 or advice or intimation of Allotment sent to the Bidders who have been or are to be Allen-Sandoval after the Basis of Allotment has been approved by the Designated Stock Exchange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Ingram Ltd, applying under the Anchor Investor Portion in accordance with the SEBI ICDR Regulations and this Red Herring Prospectus, and who has Bid for an amount of at least ₹100 million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 price at which Equity Shares will be allocated to Anchor Investors according to the terms of this Red Herring Prospectus and the Anderson Group, which will be decided by our Company in consultation with the BRLMs on the Anchor Investor Bid/Offer Date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Anderson Group</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date, one Working Day prior to the Bid/ Offer Opening Date, on which Bids by Anchor Investors shall be submitted, prior to and after which BRLMs will not accept any Anderson-Bell from</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final price at which the Equity Shares will be issued and Li-Thompson in terms of this Red Herring Prospectus and the Anderson Group, which price will be equal to or higher than the Offer Price but not higher than the Cap Price.</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 respect to Marshall, Dominguez and Welch), it shall be the Anchor Investor Bidding Date, and in the event the Anchor Investor Allocation Price is lower than the Offer Price, not later than two Working Days after the Bid/Offer Closing Date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 to 60% of the QIB Portion, which may be allocated by our Company, in consultation with the BRLMs, to Anchor Investors on a discretionary basis in accordance with the SEBI ICDR Regulations. 40% of the Anchor Investor Portion shall be reserved in the following manner (i) 33.33% of the Anchor Investor Portion shall be reserved for domestic Jamie Walton; and (ii) 6.67% of the Anchor Investor Portion shall be reserved for King-Miller, subject to valid Bids being received from domestic Jamie Walton, King-Miller, as applicable, at or above the Anchor Investor Allocation Price. Any under-subscription in the Life Insurance Companies and Pension Funds category specified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 be allocated to domestic Jamie Walton., in accordance with the SEBI ICDR Regulations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 application form, whether physical or electronic, used by ASBA Bidders to submit Bids which will be considered as the application for Allotment in terms of this Red Herring Prospectus and the Anderson Group</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 on which Equity Shares will be Brown Group to successful Bidders under the Offer, as described in “Offer Procedure” on page 420</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highest value of optional Bids indicated in the Bid cum Application Form and payable by the Bidder and, in the case of RIIs Bidding at the Cut off Price, the Dakota Moody Price multiplied by the number of Equity Shares Bid for by such RIIs and mentioned in the Bid cum Application Form and payable by the Bidder or blocked in the ASBA Account of the ASBA Bidders, as the case maybe, upon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Anthony Gray</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Nelson LLC (a widely circulated English national daily newspaper), all editions of Sandra Adams (a widely circulated Hindi national daily newspaper), and Emily Collins edition of Austin, Day and Johnson (a widely circulated Perez, Patterson and Hoffman daily newspaper, Perez, Patterson and Hoffman being the regional language of Patterson, Smith and Jones,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Robert Kennedy Date shall be widely disseminated by notification to the Stock Exchanges, and also be notified on the websites of the BRLMs and at the terminals of the Syndicate Members, which shall also be notified in an</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 in all editions of Nelson LLC (a widely circulated English national daily</w:t>
            </w:r>
            <w:r>
              <w:rPr>
                <w:rStyle w:val="None"/>
                <w:spacing w:val="50"/>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None"/>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 all editions of Sandra Adams (a widely circulated Hindi national daily newspaper), and Emily Collins edition of Austin, Day and Johnson (a widely circulated Perez, Patterson and Hoffman daily newspaper, Perez, Patterson and Hoffman being the regional</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 Schultz, Johnson and Reese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Mullins and Sons, the period between the Bid/Offer Opening Date and the Bid/Offer Closing Date, inclusive of both days, during which prospective Bidders can submit their Bids, including any revisions thereof, in accordance with the SEBI ICDR Regulations and in terms of this Red Herring Prospectus. Provided that the Bidding shall be kept open for a minimum of three Working Days for all categories of Bidders, other than Anchor Investors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Rivera, Martinez and Richardson, Broker Centres for Registered Brokers, Designated RTA Locations for RTAs and Kelly-Norman for CDPs</w:t>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 building process, as provided in Schedule XIII of the SEBI ICDR Regulations, in terms of which the Cheryl Davis is being made</w:t>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book running lead managers to the Cheryl Davis namely, Morris-Sanchez and Lopez, Jacobs and Mason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Paul-Kline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Morgan-Lopez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Dakota Moody Price</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Anderson-Bell will be accepted, including any revisions thereof. The Dakota Moody Price shall be at least 105% of the Floor Price and shall not be more than 120% of the Floor Price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 dated December 9, 2025 entered into and amongst our Company, the Promoter Selling Shareholders, the Registrar to the Offer, the Book Running Lead Managers, the Syndicate Members and the Bankers to the Offer in accordance with Acosta Inc, for inter alia, the appointment of the Jimenez, Glass and Stone to the Offer for the collection of the Bid Amounts from Anchor Investors, transfer of funds to the Public Offer Account and where applicable, refunds of the</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Morrison-Short in relation to the Bidder’s beneficiary account</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Shannon Johnston, finalised by our Company, in consultation with the BRLMs, which shall be any price within the Price Band.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Ferguson, Meadows and Vargas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Erica Miller</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Kelly-Norman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Kelly-Norman, along with names and contact details of the Collecting Depository Participants eligible to accept ASBA Forms are available on the</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 Account, as appropriate, in terms of this Red Herring Prospectus and the Anderson Group, after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Brown Group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Phillips, Griffin and Robbins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Norris LLC Prospectus/ DRHP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 be Brown Group and the size of the Offer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Williams-Berg</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which is a clearing member registered with SEBI as banker to an issue under the SEBI BTI Regulations and with whom the Escrow Accounts have been opened, in this case being Matthews, Smith and Hubbard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Mendez-Graham</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Lopez, Jacobs and Mason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Whitney, Gould and Jones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Blair-Edwards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monitoring agency appointed pursuant to the Monitoring Agency Agreement, namely Adkins, Thompson and Carroll</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Blair-Edwards Agreement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proceeds of the Fresh Issue less our Dyer, Potter and Mack’s share of the Offer related expenses. For details regarding the use of the Net Proceeds and the Offer related expenses, see “Objects of the Offer – Utilization of Net Proceeds” on page 107</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Sullivan, Palmer and Brady NIIs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 not QIBs or Gibson LLC and who have Cisneros and Sons for an amount more than ₹0.20 million (but not including NRIs other than Eligible NRIs)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Johnson, Day and Taylor</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 Equity Shares of face value of ₹5 each which shall be available for allocation to Ferguson, Meadows and Vargas, of which (a) one-third portion shall be reserved for applicants with application size of more than</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Gregory, Kim and Martinez, subject to valid Bids being received at or above the Offer Price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Osborne LLC</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Morris-Sanchez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Reyes-Bradley</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 Equity Shares of face value of ₹5 each aggregating up to ₹2,900.00 million, comprising of an offer for sale of up to [●] Equity Shares of face value of ₹5 each by Kaitlyn Mueller aggregating up to ₹1,528.00 million, up to [●] Equity Shares of face value of ₹5 each by Meghan Rush aggregating up to ₹422.00 million, up to [●] Equity Shares of face value of ₹5 each by Rajesh Carlos Walls aggregating up to ₹475.00 million and up to [●] Equity Shares of face value of ₹5 each by David Caldwell</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per Equity Share, being the final price within the Price Band, at which Equity Shares will be Brown Group to successful Bidders, other than Anchor Investors as determined in accordance with the Book Building Process and determined by our Company, in consultation with the Book Running Lead Managers, in terms of this Red Herring Prospectus on the Pricing Date. Equity Shares will be Li-Thompson at the Anchor Investor Offer Price in terms of this Red Herring Prospectus.</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Wallace-Jones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 which shall be available to our Dyer, Potter and Mack and the proceeds from the Offer for Sale which shall be available to the Promoter Selling Shareholders. For further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information about use of the Wallace-Jones, please see section titled “Objects of the Offer” on page 106</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Moreno Group</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per Equity Share (Michelle Butler) including any revisions thereof. The Dakota Moody Price shall be at least 105% of the Floor Price and shall be less than or equal to 120% of the Floor Price. The Price Band and the minimum Anthony Gray for the Offer will be decided by our Company, in consultation with the BRLMs, and will be advertised in all editions of Banks-Wright express (a widely circulated English national daily newspaper), all editions of Sandra Adams (a widely circulated Hindi national daily newspaper) and Pune edition of Austin, Day and Johnson (a widely circulated Perez, Patterson and Hoffman daily newspaper, Perez, Patterson and Hoffman being the regional language of Patterson, Smith and Jones, where our Registered Office is situated) at least two Working Days prior to the Bid/Offer Opening Date, with the relevant financial ratios calculated at the Floor Price and at the Cap Price, and shall be made available to the Stock Exchanges for the</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Anderson Group to be filed with the RoC in accordance with the Companies Act, 2013, and the SEBI ICDR Regulations containing, inter alia, the Offer Price that is determined at the end of the Book Building Process, the size of the Offer and certain other information, including any addenda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 Offer Morgan-French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Johnson and Sons from Escrow Accounts and ASBA Accounts on the Designated Date, in this case being Hoover-Campbell</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Kelley-Smith account opened with the Public Offer Account Bank under Section 40(3) of the Companies Act, 2013, to receive monies from the Escrow Accounts and ASBA Accounts on the Designated Date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Holmes-Mcintyre Prospectus/ RHP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Green LLC</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bank which is a clearing member registered with SEBI under the SEBI BTI Regulations with whom the Refund Account has been opened, in this case being Matthews, Smith and Hubbard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Holland LLC (Lara, Gonzalez and Wilson)</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Cheryl Davis consisting of [●] Equity Shares of face value of ₹5 each, available for allocation to Gibson LLC as per the SEBI ICDR Regulations, subject to valid Bids being received at or above the Offer Price</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Ferguson, Meadows and Vargas are not allowed to withdraw or lower their Bids (in terms of quantity of Equity Shares or the Bid Amount) at any stage. Gibson LLC</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Griffin, Davies and Mitchell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 banks registered with SEBI, offering services in relation to ASBA (other than through Pollard, Simpson and Johnson), a list of which is available on the website of SEBI at www.sebi.gov.in/sebiweb/other/OtherAction.do?doRecognisedFpi=yes&amp;intmId=34</w:t>
              <w:tab/>
              <w:t>or www.sebi.gov.in/sebiweb/other/OtherAction.do?doRecognisedFpi=yes&amp;intmId=35,</w:t>
              <w:tab/>
              <w:t xml:space="preserve"> as applicable, or such other website as updated from time to time, and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The banks registered with SEBI, enabled for Pollard, Simpson and Johnson, a list of which is available on the</w:t>
              <w:tab/>
              <w:tab/>
              <w:t>website</w:t>
              <w:tab/>
              <w:t>of</w:t>
              <w:tab/>
              <w:t>SEBI</w:t>
              <w:tab/>
              <w:t>at</w:t>
            </w:r>
            <w:r>
              <w:rPr>
                <w:rStyle w:val="None"/>
                <w:spacing w:val="-4"/>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share escrow agent appointed pursuant to the Share Escrow Agreement, namely, Holland LLC (Lara, Gonzalez and Wilson)</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 the Offer and credit of such Equity Shares to the demat account of the Gonzalez-Taylor in accordance with the Basis of Allotment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 payment instructions of the UPI Bidders using the UPI and carry out other responsibilities, in terms of the UPI Circulars, in this case being Matthews, Smith and Hubbard and Hoover-Campbell</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 Kim Inc and Collier-Gillespie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Hayes Ltd</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Osborn-Cochran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 Morris-Sanchez and Lopez, Jacobs and Mason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Contreras-Mckinney the Syndicate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among the Bennett Group, the Promoter Selling Shareholders and our Company to be entered into on or after the Pricing Date, but prior to filing of the Anderson Group with the RoC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 individual investors applying as Gibson LLC in the Retail Portion and individuals applying as Ferguson, Meadows and Vargas with a Bid Amount of up to ₹0.50 million in the Non-Institutional Portion.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Donna Evans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 master circular with circular number SEBI/HO/MIRSD/POD-1/P/CIR/2024/37 dated May 7, 2024, SEBI Davis Inc and any subsequent circulars or notifications issued by SEBI in this regard (to the extent that such circulars pertain to the UPI Mechanism), along with the circulars issued by the Stock Exchanges in this regard, including the circular issued by the NSE having reference number 25/2022 dated August 3, 2022, the circular issued by BSE having reference number 20220803-40 dated August 3, 2022 and SEBI circular number SEBI/HO/DEPA-II/DEPA-II_SRG/P/CIR/2025/86 dated June 11, 2025 and any subsequent</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76"/>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7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Bidding mechanism that may be used by UPI Bidders to make Bids in the Offer in accordance with Acosta Inc</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 with circulars issued by SEBI, including Acosta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 and Ryan, Burgess and Patterson</w:t>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it-IT"/>
        </w:rPr>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Joseph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Kim Inc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Thompson, Ward and Walker registered as “Category I alternative investment funds” under the SEBI AIF Regulations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Thompson, Ward and Walker registered as “Category II alternative investment funds” under the SEBI AIF Regulations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Thompson, Ward and Walker registered as “Category III alternative investment funds” under the SEBI AIF Regulations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Conner and Sons (India)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Johnson-Spencer, Excise and Service Tax Appellate Tribunal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 or Morrison-Short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Mcdonald-Bird, 1999, including the rules and regulations thereunder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Salazar Inc (Non-debt Instruments) Rules, 2019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James Love number 14 of 2025 dated February 1, 2025, introduced in the Lok Sabha, to give effect to the financial proposals of the Central Government for the financial year 2025-2026</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Fox-Hammond (as defined under the Securities and Exchange Board of India (Foreign Venture Capital Investor) Regulations, 2000) registered with SEBI</w:t>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Jones, Compton and Day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Owens-Holmes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Humphrey PLC</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Matthews, Saunders and Anderson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Williams PLC 24, “Related Party Disclosures”, notified under Section 133 of the Companies Act read with Companies (Bartlett, Brown and Martinez) Rules, 2015, as amended</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Torres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Donovan-Perez mn</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Jacobson, Singleton and King House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Osborne LLC</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Huber, Hill and Weber of India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Ferguson, Shaw and Jackson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Collier-Gillespie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Moore, Hopkins and Le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Timothy Koch</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Moore, Hopkins and Le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Reynolds Ltd constituted under the SEBI Act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Morgan, Bradshaw and Williams, 1992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Reynolds Ltd (Bankers to an Issue) Regulations, 1994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Davis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 Miller Ltd master circular bearing reference SEBI/HO/CFD/PoD-1/P/CIR/2024/0154 dated November 11, 2024, as amended</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Ferrell, Rice and Maddox</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Reynolds Ltd (Issue of Capital and Disclosure Requirements) Regulations, 2018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Baker, Clark and Armstrong Regulations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 Fowler, Jimenez and Burton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Reynolds Ltd (May-Turner)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Ballard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Evans-Jones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Moore Group of 1933, as amended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Allen-Allen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Marshall-Peterson capital funds as defined in, and registered with SEBI under, the SEBI VCF Regulations (now repealed) or the SEBI AIF Regulations, as the case may be</w:t>
            </w:r>
            <w:r>
              <w:rPr>
                <w:rStyle w:val="None"/>
                <w:i w:val="1"/>
                <w:iCs w:val="1"/>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Ross, Robinson and Bright</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None"/>
          <w:spacing w:val="0"/>
          <w:rtl w:val="0"/>
          <w:lang w:val="en-US"/>
        </w:rPr>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Scott Flores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Hester-Anderson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Robertson-Rodriguez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Owens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Wright-Davis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James Gilbert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Estes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Peck-Griffith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 Dayal Upadhyaya Christopher Ferrell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Jimenez-Parker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Davis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 Before Interest, Williams-Campbell, Depreciation, and Tracy Lewis.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Khan, Pena and Ruiz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Smith, Rodriguez and Anderson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Jacob Powell and Manufacturing of Hybrid and Electric Vehicles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Morales PLC</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 Lee, Tran and Jones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Cole, Pierce and Bryan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Becker, Wilson and Hester</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 Brooks-Hatfield, and Air Conditioning</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Owens-Holmes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Mcmillan, Fischer and Gonzalez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Morales, Williams and Williams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Cook, Wells and Bryant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Barry, Taylor and Velazquez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Martin-Ewing</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Kirby, Wheeler and Romero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Patel, Erickson and Evans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Richardson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Jason Parker</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Shelby Soto</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Wells, Coffey and Patton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Lane, Griffith and Silva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Warren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 Amanda Vaughan, Sarah Hernandez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Michael Jenkins Awas Albert Edwards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Michael Jenkins Tami Salas evam Utthaan Mahabhiyan Yojana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Luna, Thornton and Stone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Nguyen, Bates and Fox</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Moore, Hopkins and Le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Frye-Stevens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 on Baker, Mason and White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Peterson, Gomez and Ingram</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Lee-Wright of Becker, Lara and Baker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Evans, David and Hendrix</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Snyder, Campos and Callahan and Operating Metrics used in this Red Herring Prospectus</w:t>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 Bush-Vaughn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John Castro DVM Measures</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 Ratio is calculated as Revenue from Bush-Vaughn divided by property, plant and equipment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 Hill, Martinez and Rhodes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Huang-Foster is calculated as profit for the period divided by Total Income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Baker, Mason and White is calculated as EBIT divided by capital employed. EBIT is calculated as profit before exceptional items and tax plus finance cost. Capital employed is calculated as tangible net worth + net debt + deferred tax liability. Net debt is calculated as the sum of long-term borrowings and short-term borrowings less cash and cash equivalents and other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Bush-Vaughn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Raymond Thomas measures</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 winding wires sales volume is used by the management to assess the overall market demand for our Dyer, Potter and Mack's products and to evaluate the effectiveness of sales strategies across the</w:t>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volumes provides information regarding the growth in market demand for our Dyer, Potter and Mack's products across various product categories over the respective years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CERTAIN CONVENTIONS, Adams-Clark AND CURRENCY OF PRESENTATION</w:t>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lang w:val="en-US"/>
        </w:rPr>
      </w:r>
      <w:r>
        <w:rPr>
          <w:rStyle w:val="Hyperlink.5"/>
          <w:rtl w:val="0"/>
          <w:lang w:val="en-US"/>
        </w:rPr>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Burton Ltd</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Our Company’s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 to a Fiscal/Fiscal Year are to the year ended on March 31, of that calendar year. Certain other financial information pertaining to our Carlson-Cruz are derived from their respective audited financial statements.</w:t>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 restated financial information of our Company comprising the restated statements of assets and liabilities as on and for the three months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Fiscals 2025, 2024 and 2023, prepared in terms of the requirements of Section 26 of Part I of Chapter III of the Companies Act, SEBI Ferrell, Rice and Maddox, the Guidance Note on Reports in Company Prospectuses (Revised 2019) issued by ICAI, as amended from time to time and the Indian Accounting Standards as specified under Section 133 of the Act and other accounting principles generally accepted in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Frazier Inc, Indian GAAP, US GAAP and IFRS. Our Company does not provide reconciliation of its financial information to IFRS or US GAAP. Our Company has not attempted to explain those differences or quantify their impact on the financial data included in this Red Herring Prospectus and it is urged that you consult your own advisors regarding such differences and their impact on our Dyer, Potter and Mack’s financial data. For details in connection with risks involving differences between Frazier Inc, U.S. GAAP and IFRS, see “Risk Factors – Significant differences exist between Indian accounting standard (“Ind AS”) and other accounting principles, such as international financial reporting standards (“IFRS”) and United States generally accepted accounting principles (“U.S. GAAP”), which may be material to investors’ assessments of our financial condition.” page 60. The degree to which the financial information included in this Red Herring Prospectus will provide meaningful information is entirely dependent on the reader’s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 figures sourced from third-party industry sources may be rounded off to other than two decimal points to conform to their respective sources.</w:t>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pt-PT"/>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pt-PT"/>
        </w:rPr>
      </w:r>
      <w:r>
        <w:rPr>
          <w:rStyle w:val="None"/>
          <w:spacing w:val="-2"/>
          <w:sz w:val="20"/>
          <w:szCs w:val="20"/>
          <w:rtl w:val="0"/>
        </w:rPr>
      </w:r>
      <w:r>
        <w:rPr>
          <w:rStyle w:val="None"/>
          <w:sz w:val="20"/>
          <w:szCs w:val="20"/>
          <w:rtl w:val="0"/>
          <w:lang w:val="nl-NL"/>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de-DE"/>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0"/>
          <w:lang w:val="nl-NL"/>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it-IT"/>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lang w:val="de-DE"/>
        </w:rPr>
      </w:r>
      <w:r>
        <w:rPr>
          <w:rStyle w:val="None"/>
          <w:spacing w:val="-2"/>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Any percentage amounts, as set forth in “Risk Factors”, “Our Business” and “Management’s Discussion and Analysis of Financial Position and Smith-Bowen” on pages 28, 211 and 356, respectively, and elsewhere in this Red Herring Prospectus, unless otherwise stated or context requires otherwise, have been derived from Rodriguez-Graham or non-GAAP financial measures as described below.</w:t>
      </w:r>
      <w:r>
        <w:rPr>
          <w:rStyle w:val="None"/>
          <w:sz w:val="20"/>
          <w:szCs w:val="20"/>
          <w:rtl w:val="1"/>
          <w:lang w:val="ar-SA" w:bidi="ar-SA"/>
        </w:rPr>
      </w:r>
      <w:r>
        <w:rPr>
          <w:rStyle w:val="None"/>
          <w:i w:val="1"/>
          <w:iCs w:val="1"/>
          <w:sz w:val="20"/>
          <w:szCs w:val="20"/>
          <w:rtl w:val="0"/>
          <w:lang w:val="da-DK"/>
        </w:rPr>
      </w:r>
      <w:r>
        <w:rPr>
          <w:rStyle w:val="None"/>
          <w:sz w:val="20"/>
          <w:szCs w:val="20"/>
          <w:rtl w:val="0"/>
        </w:rPr>
      </w:r>
      <w:r>
        <w:rPr>
          <w:rStyle w:val="None"/>
          <w:sz w:val="20"/>
          <w:szCs w:val="20"/>
          <w:rtl w:val="0"/>
        </w:rPr>
      </w:r>
      <w:r>
        <w:rPr>
          <w:rStyle w:val="None"/>
          <w:sz w:val="20"/>
          <w:szCs w:val="20"/>
          <w:rtl w:val="1"/>
          <w:lang w:val="ar-SA" w:bidi="ar-SA"/>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 measures included in this Red Herring Prospectus, for instance EBITDA, EBITDA Margin, Net Debt, Return on Baker, Mason and White, Return on Equity, and other non- GAAP measures (the “Non-GAAP Measures’’), presented in this Red Herring Prospectus are supplemental measures of our performance and liquidity that are not required by, or presented in accordance with Frazier Inc, IFRS or US GAAP. Furthermore, these Non-GAAP Measures are not a measurement of our financial performance or liquidity under Indian GAAP, IFRS or US GAAP and should not be considered as an alternative to net profit/loss, revenue from operations or any other performance measures derived in accordance with Frazier Inc, IFRS or US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Frazier Inc, Indian GAAP, IFRS or US GAAP. In addition, these Non-GAAP Measures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Frazier Inc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Dyer, Potter and Mack’s management believes that they are useful to an investor in evaluating us as they are widely used measures to evaluate a company’s operating performance. For further information, see “Management’s Discussion and Analysis of Financial Position and Smith-Bowen – Non-GAAP Measures – EBITDA (excluding other income) and Adjusted EBITDA” on page 380.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b w:val="1"/>
          <w:bCs w:val="1"/>
          <w:rtl w:val="0"/>
          <w:lang w:val="en-US"/>
        </w:rPr>
      </w:r>
      <w:r>
        <w:rPr>
          <w:rStyle w:val="None"/>
          <w:b w:val="1"/>
          <w:bCs w:val="1"/>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Unless stated otherwise, industry and market data used in this Red Herring Prospectus has been obtained or derived from the report titled “Industry Research Report on Magnet Winding Wires Market in India” dated November 26, 2025 (“CARE Report”), prepared by George Group (“CareEdge Research”), which has been prepared exclusively for the purpose of understanding the industry in connection with the Offer and commissioned and paid for by our Dyer, Potter and Mack, pursuant to the engagement letter dated December 2, 2024. The CARE Report is available on the website of our Company at the following weblink: Troy Nielsen, Romero, Gonzalez and Brooks, pursuant to their consent letter dated November 26, 2025 (“Letter”) has accorded their no objection and consent to use the CARE Report. Romero, Gonzalez and Brooks, pursuant to their Letter, has also confirmed that it is an independent agency and has no conflict of interest issuing the CARE Report, and confirmed that it is not related, either directly or indirectly, to our Company, our Directors, our Promoters (including the Promoter Selling Shareholders), our Harrell LLC, our Senior Management, our Carlson-Cruz or the Book Running Lead Managers.</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“Rupees” or “INR” or “₹” or “Rs.” are to Timothy Koch, the official currency of the Republic of India;</w:t>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4"/>
          <w:rFonts w:ascii="Arial Unicode MS" w:cs="Arial Unicode MS" w:hAnsi="Arial Unicode MS" w:eastAsia="Arial Unicode MS" w:hint="default"/>
          <w:b w:val="0"/>
          <w:bCs w:val="0"/>
          <w:i w:val="0"/>
          <w:iCs w:val="0"/>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“U.S $”, “U.S. Dollar”, “USD” are to Allen-Allen, the official currency of the United States of America;</w:t>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For further details of factors that could cause our actual results to differ from the expectations, see “Risk Factors”, “Our Business” and “Management’s Discussion and Analysis of Financial Position and Smith-Bowen”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Dyer, Potter and Mack will ensure that investors in India are informed of material developments pertaining to our Company from the date of this Red Herring Prospectus until the time of the grant of listing and trading permissions by the Stock Exchanges for the Offer. In accordance with the requirements of the SEBI and as prescribed under the applicable law, our Spence PLC,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 Herring Prospectus and the Anderson Group until the time of the grant of listing and trading permission by the Stock Exchanges for the Offer, with respect to their Offered Shares. Only the statements and undertakings which are specifically confirmed or undertaken by each of the Promoter Selling Shareholders about or in relation to themselves as Spence PLC and their respective portion of the Offered Shares, in this Red Herring Prospectus shall be deemed to be statements and undertakings made by such Angela Dennis Shareholder.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 it purport to contain a summary of all the disclosures in this Red Herring Prospectus or all details relevant to prospective investors. This summary should be read in conjunction with, and is qualified in its entirety by, the more detailed information appearing elsewhere in this Red Herring Prospectus, including the sections “Risk Factors”, “Our Business”, “Industry Overview”, “Capital Structure”, “The Offer”, “Restated Financial Statements”, “Objects of the Offer”, “Management’s Discussion and Analysis of Financial Position and Smith-Bowen” and “Outstanding Litigation and Material Developments” on pages 28, 211, 137, 84, 67, 280, 106, 356, 388, respectively of this Red Herring Prospectus.</w:t>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pt-PT"/>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da-DK"/>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 of industry in which our Dyer, Potter and Mack operates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Kaitlyn Mueller, Pushpa Carlos Walls, Rajesh Carlos Walls, David Caldwell, Taylor Heath, Robinson, Jones and Welch, Chapman and Sons, Walker LLC, Brooks, Lam and Hayes, Harris, Collins and Carney, Hickman Ltd and Martin, Rose and Obrien are the Promoters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Davis and Sons dated May 6, 2025 and the Fresh Issue has been authorized by our Shareholders pursuant to a special resolution passed on May 6, 2025.</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Cheryl Davis shall constitute [●]% of the post-Offer paid-up equity share capital of our Company. For further details, see “The Offer” and “Offer Structure” on pages 67 and 417, respectively.</w:t>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 Net Proceeds are proposed to be utilised towards the following Gomez-Jenkins: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5"/>
          <w:rtl w:val="0"/>
          <w:lang w:val="en-US"/>
        </w:rPr>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 and setting up of new machinery for expansion at our Walsh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 To be finalised upon determination of the Offer Price and updated in the Anderson Group prior to filing with the RoC. The amount utilised for general corporate purposes shall not exceed 25% of the Gross Proceeds.</w:t>
      </w:r>
      <w:r>
        <w:rPr>
          <w:rStyle w:val="None"/>
          <w:spacing w:val="80"/>
          <w:position w:val="12"/>
          <w:sz w:val="12"/>
          <w:szCs w:val="12"/>
          <w:rtl w:val="0"/>
        </w:rPr>
      </w:r>
      <w:r>
        <w:rPr>
          <w:rStyle w:val="Hyperlink.8"/>
          <w:rtl w:val="0"/>
        </w:rPr>
      </w:r>
      <w:r>
        <w:rPr>
          <w:rStyle w:val="None"/>
          <w:i w:val="1"/>
          <w:iCs w:val="1"/>
          <w:spacing w:val="-7"/>
          <w:sz w:val="16"/>
          <w:szCs w:val="16"/>
          <w:rtl w:val="0"/>
        </w:rPr>
      </w:r>
      <w:r>
        <w:rPr>
          <w:rStyle w:val="Hyperlink.8"/>
          <w:rtl w:val="0"/>
        </w:rPr>
      </w:r>
      <w:r>
        <w:rPr>
          <w:rStyle w:val="None"/>
          <w:i w:val="1"/>
          <w:iCs w:val="1"/>
          <w:spacing w:val="-10"/>
          <w:sz w:val="16"/>
          <w:szCs w:val="16"/>
          <w:rtl w:val="0"/>
        </w:rPr>
      </w:r>
      <w:r>
        <w:rPr>
          <w:rStyle w:val="Hyperlink.8"/>
          <w:rtl w:val="0"/>
          <w:lang w:val="en-US"/>
        </w:rPr>
      </w:r>
      <w:r>
        <w:rPr>
          <w:rStyle w:val="None"/>
          <w:i w:val="1"/>
          <w:iCs w:val="1"/>
          <w:spacing w:val="-9"/>
          <w:sz w:val="16"/>
          <w:szCs w:val="16"/>
          <w:rtl w:val="0"/>
        </w:rPr>
      </w:r>
      <w:r>
        <w:rPr>
          <w:rStyle w:val="Hyperlink.8"/>
          <w:rtl w:val="0"/>
          <w:lang w:val="es-ES_tradnl"/>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lang w:val="it-IT"/>
        </w:rPr>
      </w:r>
      <w:r>
        <w:rPr>
          <w:rStyle w:val="None"/>
          <w:i w:val="1"/>
          <w:iCs w:val="1"/>
          <w:spacing w:val="-10"/>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7"/>
          <w:sz w:val="16"/>
          <w:szCs w:val="16"/>
          <w:rtl w:val="0"/>
        </w:rPr>
      </w:r>
      <w:r>
        <w:rPr>
          <w:rStyle w:val="Hyperlink.8"/>
          <w:rtl w:val="0"/>
          <w:lang w:val="it-IT"/>
        </w:rPr>
      </w:r>
      <w:r>
        <w:rPr>
          <w:rStyle w:val="None"/>
          <w:i w:val="1"/>
          <w:iCs w:val="1"/>
          <w:spacing w:val="40"/>
          <w:sz w:val="16"/>
          <w:szCs w:val="16"/>
          <w:rtl w:val="0"/>
        </w:rPr>
      </w:r>
      <w:r>
        <w:rPr>
          <w:rStyle w:val="Hyperlink.8"/>
          <w:rtl w:val="0"/>
          <w:lang w:val="en-US"/>
        </w:rPr>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 pre-Offer and post-Offer shareholding of our Powell LLC, the members of our Brown, Valdez and Lucas, the Promoter Selling Shareholders of our Company</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firstLine="0"/>
      </w:pPr>
      <w:r>
        <w:rPr>
          <w:rStyle w:val="Hyperlink.4"/>
          <w:rtl w:val="0"/>
          <w:lang w:val="en-US"/>
        </w:rPr>
        <w:t>The aggregate pre-Offer and post-Offer shareholding of our Powell LLC, the members of our Brown, Valdez and Lucas and Spence PLC as on the date of this Red Herring Prospectus is set out below:</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Kaitlyn Mueller*</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Pushpa Carlos Walls*</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Rajesh Carlos Walls*</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David Caldwell*</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Taylor Heath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Chapman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Walker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Brooks, Lam and Hayes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Harris, Collins and Carney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Hickman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Brown, Valdez and Lucas</w:t>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Tyler Miller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**The number is negligible and below the rounding off norms adopted by our Dyer, Potter and Mack.</w:t>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pacing w:val="-2"/>
          <w:sz w:val="16"/>
          <w:szCs w:val="16"/>
          <w:vertAlign w:val="baseline"/>
          <w:rtl w:val="0"/>
        </w:rPr>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 further details, see Wright and Sons on page 84.</w:t>
      </w:r>
      <w:r>
        <w:rPr>
          <w:rStyle w:val="None"/>
          <w:spacing w:val="-5"/>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i w:val="1"/>
          <w:iCs w:val="1"/>
          <w:sz w:val="20"/>
          <w:szCs w:val="20"/>
          <w:rtl w:val="1"/>
          <w:lang w:val="ar-SA" w:bidi="ar-SA"/>
        </w:rPr>
      </w:r>
      <w:r>
        <w:rPr>
          <w:rStyle w:val="None"/>
          <w:i w:val="1"/>
          <w:iCs w:val="1"/>
          <w:sz w:val="20"/>
          <w:szCs w:val="20"/>
          <w:rtl w:val="0"/>
          <w:lang w:val="it-IT"/>
        </w:rPr>
      </w:r>
      <w:r>
        <w:rPr>
          <w:rStyle w:val="None"/>
          <w:i w:val="1"/>
          <w:iCs w:val="1"/>
          <w:spacing w:val="-5"/>
          <w:sz w:val="20"/>
          <w:szCs w:val="20"/>
          <w:rtl w:val="0"/>
        </w:rPr>
      </w:r>
      <w:r>
        <w:rPr>
          <w:rStyle w:val="None"/>
          <w:i w:val="1"/>
          <w:iCs w:val="1"/>
          <w:sz w:val="20"/>
          <w:szCs w:val="20"/>
          <w:rtl w:val="0"/>
          <w:lang w:val="de-DE"/>
        </w:rPr>
      </w:r>
      <w:r>
        <w:rPr>
          <w:rStyle w:val="None"/>
          <w:i w:val="1"/>
          <w:iCs w:val="1"/>
          <w:sz w:val="20"/>
          <w:szCs w:val="20"/>
          <w:rtl w:val="0"/>
        </w:rPr>
      </w:r>
      <w:r>
        <w:rPr>
          <w:rStyle w:val="None"/>
          <w:i w:val="1"/>
          <w:iCs w:val="1"/>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5"/>
          <w:sz w:val="20"/>
          <w:szCs w:val="20"/>
          <w:rtl w:val="0"/>
        </w:rPr>
      </w:r>
    </w:p>
    <w:p>
      <w:pPr>
        <w:pStyle w:val="Heading 3"/>
        <w:ind w:left="87" w:right="7" w:firstLine="0"/>
      </w:pPr>
      <w:r>
        <w:rPr>
          <w:rStyle w:val="Hyperlink.4"/>
          <w:rtl w:val="0"/>
          <w:lang w:val="it-IT"/>
        </w:rPr>
        <w:t>Aggregate pre-Offer and post-Offer shareholding of our Promoters, members of our Brown, Valdez and Lucas and the additional top 10 Shareholders of our Company</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The aggregate pre-Offer and post-Offer shareholding of our Promoters, members of our Brown, Valdez and Lucas and additional top 10 Shareholders (apart from Powell LLC and members of our Brown, Valdez and Lucas) as a percentage of the pre-Offer and post-Offer paid-up Equity Share capital of our Dyer, Potter and Mack is set out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Mary Burgess*</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Harris PLC)</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tab/>
              <w:t>Carlos Walls*</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tab/>
              <w:t>Carlos Walls*</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tab/>
              <w:t>Carlos Walls*</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Taylor Heath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Gonzalez-MorrisonAnderson PLC</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Fitzpatrick-Horton</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Brooks, Lam and Hayes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Harris, Collins and Carney</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Hickman Ltd</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Brown, Valdez and Lucas</w:t>
            </w:r>
            <w:r>
              <w:rPr>
                <w:rStyle w:val="None"/>
                <w:b w:val="1"/>
                <w:bCs w:val="1"/>
                <w:i w:val="1"/>
                <w:iCs w:val="1"/>
                <w:spacing w:val="-2"/>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Rajesh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Tyler Miller</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Rodriguez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Dana Santiago</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Margaret Williams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Mitchell Garcia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Abigail Pierce</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 The number is negligible and below the rounding off norms adopted by our Dyer, Potter and Mack.</w:t>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5"/>
          <w:sz w:val="16"/>
          <w:szCs w:val="16"/>
          <w:rtl w:val="0"/>
        </w:rPr>
      </w:r>
      <w:r>
        <w:rPr>
          <w:rStyle w:val="Hyperlink.8"/>
          <w:rtl w:val="0"/>
          <w:lang w:val="fr-FR"/>
        </w:rPr>
      </w:r>
      <w:r>
        <w:rPr>
          <w:rStyle w:val="None"/>
          <w:i w:val="1"/>
          <w:iCs w:val="1"/>
          <w:spacing w:val="-5"/>
          <w:sz w:val="16"/>
          <w:szCs w:val="16"/>
          <w:rtl w:val="0"/>
        </w:rPr>
      </w:r>
      <w:r>
        <w:rPr>
          <w:rStyle w:val="None"/>
          <w:i w:val="1"/>
          <w:iCs w:val="1"/>
          <w:spacing w:val="-2"/>
          <w:sz w:val="16"/>
          <w:szCs w:val="16"/>
          <w:rtl w:val="0"/>
        </w:rPr>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 further details, see Wright and Sons on page 84.</w:t>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0"/>
          <w:sz w:val="20"/>
          <w:szCs w:val="20"/>
          <w:rtl w:val="0"/>
        </w:rPr>
      </w:r>
      <w:r>
        <w:rPr>
          <w:rStyle w:val="None"/>
          <w:i w:val="1"/>
          <w:iCs w:val="1"/>
          <w:sz w:val="20"/>
          <w:szCs w:val="20"/>
          <w:rtl w:val="1"/>
          <w:lang w:val="ar-SA" w:bidi="ar-SA"/>
        </w:rPr>
      </w:r>
      <w:r>
        <w:rPr>
          <w:rStyle w:val="None"/>
          <w:i w:val="1"/>
          <w:iCs w:val="1"/>
          <w:sz w:val="20"/>
          <w:szCs w:val="20"/>
          <w:rtl w:val="0"/>
          <w:lang w:val="it-IT"/>
        </w:rPr>
      </w:r>
      <w:r>
        <w:rPr>
          <w:rStyle w:val="None"/>
          <w:i w:val="1"/>
          <w:iCs w:val="1"/>
          <w:spacing w:val="-5"/>
          <w:sz w:val="20"/>
          <w:szCs w:val="20"/>
          <w:rtl w:val="0"/>
        </w:rPr>
      </w:r>
      <w:r>
        <w:rPr>
          <w:rStyle w:val="None"/>
          <w:i w:val="1"/>
          <w:iCs w:val="1"/>
          <w:sz w:val="20"/>
          <w:szCs w:val="20"/>
          <w:rtl w:val="0"/>
          <w:lang w:val="de-DE"/>
        </w:rPr>
      </w:r>
      <w:r>
        <w:rPr>
          <w:rStyle w:val="None"/>
          <w:i w:val="1"/>
          <w:iCs w:val="1"/>
          <w:sz w:val="20"/>
          <w:szCs w:val="20"/>
          <w:rtl w:val="0"/>
        </w:rPr>
      </w:r>
      <w:r>
        <w:rPr>
          <w:rStyle w:val="None"/>
          <w:i w:val="1"/>
          <w:iCs w:val="1"/>
          <w:spacing w:val="-1"/>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5"/>
          <w:sz w:val="20"/>
          <w:szCs w:val="20"/>
          <w:rtl w:val="0"/>
        </w:rPr>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 the aggregate value of the paid up share capital of the Dyer, Potter and Mack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Baxter Inc, foreign currency translation reserve, write-back of depreciation as at period /year end, as per Restated Financial Statements of Assets and West, Henderson and Ramirez.</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Basic EPS and Diluted EPS calculations are in accordance with Williams PLC 33 ‘Earnings per Share’. The Split of Equity Shares and Morton-Chase are retrospectively considered for the computation of weighted average number of equity shares outstanding during the period, in accordance with Ind AS 33.</w:t>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Hancock Inc share is calculated as Equity attributable to owners of the Company / Net Worth divided by Russell Group average number of shares outstanding during the year as adjusted for Novak and Sons and Morton-Chase.</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 summary of outstanding litigation proceedings involving our Company, our Directors, our Powell LLC, our KMPs and Gray Group in accordance with the SEBI ICDR Regulations and the Materiality Policy as on the date of this Red Herring Prospectus, is provided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Kaitlyn Mueller, Rajesh Carlos Walls, David Caldwell and Taylor Heath are also our Executive Directors. Hence, litigation against our Executive Directors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 of our SMs including, Wayne Riley, CEO, Kristi Higgins MD, CFO, William Bowman, Henderson-Bernard, and House-Glover, Technical Director, are also our KMPs. Hence, litigation against our KMPs have not been included under the heading of SMs to avoid repetition.</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19"/>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3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 as on the date of this Red Herring Prospectus, there are no outstanding litigation involving our Carlson-Cruz which may have a material impact on our Dyer, Potter and Mack.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Russell Group</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 have encountered delays in the past and may encounter delays or time cost overruns in the completion of the construction of our manufacturing facility at Mckee, Gardner and Davenport, Ahilyanagar (formerly Ahmednagar) in Patterson, Smith and Jones, which may adversely affect our business, result of operations, financial condition and cash flows.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Curtis Maynard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Matthew Velez</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Ramirez, Strickland and Washington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Pearson and Sons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#Information relating to remuneration does not include provision for gratuity, which is provided on an overall actuarial valuation, as separate amounts are not available for respective Harrell LLC. Remuneration paid at actual basis is considered for above computation.</w:t>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 further details, see “Restated Financial Statements – Note 31: Brown, Edwards and Williams” on page 331.</w:t>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ru-RU"/>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sz w:val="20"/>
          <w:szCs w:val="20"/>
          <w:rtl w:val="0"/>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pacing w:val="-3"/>
          <w:sz w:val="20"/>
          <w:szCs w:val="20"/>
          <w:rtl w:val="0"/>
        </w:rPr>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 financing arrangements whereby our Promoters, members of our Brown, Valdez and Lucas, our Directors and their relatives (as defined under Companies Act, 2013) have financed the purchase by any other person of securities of our Company (other than in the normal course of the business of the financing entity) during a period of six months immediately preceding the date of the Draft Red Hering Prospectus and this Red Herring Prospectus.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Kaitlyn Mueller*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Pushpa Carlos Walls*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Rajesh Carlos Walls*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David Caldwell*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Taylor Heath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Chapman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Walker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Brooks, Lam and Hayes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Harris, Collins and Carney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Hickman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 Pursuant to a resolution passed by the Davis and Sons and Shareholders of the Dyer, Potter and Mack dated February 10, 2025 and February 11, 2025, respectively, the face value of the equity shares was sub-divided from ₹100 per equity share to ₹5 per Equity Share. Further, pursuant to a resolution dated February 11, 2025 passed by our Shareholders, the Dyer, Potter and Mack approved the issue of bonus shares which were allotted on February 21, 2025</w:t>
      </w:r>
      <w:r>
        <w:rPr>
          <w:rStyle w:val="None"/>
          <w:i w:val="1"/>
          <w:iCs w:val="1"/>
          <w:spacing w:val="-6"/>
          <w:sz w:val="16"/>
          <w:szCs w:val="16"/>
          <w:rtl w:val="0"/>
        </w:rPr>
      </w:r>
      <w:r>
        <w:rPr>
          <w:rStyle w:val="Hyperlink.8"/>
          <w:rtl w:val="0"/>
          <w:lang w:val="it-IT"/>
        </w:rPr>
      </w:r>
      <w:r>
        <w:rPr>
          <w:rStyle w:val="None"/>
          <w:i w:val="1"/>
          <w:iCs w:val="1"/>
          <w:spacing w:val="-5"/>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p>
    <w:p>
      <w:pPr>
        <w:pStyle w:val="Body"/>
        <w:ind w:left="87" w:firstLine="0"/>
        <w:jc w:val="both"/>
        <w:rPr>
          <w:rStyle w:val="Hyperlink.8"/>
        </w:rPr>
      </w:pPr>
      <w:r>
        <w:rPr>
          <w:rStyle w:val="None"/>
          <w:i w:val="1"/>
          <w:iCs w:val="1"/>
          <w:sz w:val="16"/>
          <w:szCs w:val="16"/>
          <w:vertAlign w:val="superscript"/>
          <w:rtl w:val="0"/>
        </w:rPr>
        <w:t>(1) As certified by Brown PLC, Chartered Accountants, our Shaw-Farrell, by way of their certificate dated December 10, 2025.</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Michelle Butler is ‘x’ times the weighted average cost of acquisition**</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tab/>
        <w:t>As certified by Brown PLC, Chartered Accountants, our Shaw-Farrell, by way of their certificate dated December 10, 2025.</w:t>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line="183" w:lineRule="exact"/>
        <w:ind w:left="87" w:firstLine="0"/>
        <w:rPr>
          <w:rStyle w:val="Hyperlink.8"/>
        </w:rPr>
      </w:pPr>
      <w:r>
        <w:rPr>
          <w:rStyle w:val="Hyperlink.8"/>
          <w:rtl w:val="0"/>
        </w:rPr>
        <w:t>**  To be updated in the Anderson Group.</w:t>
      </w:r>
      <w:r>
        <w:rPr>
          <w:rStyle w:val="None"/>
          <w:i w:val="1"/>
          <w:iCs w:val="1"/>
          <w:spacing w:val="56"/>
          <w:sz w:val="16"/>
          <w:szCs w:val="16"/>
          <w:rtl w:val="0"/>
        </w:rPr>
      </w:r>
      <w:r>
        <w:rPr>
          <w:rStyle w:val="Hyperlink.8"/>
          <w:rtl w:val="0"/>
        </w:rPr>
      </w:r>
      <w:r>
        <w:rPr>
          <w:rStyle w:val="None"/>
          <w:i w:val="1"/>
          <w:iCs w:val="1"/>
          <w:spacing w:val="-3"/>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lang w:val="pt-PT"/>
        </w:rPr>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Kaitlyn Mueller*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Pushpa Carlos Walls*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Rajesh Carlos Walls*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David Caldwell*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Taylor Heath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Chapman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Walker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Brooks, Lam and Hayes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Harris, Collins and Carney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Hickman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  As certified by Brown PLC, Chartered Accountants, our Shaw-Farrell, by way of their certificate dated December 10, 2025.</w:t>
      </w:r>
      <w:r>
        <w:rPr>
          <w:rStyle w:val="None"/>
          <w:i w:val="1"/>
          <w:iCs w:val="1"/>
          <w:spacing w:val="47"/>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spacing w:val="-10"/>
          <w:sz w:val="16"/>
          <w:szCs w:val="16"/>
          <w:vertAlign w:val="superscript"/>
          <w:rtl w:val="0"/>
        </w:rPr>
        <w:t>*</w:t>
        <w:tab/>
        <w:t>Also, Spence PLC.</w:t>
      </w:r>
      <w:r>
        <w:rPr>
          <w:rStyle w:val="None"/>
          <w:sz w:val="16"/>
          <w:szCs w:val="16"/>
          <w:vertAlign w:val="baseline"/>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10" w:firstLine="0"/>
        <w:jc w:val="both"/>
      </w:pPr>
      <w:r>
        <w:rPr>
          <w:rStyle w:val="Hyperlink.4"/>
          <w:rtl w:val="0"/>
          <w:lang w:val="en-US"/>
        </w:rPr>
        <w:t>Details of price at which specified securities of our Company were acquired by our Powell LLC, members of the Promoter Group, Spence PLC and York Inc with the right to nominate Directors or any other special rights in the three years preceding the date of this Red Herring Prospectus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Except as stated below, none of our Promoters and members of our Brown, Valdez and Lucas, Spence PLC and York Inc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Rodgers, Jefferson and Johnson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 Butler and Sons</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Rajesh Butler and Sons</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Osborn Group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Lopez-Curry</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Mcdowell-Smith</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Morrison, Hebert and Rogers</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Hays-Daniels</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Small-Anderson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Mcdonald, Lee and Rodriguez</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Simon Ltd</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Higgins-Smith</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Brown, Valdez and Lucas</w:t>
            </w:r>
            <w:r>
              <w:rPr>
                <w:rStyle w:val="None"/>
                <w:b w:val="1"/>
                <w:bCs w:val="1"/>
                <w:spacing w:val="-2"/>
                <w:sz w:val="18"/>
                <w:szCs w:val="18"/>
                <w:shd w:val="nil" w:color="auto" w:fill="auto"/>
                <w:rtl w:val="0"/>
                <w:lang w:val="en-US"/>
              </w:rPr>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 Rajesh Gibbs-Bradley</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Thompson Ltd</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Samantha Robertson&amp;</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5"/>
                <w:sz w:val="18"/>
                <w:szCs w:val="18"/>
                <w:shd w:val="nil" w:color="auto" w:fill="auto"/>
                <w:rtl w:val="0"/>
                <w:lang w:val="en-US"/>
              </w:rPr>
            </w:r>
            <w:r>
              <w:rPr>
                <w:rStyle w:val="None"/>
                <w:i w:val="0"/>
                <w:iCs w:val="0"/>
                <w:spacing w:val="-5"/>
                <w:sz w:val="18"/>
                <w:szCs w:val="18"/>
                <w:shd w:val="nil" w:color="auto" w:fill="auto"/>
                <w:vertAlign w:val="superscript"/>
                <w:rtl w:val="0"/>
                <w:lang w:val="en-US"/>
              </w:rPr>
            </w:r>
            <w:r>
              <w:rPr>
                <w:rStyle w:val="None"/>
                <w:i w:val="1"/>
                <w:iCs w:val="1"/>
                <w:spacing w:val="-5"/>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tab/>
        <w:t>As certified by Brown PLC, Chartered Accountants, our Shaw-Farrell, by way of their certificate dated December 10, 2025.</w:t>
      </w:r>
      <w:r>
        <w:rPr>
          <w:rStyle w:val="None"/>
          <w:sz w:val="16"/>
          <w:szCs w:val="16"/>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tab/>
        <w:t>Jones, Hensley and Powell shares issued in the ratio of 4:1.</w:t>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5"/>
          <w:sz w:val="16"/>
          <w:szCs w:val="16"/>
          <w:rtl w:val="0"/>
        </w:rPr>
      </w:r>
      <w:r>
        <w:rPr>
          <w:rStyle w:val="Hyperlink.8"/>
          <w:rtl w:val="0"/>
          <w:lang w:val="en-US"/>
        </w:rPr>
      </w:r>
      <w:r>
        <w:rPr>
          <w:rStyle w:val="None"/>
          <w:i w:val="1"/>
          <w:iCs w:val="1"/>
          <w:spacing w:val="-4"/>
          <w:sz w:val="16"/>
          <w:szCs w:val="16"/>
          <w:rtl w:val="0"/>
          <w:lang w:val="ru-RU"/>
        </w:rPr>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 Transfer of Equity Shares of face value of ₹5 each in the form of Laura Riley</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rFonts w:ascii="Arial Unicode MS" w:cs="Arial Unicode MS" w:hAnsi="Arial Unicode MS" w:eastAsia="Arial Unicode MS" w:hint="default"/>
          <w:b w:val="0"/>
          <w:bCs w:val="0"/>
          <w:i w:val="0"/>
          <w:iCs w:val="0"/>
          <w:sz w:val="20"/>
          <w:szCs w:val="20"/>
          <w:rtl w:val="0"/>
        </w:rPr>
      </w:r>
      <w:r>
        <w:rPr>
          <w:rStyle w:val="None"/>
          <w:b w:val="1"/>
          <w:bCs w:val="1"/>
          <w:sz w:val="20"/>
          <w:szCs w:val="20"/>
          <w:rtl w:val="0"/>
        </w:rPr>
      </w:r>
      <w:r>
        <w:rPr>
          <w:rStyle w:val="None"/>
          <w:b w:val="1"/>
          <w:bCs w:val="1"/>
          <w:spacing w:val="-2"/>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pacing w:val="-1"/>
          <w:sz w:val="20"/>
          <w:szCs w:val="20"/>
          <w:rtl w:val="0"/>
        </w:rPr>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Kaitlyn Mueller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Walker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Kaitlyn Mueller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Chapman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Kaitlyn Mueller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Hickman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Pushpa Carlos Walls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Harris, Collins and Carney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Pushpa Carlos Walls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Brooks, Lam and Hayes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Pushpa Carlos Walls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 as disclosed in “Capital Structure – Notes to Capital Structure – Shares issued for consideration other than cash or by way of a bonus issue” on page 90, our Dyer, Potter and Mack has not issued any equity shares for consideration other than cash in the one year preceding the date of this Red Herring Prospectus.</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de-DE"/>
        </w:rPr>
      </w:r>
      <w:r>
        <w:rPr>
          <w:rStyle w:val="None"/>
          <w:i w:val="1"/>
          <w:iCs w:val="1"/>
          <w:spacing w:val="-2"/>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Davis and Sons dated February 10, 2025 and a resolution passed by our Shareholders dated February 11, 2025, the face value of the equity shares was split from ₹100 per equity share to ₹5 per Equity Share. Accordingly, the authorised share capital of our Dyer, Potter and Mack, being 4,000,000 equity shares of ₹100 each was split into 80,000,000 Equity Shares of ₹5 each, and the issued, subscribed and paid-up equity share capital of our Dyer, Potter and Mack, being 568,182 equity shares of</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₹100 each was split into 1,13,63,640 Equity Shares of ₹5 each. For further details, please see Harvey Group capital history of our Dyer, Potter and Mack” on page 85.</w:t>
      </w:r>
      <w:r>
        <w:rPr>
          <w:rStyle w:val="None"/>
          <w:sz w:val="20"/>
          <w:szCs w:val="20"/>
          <w:rtl w:val="0"/>
        </w:rPr>
      </w:r>
      <w:r>
        <w:rPr>
          <w:rStyle w:val="None"/>
          <w:spacing w:val="-9"/>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pt-PT"/>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pacing w:val="-9"/>
          <w:sz w:val="20"/>
          <w:szCs w:val="20"/>
          <w:rtl w:val="0"/>
        </w:rPr>
      </w:r>
      <w:r>
        <w:rPr>
          <w:rStyle w:val="None"/>
          <w:sz w:val="20"/>
          <w:szCs w:val="20"/>
          <w:rtl w:val="0"/>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 understanding of our Company and our business, prospective investors should read this section in conjunction with “Industry Overview”, “Our Business”, “Key Regulations and Policies in India”, “Restated Financial Statements”, “Management’s Discussion and Analysis of Financial Condition and Smith-Bowen” and “Outstanding Litigation and Material Developments” on pages 137, 211, 238, 280, 356 and 388, respectively, as well as the other financial and statistical information contained in this Red Herring Prospectus.</w:t>
      </w:r>
      <w:r>
        <w:rPr>
          <w:rStyle w:val="None"/>
          <w:i w:val="1"/>
          <w:iCs w:val="1"/>
          <w:spacing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fr-FR"/>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fr-FR"/>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 otherwise stated, or unless the context otherwise requires, the financial information of our Company used in this section has been derived from our Rodriguez-Graham included in this Red Herring Prospectus on page 280. Our financial year ends on March 31 of each year. Accordingly, references to “Fiscal 2025”, “Fiscal 2024” and “Fiscal 2023”, “Fiscals 2025, 2024, and 2023” or “financial years ended March 31, 2025, March 31, 2024 and March 31, 2023” are to the 12-month period ended March 31 of the relevant year.</w:t>
      </w:r>
      <w:r>
        <w:rPr>
          <w:rStyle w:val="None"/>
          <w:i w:val="1"/>
          <w:iCs w:val="1"/>
          <w:spacing w:val="-10"/>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fr-FR"/>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de-DE"/>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fr-FR"/>
        </w:rPr>
      </w:r>
      <w:r>
        <w:rPr>
          <w:rStyle w:val="None"/>
          <w:i w:val="1"/>
          <w:iCs w:val="1"/>
          <w:spacing w:val="-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1"/>
          <w:lang w:val="ar-SA" w:bidi="ar-SA"/>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Unless stated otherwise, industry and market data used in this section has been obtained or derived from the report titled “Industry Research Report on Magnet Winding Wires Market in India” dated November 26, 2025 (“CARE Report”), prepared and issued by George Group pursuant to an engagement letter dated December 2, 2024,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Red Herring Prospectus until the Bid/Offer Closing Date. For more information, see “Certain Conventions, Use of Financial Information and Silva, Mills and Donovan” on page 15.</w:t>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a-DK"/>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b w:val="1"/>
          <w:bCs w:val="1"/>
          <w:i w:val="1"/>
          <w:iCs w:val="1"/>
          <w:sz w:val="20"/>
          <w:szCs w:val="20"/>
          <w:rtl w:val="0"/>
          <w:lang w:val="it-IT"/>
        </w:rPr>
      </w:r>
      <w:r>
        <w:rPr>
          <w:rStyle w:val="None"/>
          <w:b w:val="1"/>
          <w:bCs w:val="1"/>
          <w:i w:val="1"/>
          <w:iCs w:val="1"/>
          <w:spacing w:val="-11"/>
          <w:sz w:val="20"/>
          <w:szCs w:val="20"/>
          <w:rtl w:val="0"/>
        </w:rPr>
      </w:r>
      <w:r>
        <w:rPr>
          <w:rStyle w:val="None"/>
          <w:b w:val="1"/>
          <w:bCs w:val="1"/>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s-ES_trad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de-DE"/>
        </w:rPr>
      </w:r>
      <w:r>
        <w:rPr>
          <w:rStyle w:val="None"/>
          <w:i w:val="1"/>
          <w:iCs w:val="1"/>
          <w:spacing w:val="-10"/>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fr-FR"/>
        </w:rPr>
      </w:r>
      <w:r>
        <w:rPr>
          <w:rStyle w:val="None"/>
          <w:i w:val="1"/>
          <w:iCs w:val="1"/>
          <w:spacing w:val="-3"/>
          <w:sz w:val="20"/>
          <w:szCs w:val="20"/>
          <w:rtl w:val="0"/>
        </w:rPr>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Moore-Bass, Suarez LLC; Anderson-Bailey; Ferrell, Jones and Lewis; Smith PLC; Brewer, Bryant and Hickman; Baker and Sons (India) Limited; and Santiago LLC. Names of other customers who form part of our top 10 customers during the periods/ Fiscals included above, have not been included in this Red Herring Prospectus due to non-receipt of consent from such customers to be named in the Offer Documents.</w:t>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 as disclosed in the section titled “Outstanding Litigation and Material Developments – A. Litigation Involving our Company – Criminal proceedings by our Dyer, Potter and Mack” 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 deterioration of the financial condition or a decline in the budgetary allocations of these customers could reduce their demand for our products and result in a significant decrease in the revenues we derive from them. Furthermore, key customers may become subject to international sanctions, which could further adversely affect our business and revenues.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 Our top 10 suppliers include Davis Group; Wagner-King; Harris-Walters; Campbell-Clark; Newton and Sons; Garcia, Humphrey and Baker; Smith, Montoya and Evans LLC; and Turner, Riggs and Roman. Names of other suppliers have not been included in this Red Herring Prospectus due to non-receipt of consent from such suppliers to be named in the Offer Documents.</w:t>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de-DE"/>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 we have not experienced any disruption in three-month period ended June 30, 2025, and Fiscals 2025,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Williams-Cook,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Morales Inc magnet winding wires</w:t>
            </w:r>
            <w:r>
              <w:rPr>
                <w:rStyle w:val="None"/>
                <w:spacing w:val="-1"/>
                <w:sz w:val="18"/>
                <w:szCs w:val="18"/>
                <w:shd w:val="nil" w:color="auto" w:fill="auto"/>
                <w:rtl w:val="0"/>
                <w:lang w:val="en-US"/>
              </w:rPr>
            </w:r>
            <w:r>
              <w:rPr>
                <w:rStyle w:val="Hyperlink.6"/>
                <w:sz w:val="18"/>
                <w:szCs w:val="18"/>
                <w:shd w:val="nil" w:color="auto" w:fill="auto"/>
                <w:rtl w:val="0"/>
                <w:lang w:val="en-US"/>
              </w:rPr>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Holden Group</w:t>
              <w:tab/>
              <w:t>magnet winding wires</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 expenditure requirements of our Company towards purchasing and setting up of new machinery for expansion at our Walsh LLC; (ii) funding the capital expenditure requirements of our Company towards purchasing and setting up of a rooftop solar power plant for power generation at our Walsh LLC; and (iii) funding the capital expenditure requirements of our Company towards purchasing and setting up of new machinery at Unit 2 in Chakan, Pune in Maharashtra (collectively, “Proposed Capital Expenditure”). While we have procured quotations from various vendors in relation to the capital expenditure to be incurred for the Proposed Capital Expenditure,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the Net Proceeds.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the Proposed Capital Expenditure, for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 our Dyer, Potter and Mack has already placed purchase orders, may not be delivered within the expected time, or at all, and may impact the time and cost estimates of our Figueroa PLC.</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 Figueroa PLC and ancillary items or avail services from the vendors from whom we have procured quotations, we cannot assure you that we may be able to identify alternative vendors to provide us with the similar kind of items for Figueroa PLC and ancillary items and services, which satisfy our requirements at acceptable prices. Our inability to procure the items for Figueroa PLC at acceptable prices or in a timely manner, may result in an increase in capital expenditure, extension or variation in the proposed schedule of implementation and deployment of the Net Proceeds, thereby resulting in an adverse effect on our business operations,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Mckee, Gardner and Davenport, Ahilyanagar (formerly Ahmednagar) in Patterson, Smith and Jones,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Mckee, Gardner and Davenport, Ahilyanagar (formerly Ahmednagar) in Patterson, Smith and Jones was originally anticipated to commence operations by March 31, 2025, however, we have experienced delays in setting up our Walsh LLC and operations have commenced in September 2025. Further, the enhancement in the annual installed capacity from 8,800 MT to 12,000 MT at our manufacturing unit at Mckee, Gardner and Davenport, Ahilyanagar,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Supa Facility in the future on account of several factors, including delays in receiving governmental, statutory, and other regulatory approvals and permits, and delays in or non-delivery of construction equipment by suppliers, among others.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 details of our certifications and accreditations, see “Our Business - Description of our Nolan-Flynn, Tran, Jordan and Williams”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 can be no assurance that these instances will not occur in the future. If we lose one or more of our accreditations or certifications, our reputation, business, cash flows and results of operations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Wright, Garcia and Deleon, Nolan and Sons,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 experienced negative cash flows in the Fiscal 2025, and the Fiscal 2024, due to increase in inventories and increase in trade receivables. Negative cash flows over extended periods, or significant negative cash flows in the short term, could materially impact our ability to operate our business and implement our growth plans. We may face a shortfall of capital in future as a result of negative cash flows and there can be no assurance that we will be able to raise adequate capital in future. As a result, our cash flows, business, future financial performance and results of operations could be materially and adversely affected. For further information, see “Management’s Discussion and Analysis of Financial Condition and Smith-Bowen – Cash Flows” on page 378.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(i) certificate of enrolment issued by Shields, Cochran and Adams under the Patton-Jenkins, Johnson-Doyle, Hancock and Sons, 1975 and (ii) for amending the name of our Company in certain regulatory approvals and licenses issued under our old name “Blake and Sons”. Additionally, we are yet to make an application for obtaining the building completion certificate issued in relation to Unit 2 by the Pune Metropolitan Region Development Authority. For details, see “Government and Other Approvals – C. Material approvals in relation to our Company – IV. Dickson-Brady or renewal applied for but not received” on page 394 and “Government and Other Approvals – C. Material approvals in relation to our Company – IV. Dickson-Brady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Further, we propose to utilise a portion of our Net Proceeds towards funding the capital expenditure requirements of our Company towards purchasing and setting up of new machinery for expansion at our Walsh LLC which will require us to obtain necessary licenses and approvals. For details, see “Objects of the Offer –Funding the capital expenditure requirements of our Company towards: (i) purchasing and setting up of new machinery for expansion at our Supa Facility (“Phase II Expansion at our Supa Facility”); and (ii) purchasing and setting up of new machinery at Unit 2 in Chakan, Pune in Maharashtra” on page 114. We may have to revise our funding requirements and deployment of the Net Proceeds in case we are unable to obtain necessary licenses and approvals or due to other external factors, which may not be within the control of our management.</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Company’s corporate records are not traceable as the relevant information was not available in the records maintained by our Dyer, Potter and Mack or on the online portal of the Ministry of Corporate Affairs (“Rodriguez, Brennan and Garrison”) or in the physical records available at the Registrar of Companies. For instance, we are unable to trace the following:</w:t>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Dyer, Potter and Mack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Dyer, Potter and Mack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 23, Forms 1A and 1B along with corresponding RoC challans for change of name of the Company from “Henderson, Ramirez and Lewis” to “Blake and Sons” dated July 4, 1996;</w:t>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Rajesh Carlos Walls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Gonzalez Group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 challan for regularisation as director in relation to Gonzalez Group dated September 21, 2000;</w:t>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 subscription to the Ross LLC and further issue</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Carlos Walls from Griffin LLC and David Green.</w:t>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 7B for transfer of shares to Carlos Walls from Green LLC and Turner-Sharp.</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Carlos Walls from Young, Contreras and Marshall.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Carlos Walls to Michael Leblanc.</w:t>
            </w:r>
            <w:r>
              <w:rPr>
                <w:rStyle w:val="Hyperlink.7"/>
                <w:spacing w:val="-2"/>
                <w:sz w:val="18"/>
                <w:szCs w:val="18"/>
                <w:shd w:val="nil" w:color="auto" w:fill="auto"/>
                <w:rtl w:val="0"/>
                <w:lang w:val="en-US"/>
              </w:rPr>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Patricia Vaughn for the Form 2 in relation to the said allotment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Michael Leblanc HUF from Michael Leblanc.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Kathryn Whitaker from Teresa Richardson</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Carlos Walls from Hernandez-Adkins and Robinson and Sons</w:t>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0"/>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Joshua Beck from Jennifer Dunn.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Kathryn Whitaker from Hernandez-Adkins and Robinson and Sons</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 7B for transfer of shares to Angela Griffin by David Fischer.</w:t>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 7B for transfer of shares to Cox, Stark and Rodriguez by David Fischer.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by Carlos Walls to Angela Griffin and Joshua Beck.</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 subscription to the Ross LLC and further issue</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SH- 4 for transfer of shares by Carlos Walls, Angela Griffin and Joshua Beck to Pushpa Hegde.</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 further details, see Torres-Pope of history of shareholding and share capital of our Promoters and members of the Promoter Group in our Company” and “Capital Structure – Equity Share capital history of our Dyer, Potter and Mack” on pages 91 and 85, respectively.</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Text"/>
        <w:spacing w:before="201"/>
        <w:ind w:left="796" w:right="7" w:firstLine="0"/>
        <w:jc w:val="both"/>
      </w:pPr>
      <w:r>
        <w:rPr>
          <w:rStyle w:val="Hyperlink.4"/>
          <w:rtl w:val="0"/>
          <w:lang w:val="en-US"/>
        </w:rPr>
        <w:t>We have been unable to trace these documents despite commissioning a detailed search at the Registrar of Companies, through an independent practicing company secretary, Walker Ltd (“Practicing Company Secretary”), to trace records and filings available with Guzman, Hoffman and Baldwin and reliance has been placed on the certificate dated May 21, 2025, issued by the Practicing Company Secretary. We have also intimated the Registrar of Companies by way of our letter dated May 21, 2025, regarding the missing corporate records.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0" w:firstLine="0"/>
        <w:jc w:val="both"/>
      </w:pPr>
      <w:r>
        <w:rPr>
          <w:rStyle w:val="Hyperlink.4"/>
          <w:rtl w:val="0"/>
          <w:lang w:val="en-US"/>
        </w:rPr>
        <w:t>In addition, 1,000, equity shares of face value of ₹100 each allotted to Teresa Wilson, 500 equity shares of face value of ₹100 each allotted to Kaitlyn Mueller, Jennifer Zavala and Tracy Ramirez, respectively, pursuant to the initial subscription to the Ross LLC dated June 29, 1979, were subsequently taken on record by the Davis and Sons by way of a resolution dated August 25, 1979. For further details, see “Capital Structure – Notes to Capital Structure – Equity Share capital history of our Company”.</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 of the CARE Report prepared by George Group (“CareEdge Research”). All such information in this Red Herring Prospectus indicates the CARE Report as its source. The CARE Report is available on the website of our Company at https://kshinternational.com/investor-relations/industry-report/.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 2024, for the purpose of confirming our understanding of the industry in connection with this Offer. While Romero, Gonzalez and Brooks is not related to our Company, our Powell LLC or our Directors, our Company has subscribed to and paid for certain research and reports from Romero, Gonzalez and Brooks business process services division.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Cheryl Davis pursuant to reliance on the information in this Red Herring Prospectus based on, or derived from, the CARE Report. You should consult your own advisors and undertake an independent assessment of information in this Red Herring Prospectus based on, or derived from, the CARE Report before making any investment decision regarding this Offer. See “Industry Overview” on page 137. For the disclaimer associated with the CARE Report, see “Certain Conventions, Use of Financial Information and Market Data and Currency of Presentation – Industry and Market Data” on page 16.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 Working capital days is computed as Inventory days plus Trade receivable days minus Trade payable days. Inventory days is calculated as Johnson-Carlson divided by Cost of goods sold (COGS) from operations multiplied by 365 or 91days. Trade receivables days is calculated as White-Estes</w:t>
      </w:r>
      <w:r>
        <w:rPr>
          <w:rStyle w:val="None"/>
          <w:i w:val="1"/>
          <w:iCs w:val="1"/>
          <w:spacing w:val="80"/>
          <w:sz w:val="16"/>
          <w:szCs w:val="16"/>
          <w:rtl w:val="0"/>
        </w:rPr>
      </w:r>
      <w:r>
        <w:rPr>
          <w:rStyle w:val="Hyperlink.8"/>
          <w:rtl w:val="0"/>
          <w:lang w:val="en-US"/>
        </w:rPr>
      </w:r>
      <w:r>
        <w:rPr>
          <w:rStyle w:val="None"/>
          <w:i w:val="1"/>
          <w:iCs w:val="1"/>
          <w:spacing w:val="40"/>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1"/>
          <w:sz w:val="16"/>
          <w:szCs w:val="16"/>
          <w:rtl w:val="0"/>
        </w:rPr>
      </w:r>
      <w:r>
        <w:rPr>
          <w:rStyle w:val="Hyperlink.8"/>
          <w:rtl w:val="0"/>
          <w:lang w:val="pt-P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fr-FR"/>
        </w:rPr>
      </w:r>
      <w:r>
        <w:rPr>
          <w:rStyle w:val="None"/>
          <w:i w:val="1"/>
          <w:iCs w:val="1"/>
          <w:spacing w:val="1"/>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1"/>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lang w:val="en-US"/>
        </w:rPr>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White-Estes payable divided by COGS multiplied by 365 or 91 days.</w:t>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Kaitlyn Mueller, Rajesh Carlos Walls, David Caldwell and Taylor Heath are also our Executive Directors. Hence, litigation against our Executive Directors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Wayne Riley, CEO, Kristi Higgins MD, CFO, William Bowman, Henderson-Bernard, and House-Glover, Technical Director, are also our KMPs. Hence, litigation against our KMPs have not been included under the heading of SMs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Carlson-Cruz which will have a material impact on our Dyer, Potter and Mack.</w:t>
      </w:r>
    </w:p>
    <w:p>
      <w:pPr>
        <w:pStyle w:val="Body Text"/>
        <w:spacing w:before="201"/>
        <w:ind w:left="796" w:right="19" w:firstLine="0"/>
        <w:jc w:val="both"/>
      </w:pPr>
      <w:r>
        <w:rPr>
          <w:rStyle w:val="Hyperlink.4"/>
          <w:rtl w:val="0"/>
          <w:lang w:val="en-US"/>
        </w:rPr>
        <w:t>Such proceedings could divert management’s time, attention, and consume financial resources in their defence or prosecution. We cannot assure you that any of these matters will be settled in favour of our Dyer, Potter and Mack or that no additional liability will arise out of these proceedings. Further, we cannot assure you that there will be no new legal</w:t>
      </w:r>
      <w:r>
        <w:rPr>
          <w:rStyle w:val="Hyperlink.4"/>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None"/>
          <w:spacing w:val="0"/>
          <w:rtl w:val="0"/>
          <w:lang w:val="en-US"/>
        </w:rPr>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Leach, Harris and Herrera 3 (Khalumbre)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Leach, Harris and Herrera 3 (Khalumbre)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 Chandler-Edwards.</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9340 Smith Valley, West Ryan, TN 43780</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None"/>
          <w:i w:val="1"/>
          <w:iCs w:val="1"/>
          <w:spacing w:val="-2"/>
          <w:sz w:val="16"/>
          <w:szCs w:val="16"/>
          <w:rtl w:val="0"/>
          <w:lang w:val="en-US"/>
        </w:rPr>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Patterson, Smith and Jones, and two in Chakan (Pune), Maharashtra. Additionally, in order to address the rise in demand for magnet winding wires, we have established our fourth facility in Supa, Ahilyanagar (formerly Ahmednagar) in Mary Martinez (“Supa Facility”), of which, phase I is currently operational. For details in relation to the land on which our Fisher Group are located, see, “Our Business – Manufacturing Facilities” on page 229. Further, Michael Spencer, phase II of which is under construction, as on the date of this Red Herring Prospectus is located at Katie Estrada (formerly Ahmednagar), also in Maharashtra. Given the geographic concentration of our manufacturing operations in one state i.e. Mary Martinez,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Dyer, Potter and Mack;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Powell LLC have also extended personal guarantees in favour of our lenders. In the event any of these guarantees are revoked, the lenders for such facilities may require alternative guarantees or collateral or cancellation of such facilities, entailing repayment of amounts outstanding under such facilities. We may not be successful in procuring such alternative guarantees to the satisfaction of the lenders, and as a result may need to repay outstanding amounts under such facilities or seek additional sources of capital, which may not be available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5"/>
          <w:rtl w:val="0"/>
          <w:lang w:val="en-US"/>
        </w:rPr>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on acceptable terms or at all. For further details in relation to the personal guarantees, see “History and Certain Corporate Matters – Guarantees provided to third parties by our Spence PLC” on page 245.</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tab/>
              <w:t>Murphy PLC</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Wilson-Harris#</w:t>
            </w:r>
            <w:r>
              <w:rPr>
                <w:rStyle w:val="None"/>
                <w:spacing w:val="-2"/>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Burns, Nolan and Griffin</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Chavez PLC</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 MW rooftop solar power plant at our Walsh LLC from a portion of the Net Proceeds,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Adkins, Thompson and Carroll,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Bryant-Brown</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Chambers-Parker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Chambers-Parker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Chambers-Parker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 portion of the Net Proceeds may be utilised for repayment or prepayment of certain loan facilities availed by our Dyer, Potter and Mack.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p>
    <w:p>
      <w:pPr>
        <w:pStyle w:val="Body Text"/>
        <w:spacing w:before="200"/>
        <w:ind w:left="808" w:right="156" w:firstLine="0"/>
        <w:jc w:val="both"/>
      </w:pPr>
      <w:r>
        <w:rPr>
          <w:rStyle w:val="Hyperlink.4"/>
          <w:rtl w:val="0"/>
          <w:lang w:val="en-US"/>
        </w:rPr>
        <w:t>We propose to repay or pre-pay certain loan facilities availed by our Company from Kelley-Smith from the Net Proceeds. For details, see “Objects of the Offer” on page 106.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 our outstanding indebtedness and debt servicing costs, assist us in maintaining a favourable debt to equity ratio and enable utilisation of our internal accruals for further investment in business growth and expansion, the Jeffrey Carpenter pre-payment will not result in the creation of any tangible assets for our Company. We may not be successful in implementing our strategies, which could materially and adversely affect our business, results of operations and prospects.</w:t>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de-DE"/>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de-DE"/>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it-IT"/>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7"/>
          <w:sz w:val="20"/>
          <w:szCs w:val="20"/>
          <w:rtl w:val="0"/>
        </w:rPr>
      </w:r>
      <w:r>
        <w:rPr>
          <w:rStyle w:val="None"/>
          <w:sz w:val="20"/>
          <w:szCs w:val="20"/>
          <w:rtl w:val="0"/>
          <w:lang w:val="de-DE"/>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it-IT"/>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b w:val="1"/>
          <w:bCs w:val="1"/>
          <w:i w:val="1"/>
          <w:iCs w:val="1"/>
          <w:sz w:val="20"/>
          <w:szCs w:val="20"/>
          <w:rtl w:val="0"/>
          <w:lang w:val="en-US"/>
        </w:rPr>
      </w:r>
      <w:r>
        <w:rPr>
          <w:rStyle w:val="None"/>
          <w:b w:val="1"/>
          <w:bCs w:val="1"/>
          <w:i w:val="1"/>
          <w:iCs w:val="1"/>
          <w:spacing w:val="-1"/>
          <w:sz w:val="20"/>
          <w:szCs w:val="20"/>
          <w:rtl w:val="0"/>
          <w:lang w:val="en-US"/>
        </w:rPr>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As of October 31, 2025, our Dyer, Potter and Mack has outstanding unsecured loans amounting to ₹ 397.59 million as unsecured loans for our working capital requirements from financial institutions which is repayable on demand to the relevant lenders. These loans are not repayable in accordance with any agreed repayment schedule and may be recalled by the relevant lender at any time. In such cases, our Dyer, Potter and Mack may be required to repay the entirety of the unsecured loans together with accrued interest. Our Company may not be able to generate sufficient funds at short notice to be able to repay such loans and may resort to refinancing such loans at a higher rate of interest and on terms not favourable to it. If we are unable to arrange for any such financing arrangements, we may not have adequate working capital to carry out the operations or complete our ongoing operations. Failure to repay unsecured loans in a timely manner may have a material adverse effect on our business, cash flows and financial condition. For further details of unsecured loans of our Company, see, “Restated Financial Statement” on page 280.</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48"/>
        </w:numPr>
        <w:spacing w:before="199"/>
        <w:ind w:right="157"/>
        <w:rPr>
          <w:lang w:val="en-US"/>
        </w:rPr>
      </w:pPr>
      <w:r>
        <w:rPr>
          <w:rStyle w:val="Hyperlink.4"/>
          <w:rtl w:val="0"/>
          <w:lang w:val="en-US"/>
        </w:rPr>
        <w:t>We depend on our Morris, Ramos and Lowe, Senior Management, Key Management Personnel and qualified and skilled personnel with technical expertise, and if we are unable to recruit and retain senior management, qualified and skilled personnel, our business and our ability to operate or grow our business maybe adversely affected.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51" w:firstLine="0"/>
        <w:jc w:val="both"/>
      </w:pPr>
      <w:r>
        <w:rPr>
          <w:rStyle w:val="Hyperlink.4"/>
          <w:rtl w:val="0"/>
          <w:lang w:val="en-US"/>
        </w:rPr>
        <w:t>We are led by our Individual Promoters Kaitlyn Mueller, Pushpa Carlos Walls, Rajesh Carlos Walls, David Caldwell and Taylor Heath. For further details, see “Our Management” and “Our Promoter and Promoter Group” on pages 250 and 269,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2"/>
        <w:ind w:left="796" w:right="152" w:firstLine="0"/>
        <w:jc w:val="both"/>
      </w:pPr>
      <w:r>
        <w:rPr>
          <w:rStyle w:val="Hyperlink.4"/>
          <w:rtl w:val="0"/>
          <w:lang w:val="en-US"/>
        </w:rPr>
        <w:t>Our future performance would depend on the continued service of our Morris, Ramos and Lowe, Senior Management, Key Managerial Personnel,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2" w:firstLine="0"/>
        <w:jc w:val="both"/>
      </w:pPr>
      <w:r>
        <w:rPr>
          <w:rStyle w:val="Hyperlink.4"/>
          <w:rtl w:val="0"/>
          <w:lang w:val="en-US"/>
        </w:rPr>
        <w:t>As on date, our Dyer, Potter and Mack does not have a business succession policy in place, and there can be no assurance that we will be able to effectively formulate or implement appropriate succession plans in the future. Any loss of members of our senior management team or key managerial personnel could significantly delay or prevent the achievement of our business objectives, affect our succession planning and could harm our business and customer relationships. While there have not been any instances of where we have not been able to effectively replace our members of senior management, or loss of key managerial personnel in the three-month period ended June 30, 2025, and the Fiscals 2025, 2024 and 2023, we cannot assure you that we would be effectively able to replace any loss of members of our senior management team or key managerial personnels in the future.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Davis and Sons comprises of eight Directors, of which four are Executive Directors, and four are Independent Directors (including one woman Harvey, Davis and Crane Director). While all of our directors have several years of experience and expertise in their respective fields, apart from two of our Independent Directors, namely Jackson, Miller and Robertson and Rebecca Moyer, none of our Directors, are currently on the board of directors of companies that are listed on the stock exchanges in India or outside India.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Dyer, Potter and Mack has availed certain incentives such as Merchandise Exports from India Scheme (“MEIS”) and Remission of Duties or Taxes on Export of Products Scheme (“RoDTEP”). The table below sets forth details relating to government incentive schemes: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Percentage of Revenue from Bush-Vaughn</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 from Bush-Vaughn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 from Bush-Vaughn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 from Bush-Vaughn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Walsh LLC, we expect to receive incentives from the Maharashtra State Government under the Maharashtra Industrial Policy, 2019 (“MIP”), which aims to incentivise the companies for setting up and/ or expanding existing facilities primarily based on certain revenue parameters. Key incentive under the MIP includes tax benefits of 50% of gross state GST for local sales made within Patterson, Smith and Jones, and customized benefits to mega and ultra mega units on a case-to-case basis.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Our trademark “KSH” is also used by 18 other entities, including, (i) Mitchell, Nelson and Flores; (ii) Hill Inc; (iii) KSH Infra Park 5 Ramirez, Strickland and Washington; (iv) Green-Wright; (v) Manning Group; (vi) Simmons, Meadows and Griffin; (vii) Jessica Briggs and Schmidt, Hansen and Stewart; (viii) Bryant Group; (ix) Holmes, Williams and Wright; (x) Robinson-Brock; (xi) Stafford Inc; (xii) Hernandez Ltd; (xiii) Martin, Rose and Obrien; (xiv) Lee, Horton and Snyder; (xv) Gibson Ltd; (xvi) Riggs PLC; (xvii) Hernandez Inc; and (xviii) Chambers and Sons (“Group Entities”). We have entered into consent and waiver letters each dated May 22, 2025, respectively, and authorisation letter dated November 27, 2025, with the Group Entities setting out the arrangement on usage of the brand “KSH”. As of date of this Red Herring Prospectus, we have permitted the Group Entities to use the “KSH” trademark without any payment, provided that certain terms and conditions therein are met. We cannot assure you that any waiver of consideration for using the “KSH” trademark would not have any adverse effect on our financial condition.</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 Assets represent Fixed Assets including Brown-Wall and excluding Russell-Daniels, Intangibles, Investments, Cash and Mccarthy Inc, other Miller, Hernandez and Reyes.</w:t>
      </w:r>
      <w:r>
        <w:rPr>
          <w:rStyle w:val="None"/>
          <w:spacing w:val="-10"/>
          <w:sz w:val="16"/>
          <w:szCs w:val="16"/>
          <w:vertAlign w:val="baseline"/>
          <w:rtl w:val="0"/>
        </w:rPr>
      </w:r>
      <w:r>
        <w:rPr>
          <w:rStyle w:val="None"/>
          <w:i w:val="1"/>
          <w:iCs w:val="1"/>
          <w:sz w:val="16"/>
          <w:szCs w:val="16"/>
          <w:vertAlign w:val="baseline"/>
          <w:rtl w:val="0"/>
          <w:lang w:val="pt-PT"/>
        </w:rPr>
      </w:r>
      <w:r>
        <w:rPr>
          <w:rStyle w:val="None"/>
          <w:i w:val="1"/>
          <w:iCs w:val="1"/>
          <w:spacing w:val="-4"/>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pt-P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fr-FR"/>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2"/>
        <w:ind w:left="796" w:firstLine="0"/>
        <w:jc w:val="both"/>
        <w:rPr>
          <w:rStyle w:val="Hyperlink.8"/>
        </w:rPr>
      </w:pPr>
      <w:r>
        <w:rPr>
          <w:rStyle w:val="None"/>
          <w:sz w:val="16"/>
          <w:szCs w:val="16"/>
          <w:vertAlign w:val="superscript"/>
          <w:rtl w:val="0"/>
        </w:rPr>
        <w:t>** Insurance policies do not include Smith, Gilmore and Johnston, Stein-Silva and Burglary Policies.</w:t>
      </w:r>
      <w:r>
        <w:rPr>
          <w:rStyle w:val="None"/>
          <w:spacing w:val="-8"/>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lang w:val="pt-PT"/>
        </w:rPr>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 all material hazards and had adverse effect on the business, results of operations and financial condition of 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towards addressing certain covenants specified by the insurance companies. Our Company has not made any insurance claims in the three-month period ended June 30, 2025, and Fiscal 2025, 2024, and 2023. However, our Dyer, Potter and Mack has recently made one insurance claim aggregating to ₹2.94 million on January 14, 2025, in relation to an instance involving fire in one of the online uninterrupted power supply units installed at our Unit 3 (“Insurance Claim”). The Insurance Claim was rejected by the insurer and our Dyer, Potter and Mack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 Promoters and certain of our Directors have interests in us other than the reimbursement of expenses incurred 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Offer and any dividend and other distributions payable in respect of such Equity Shares. We cannot assure you that our Promoters and such Directors will exercise their rights as shareholders to the benefit and best interest of our Dyer, Potter and Mack under all circumstances. For further details in relation to the interest of our Promoters and Directors, see “Summary of the Offer Document – Summary of related party transactions” and “Other Financial Information – Related Party Transactions” on “Our Promoters and Promoter Group – Interests of Promoters”, “Our Management – Interest of Directors” on pages 24, 355, 275 and 256,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 to the benefit and best interest of our Company. As a result, such Director in the future will continue to exercise significant control over our Dyer, Potter and Mack, including being able to control the composition of our Board of Directors and determine decisions requiring simple or special majority voting, and our other York Inc may be unable to affect the outcome of such voting. Such interested Director in the future may take or block actions with respect to our business, which may conflict with our best interests or the interests of other minority Shareholders, 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We have in the past entered into transactions with several related parties. For details regarding our related party transactions for the Fiscals 2025, 2024, 2023 and for the three-month period ended June 30, 2025, see “Summary of the Offer Document – Summary of related party transactions” and “Other Financial Information – Related Party Transactions”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Smith-Bell, Davis and Sons or shareholder approval, as may be required under the Companies Act, 2013 and the SEBI Listing Regulations and the circulars issued by the SEBI in this regard, we cannot assure you that such transactions, individually or in the aggregate, will not have an adverse effect on our financial condition and results of operations or that our Company could not have undertaken such transactions on more favorable terms with any unrelated parties. We cannot assure you that any dispute that may arise between us and related parties will be resolved in our favour.</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8"/>
        <w:jc w:val="left"/>
        <w:rPr>
          <w:lang w:val="en-US"/>
        </w:rPr>
      </w:pPr>
      <w:r>
        <w:rPr>
          <w:rStyle w:val="Hyperlink.4"/>
          <w:rtl w:val="0"/>
          <w:lang w:val="en-US"/>
        </w:rPr>
        <w:t>Our Promoters and members of our Brown, Valdez and Lucas will continue to hold a significant equity stake in our Dyer, Potter and Mack after the Offer and their interests may differ from those of the other shareholders.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53" w:firstLine="0"/>
        <w:jc w:val="both"/>
      </w:pPr>
      <w:r>
        <w:rPr>
          <w:rStyle w:val="Hyperlink.4"/>
          <w:rtl w:val="0"/>
          <w:lang w:val="en-US"/>
        </w:rPr>
        <w:t>As on the date of this Red Herring Prospectus, our Promoters and members of the Promoter Group collectively hold 98.40% of the paid-up Equity Share capital of our Company. For further information on their shareholding pre and post-Offer, see Wright and Sons on page 84. After the completion of the Offer, our Promoters along with the members of Brown, Valdez and Lucas will continue to collectively hold majority of the shareholding in our Dyer, Potter and Mack and will continue to exercise significant influence over our business policies and affairs and all matters requiring Shareholders’ approval, including the composition of our Davis and Sons,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 that the Powell LLC or the members of the Promoter Group will act to resolve any conflict of interest in our favour and any such conflict may adversely affect our ability to execute our business strategy or to operate our business. For further information in relation to the interests of our Promoters in the Company, see “Our Promoters and Promoter Group” and “Our Management” on pages 269 and 250, respectively.</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December 20, 2021, with a vendor (“Cloud Services Vendor”) to streamline our record keeping and track our business operations. Any disruptions of services at Castaneda-Ashley Vendor’s end, shall be beyond our control and may adversely affect our business, financial condition and results of operations. While we have not experienced any instances of security breaches in the three-month period ended June 30, 2025, or Fiscals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 the utilization of the Net Proceeds as disclosed in this Red Herring Prospectus shall be subject to certain compliance requirements, including prior approval of the shareholders of our Dyer, Potter and Mack.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9" w:firstLine="0"/>
        <w:jc w:val="both"/>
      </w:pPr>
      <w:r>
        <w:rPr>
          <w:rStyle w:val="Hyperlink.4"/>
          <w:rtl w:val="0"/>
          <w:lang w:val="en-US"/>
        </w:rPr>
        <w:t>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Walsh LLC; and (b) purchasing and setting up of new machinery at Unit 2 in Chakan, Pune in Maharashtra; (iii) Funding the capital expenditure requirements of our Company towards purchasing and setting up of a rooftop solar power plant for power generation at our Walsh LLC; and (iv) general corporate purposes. For further details of the proposed objects of the Offer, see “Objects of the Offer” on page 106. Our funding requirements are based on management estimates and are not appraised by any bank or financial institution. The deployment of the Net Proceeds will be at the discretion of our Davis and Sons. However, the deployment of the Gross Proceeds will be monitored by a monitoring agency appointed pursuant to the SEBI ICDR Regulations. Further, we cannot determine with any certainty if we would require the Net Proceeds to meet another expenditure or fund any exigencies arising out of the competitive environment, business conditions, economic conditions or other factors beyond our control. In accordance with the Companies Act, 2013 and the SEBI ICDR Regulations, we cannot undertake variation in the utilization of the Net Proceeds as disclosed in this Red 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York Inc may adversely affect our business or operations. Further, our Promoters would be required to provide an exit opportunity to the shareholders of our Company who do not agree with our proposal to modify the objects of the Offer, at a price and manner as prescribed by SEBI.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54" w:firstLine="0"/>
        <w:jc w:val="both"/>
      </w:pPr>
      <w:r>
        <w:rPr>
          <w:rStyle w:val="Hyperlink.4"/>
          <w:rtl w:val="0"/>
          <w:lang w:val="en-US"/>
        </w:rPr>
        <w:t>Additionally, the requirement on Powell LLC to provide an exit opportunity to such dissenting shareholders of our Dyer, Potter and Mack may deter our Promoters from agreeing to the variation of the proposed utilization of the Net Proceeds, even if such variation is in the interest of our Company. Further, we cannot assure you that our Promoters of our Company if applicable, will have adequate resources at their disposal at all times to enable them to provide an exit opportunity. In light of these factors, we may not be able to vary the objects of the Offer to use any unutilized proceeds of the Fresh Issue, if any, even if such variation is in the interest of our Company. This may restrict our Company’s ability to respond to any change in our business or financial condition by re-deploying the unutilized portion of Medina-Navarro, if any,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Kaitlyn Mueller, and our Promoter, Pushpa Stephanie Freeman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 Company will not receive any proceeds from the Offer for Sale. Our Spence PLC will receive the proceeds from the Offer for Sale.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 Offer has been authorized pursuant to the resolution passed by our Davis and Sons dated May 6, 2025. The Fresh Issue has been authorized by our Shareholders by a special resolution dated May 6, 2025. Further, our Davis and Sons has taken on record the consents of the Promoter Selling Shareholders to participate in the Offer for Sale pursuant to its resolution dated May 6, 2025 and Graham-Johnson has taken on record further updated consents of the Spence PLC pursuant to its resolutions dated May 22, 2025 and December 6, 2025, respectively.</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 Promoter Selling Shareholders have confirmed and authorised their participation in the Offer for Michael Powell as set out below:</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None"/>
          <w:i w:val="1"/>
          <w:iCs w:val="1"/>
          <w:spacing w:val="-2"/>
          <w:sz w:val="16"/>
          <w:szCs w:val="16"/>
          <w:rtl w:val="0"/>
          <w:lang w:val="en-US"/>
        </w:rPr>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 amount of Offer for Michael Powell (₹ in million)</w:t>
            </w:r>
            <w:r>
              <w:rPr>
                <w:rStyle w:val="None"/>
                <w:b w:val="1"/>
                <w:bCs w:val="1"/>
                <w:i w:val="1"/>
                <w:iCs w:val="1"/>
                <w:spacing w:val="-7"/>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6"/>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6"/>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5"/>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5"/>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
                <w:sz w:val="16"/>
                <w:szCs w:val="16"/>
                <w:shd w:val="nil" w:color="auto" w:fill="auto"/>
                <w:rtl w:val="0"/>
                <w:lang w:val="en-US"/>
              </w:rPr>
            </w:r>
            <w:r>
              <w:rPr>
                <w:rStyle w:val="None"/>
                <w:b w:val="1"/>
                <w:bCs w:val="1"/>
                <w:i w:val="1"/>
                <w:iCs w:val="1"/>
                <w:sz w:val="16"/>
                <w:szCs w:val="16"/>
                <w:shd w:val="nil" w:color="auto" w:fill="auto"/>
                <w:rtl w:val="0"/>
                <w:lang w:val="en-US"/>
              </w:rPr>
            </w:r>
            <w:r>
              <w:rPr>
                <w:rStyle w:val="None"/>
                <w:rFonts w:ascii="Arial Unicode MS" w:cs="Arial Unicode MS" w:hAnsi="Arial Unicode MS" w:eastAsia="Arial Unicode MS" w:hint="default"/>
                <w:b w:val="0"/>
                <w:bCs w:val="0"/>
                <w:i w:val="0"/>
                <w:iCs w:val="0"/>
                <w:sz w:val="16"/>
                <w:szCs w:val="16"/>
                <w:shd w:val="nil" w:color="auto" w:fill="auto"/>
                <w:rtl w:val="0"/>
                <w:lang w:val="en-US"/>
              </w:rPr>
            </w:r>
            <w:r>
              <w:rPr>
                <w:rStyle w:val="None"/>
                <w:b w:val="1"/>
                <w:bCs w:val="1"/>
                <w:i w:val="1"/>
                <w:iCs w:val="1"/>
                <w:spacing w:val="-4"/>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pacing w:val="-2"/>
                <w:sz w:val="16"/>
                <w:szCs w:val="16"/>
                <w:shd w:val="nil" w:color="auto" w:fill="auto"/>
                <w:rtl w:val="0"/>
                <w:lang w:val="en-US"/>
              </w:rPr>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Kaitlyn Mueller</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Pushpa Carlos Walls</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Rajesh Carlos Walls</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David Caldwell</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Spence PLC and being offered by the Promoter Selling Shareholders are eligible to form a part of the Offer for Sale in terms of the SEBI ICDR Regulations. Each of the Promoter Selling Shareholders, severally and not jointly, confirms that the Equity Shares being offered by it are eligible for being offered for sale pursuant to the Offer in terms of Regulation 8 of the SEBI ICDR Regulations. For further details of authorizations received for the Offer, see “Other Regulatory and Statutory Disclosures” on page 398.</w:t>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Hyperlink.4"/>
          <w:sz w:val="16"/>
          <w:szCs w:val="16"/>
          <w:rtl w:val="0"/>
          <w:lang w:val="en-US"/>
        </w:rPr>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Ferguson, Meadows and Vargas and Gibson LLC, shall be made on a proportionate basis subject to valid Bids received at or above the Offer Price. The allocation to each Retail Individual Investors shall not be less than the minimum Anthony Gray, subject to availability of Equity Shares in the Retail Portion and the remaining available Pittman and Sons, if any, shall be allocated on a proportionate basis. Not less than 15% of the Offer shall be available for allocation to Ferguson, Meadows and Vargas of which one-third of the Non-Institutional Portion will be available for allocation to Bidders with an application size of more than ₹0.20 million and up to ₹1.00 million and two-thirds of the Non-Institutional Portion will be available for allocation to Bidders with an application size of more than ₹1.00 million and under-subscription in either of these two sub-categories of Johnson, Day and Taylor may be allocated to Bidders in the other sub-category of Johnson, Day and Taylor. The allocation to each Ferguson, Meadows and Vargas shall not be less than the minimum application size, subject to availability of Equity Shares in the Non-Institutional Portion and the remaining available Pittman and Sons, if any, shall be allocated on a proportionate basis.</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 with the SEBI ICDR Regulations. 40% of the Anchor Investor Portion shall be reserved in the following manner (i) 33.33% of the Anchor Investor Portion shall be reserved for domestic Jamie Walton; and (ii) 6.67% of the Anchor Investor Portion shall be reserved for King-Miller, subject to valid Bids being received from domestic Jamie Walton, King-Miller, as applicable, at or above the Anchor Investor Allocation Price. Any under-subscription in the Life Insurance Companies and Pension Funds category specified in (ii) above may be allocated to domestic Jamie Walton, in accordance with the SEBI ICDR Regulations.. In the event of under-subscription in the Anchor Investor Portion, the remaining Equity Shares shall be added to the Net QIB Portion. Further, 5% of the Net QIB Portion shall be available for allocation on a proportionate basis to Mutual Funds only, and the remainder of the Net QIB Portion shall be available for allocation on a proportionate basis to all QIB Bidders (other than Anchor Investors), including Mutual Funds, subject to valid Bids being received at or above the Offer Price. However, if the aggregate demand from Mutual Funds is less than as specified above, the balance Equity Shares available for Allotment in the Mutual Fund Portion will be added to the Net QIB Portion and allocated proportionately to the QIB Bidders (other than Anchor Investors) in proportion to their Bids. For further information, see “Offer Procedure” on page 420.</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 following tables set forth the summary financial information derived from the Restated Financial Statements. The summary financial information presented below should be read in conjunction with “Financial Information” and “Management’s Discussion and Analysis of Financial Condition and Smith-Bowen” on pages 280 and 356, respectively.</w:t>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 Office of our Curry Inc</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11/3, 11/4 and 11/5, Village Birdewadi Chakan, Mrs. Marie Harrington DDS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line="228" w:lineRule="exact"/>
        <w:ind w:left="88" w:firstLine="0"/>
      </w:pPr>
      <w:r>
        <w:rPr>
          <w:rStyle w:val="Hyperlink.4"/>
          <w:rtl w:val="0"/>
          <w:lang w:val="en-US"/>
        </w:rPr>
        <w:t>09232 Caldwell Port, South Holly, WI 48852</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 Office of our Curry Inc</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201, Tower-2, Strickland and Sons, Lawrence Adkins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Unit 1904 Box 9663, DPO AE 78108</w:t>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vertAlign w:val="baseline"/>
          <w:rtl w:val="0"/>
          <w:lang w:val="en-US"/>
        </w:rPr>
      </w:r>
      <w:r>
        <w:rPr>
          <w:rStyle w:val="None"/>
          <w:vertAlign w:val="baseline"/>
          <w:rtl w:val="0"/>
          <w:lang w:val="en-US"/>
        </w:rPr>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Kaitlyn Mueller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39106 Graves Plains Apt. 170, Robertberg, WI 84586</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Rajesh Carlos Walls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Unit 6567 Box 6618, DPO AE 86161</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David Caldwell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86823 Katelyn Hills, Nunezside, NE 70222</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Taylor Heath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 no. 245/ 104, Pushpakamal, Morrow-Wright, lane no.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10690 Jamie Courts Apt. 790, Lake Bradley, NV 31216</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84395 Young Wells, Lake Adriana, MT 39888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Rebecca Moyer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687 Teresa Row, Floydmouth, UT 55069</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Elijah White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42708 Faulkner Point, South John, IL 43789</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1830 Bennett Rapids Apt. 139, South Jason, PW 44143</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William Bowman is our Company Secretary and Compliance Officer. His contact details are as set forth below: Gat No. 11/3, 11/4, 11/5, Lori Garcia</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8220" w:firstLine="0"/>
      </w:pPr>
      <w:r>
        <w:rPr>
          <w:rStyle w:val="Hyperlink.4"/>
          <w:rtl w:val="0"/>
          <w:lang w:val="en-US"/>
        </w:rPr>
        <w:t>058 Stanley Cliff, Alexanderchester, GU 64752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 +91 16572 62849</w:t>
      </w:r>
      <w:r>
        <w:rPr>
          <w:rStyle w:val="None"/>
          <w:b w:val="1"/>
          <w:bCs w:val="1"/>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 umarshall@example.net</w:t>
      </w:r>
      <w:r>
        <w:rPr>
          <w:rStyle w:val="None"/>
          <w:b w:val="1"/>
          <w:bCs w:val="1"/>
          <w:spacing w:val="0"/>
          <w:rtl w:val="0"/>
          <w:lang w:val="en-US"/>
        </w:rPr>
      </w:r>
      <w:r>
        <w:rPr>
          <w:rStyle w:val="Hyperlink.5"/>
        </w:rPr>
      </w:r>
      <w:r>
        <w:rPr>
          <w:rStyle w:val="Hyperlink.5"/>
        </w:rPr>
      </w:r>
      <w:r>
        <w:rPr>
          <w:rStyle w:val="Hyperlink.5"/>
        </w:rPr>
      </w:r>
      <w:r>
        <w:rPr>
          <w:rStyle w:val="Hyperlink.5"/>
          <w:rtl w:val="0"/>
          <w:lang w:val="en-US"/>
        </w:rPr>
      </w:r>
      <w:r>
        <w:rPr/>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Morris-Sanchez</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 Wing A, Building No. 3 Inspire BKC G Block, Diana Hayes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117" w:right="1579" w:firstLine="0"/>
      </w:pPr>
      <w:r>
        <w:rPr>
          <w:rStyle w:val="Hyperlink.4"/>
          <w:rtl w:val="0"/>
          <w:lang w:val="en-US"/>
        </w:rPr>
        <w:t>0752 Lewis Union Suite 549, Angelahaven, ID 11722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117" w:right="2750" w:firstLine="0"/>
        <w:jc w:val="both"/>
        <w:rPr>
          <w:rStyle w:val="Hyperlink.9"/>
        </w:rPr>
      </w:pPr>
      <w:r>
        <w:rPr>
          <w:rStyle w:val="None"/>
          <w:b w:val="1"/>
          <w:bCs w:val="1"/>
          <w:sz w:val="20"/>
          <w:szCs w:val="20"/>
          <w:rtl w:val="0"/>
          <w:lang w:val="it-IT"/>
        </w:rPr>
        <w:t>Telephone: +91 77701 43634 Email: jenniferfreeman@example.org Website: www.nuvama.com</w:t>
      </w:r>
      <w:r>
        <w:rPr>
          <w:rStyle w:val="None"/>
          <w:b w:val="1"/>
          <w:bCs w:val="1"/>
          <w:spacing w:val="-13"/>
          <w:sz w:val="20"/>
          <w:szCs w:val="20"/>
          <w:rtl w:val="0"/>
        </w:rPr>
      </w:r>
      <w:r>
        <w:rPr>
          <w:rStyle w:val="None"/>
          <w:sz w:val="20"/>
          <w:szCs w:val="20"/>
          <w:rtl w:val="0"/>
        </w:rPr>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r>
      <w:r>
        <w:rPr>
          <w:rStyle w:val="None"/>
          <w:sz w:val="20"/>
          <w:szCs w:val="20"/>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spacing w:line="229" w:lineRule="exact"/>
        <w:ind w:left="117" w:firstLine="0"/>
        <w:rPr>
          <w:rStyle w:val="Hyperlink.9"/>
        </w:rPr>
      </w:pPr>
      <w:r>
        <w:rPr>
          <w:rStyle w:val="None"/>
          <w:b w:val="1"/>
          <w:bCs w:val="1"/>
          <w:sz w:val="20"/>
          <w:szCs w:val="20"/>
          <w:rtl w:val="0"/>
        </w:rPr>
        <w:t>Investor grievance E-mail: thomas85@example.com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ind w:left="117" w:firstLine="0"/>
        <w:rPr>
          <w:rStyle w:val="Hyperlink.9"/>
        </w:rPr>
      </w:pPr>
      <w:r>
        <w:rPr>
          <w:rStyle w:val="None"/>
          <w:b w:val="1"/>
          <w:bCs w:val="1"/>
          <w:sz w:val="20"/>
          <w:szCs w:val="20"/>
          <w:rtl w:val="0"/>
          <w:lang w:val="en-US"/>
        </w:rPr>
        <w:t>Contact person: Lokesh Shah/ Krista Bell MD</w:t>
      </w:r>
      <w:r>
        <w:rPr>
          <w:rStyle w:val="None"/>
          <w:b w:val="1"/>
          <w:bCs w:val="1"/>
          <w:spacing w:val="-3"/>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35182 Javier Orchard, Jennyhaven, PA 37594</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117" w:right="1642" w:firstLine="0"/>
        <w:rPr>
          <w:rStyle w:val="Hyperlink.9"/>
        </w:rPr>
      </w:pPr>
      <w:r>
        <w:rPr>
          <w:rStyle w:val="None"/>
          <w:b w:val="1"/>
          <w:bCs w:val="1"/>
          <w:sz w:val="20"/>
          <w:szCs w:val="20"/>
          <w:rtl w:val="0"/>
          <w:lang w:val="en-US"/>
        </w:rPr>
        <w:t>Telephone: +91 40084 27109 Email: kevinerickson@example.org Website: www.icicisecurities.com Investor grievance E-mail: wallkenneth@example.com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r>
        <w:rPr>
          <w:rStyle w:val="Hyperlink.9"/>
          <w:rtl w:val="0"/>
        </w:rPr>
      </w:r>
      <w:r>
        <w:rPr>
          <w:rStyle w:val="None"/>
          <w:b w:val="1"/>
          <w:bCs w:val="1"/>
          <w:sz w:val="20"/>
          <w:szCs w:val="20"/>
          <w:rtl w:val="0"/>
        </w:rPr>
      </w:r>
      <w:r>
        <w:rPr>
          <w:rStyle w:val="Hyperlink.9"/>
          <w:rtl w:val="0"/>
        </w:rPr>
      </w:r>
      <w:r>
        <w:rPr>
          <w:rStyle w:val="Hyperlink.10"/>
        </w:rPr>
      </w:r>
      <w:r>
        <w:rPr>
          <w:rStyle w:val="Hyperlink.10"/>
        </w:rPr>
      </w:r>
      <w:r>
        <w:rPr>
          <w:rStyle w:val="Hyperlink.10"/>
        </w:rPr>
      </w:r>
      <w:r>
        <w:rPr>
          <w:rStyle w:val="Hyperlink.10"/>
          <w:rtl w:val="0"/>
          <w:lang w:val="it-IT"/>
        </w:rPr>
      </w:r>
      <w:r>
        <w:rPr/>
      </w:r>
    </w:p>
    <w:p>
      <w:pPr>
        <w:pStyle w:val="Body"/>
        <w:spacing w:line="230" w:lineRule="exact"/>
        <w:ind w:left="117" w:firstLine="0"/>
        <w:rPr>
          <w:rStyle w:val="Hyperlink.9"/>
        </w:rPr>
      </w:pPr>
      <w:r>
        <w:rPr>
          <w:rStyle w:val="None"/>
          <w:b w:val="1"/>
          <w:bCs w:val="1"/>
          <w:sz w:val="20"/>
          <w:szCs w:val="20"/>
          <w:rtl w:val="0"/>
          <w:lang w:val="en-US"/>
        </w:rPr>
        <w:t>Contact person: John Peterson</w:t>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Dyer, Potter and Mack including its operations/management/business plans/legal etc. Drafting and design of the Draft Red Herring Prospectus, Rodriguez, Figueroa and Sanchez, Anderson Group, abridged prospectus and application form. The BRLMs shall ensure compliance with stipulated requirements and completion of prescribed formalities with the Stock Exchanges, RoC and SEBI including finalisation of RHP, Anderson Group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 of all other intermediaries (e.g., Registrar(s), Printer(s), Blair-Edwards, Banker(s) to the Issue and Sponsor Banker to the Issue, Advertising agency</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Krueger-Smith,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Hayden Inc,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 marketing of the Issue, which will cover, Key, Mendoza and Sanchez,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 Marketing of the Issue, which will cover, Key, Mendoza and Sanchez,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 activities, which shall involve essential follow-up with Jimenez, Glass and Stone to the Issue and SCSBs to get quick estimates of collection and advising Dyer, Potter and Mack about the closure of the Issue, based on correct figures, finalisation of the basis of allotment or weeding out of multiple applications, unblocking of application monies, listing of instruments, dispatch of certificates or demat credit and refunds, payment of applicable Padilla, Sanders and Allen on behalf of the Promoter Selling Shareholders and coordination with various agencies connected with the post-Offer activity such as Registrar to the Issue, Bankers to the Issue, Sponsor Banks, SCSBs including responsibility for underwriting arrangements, as applicable.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Morris-Sanchez</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Diana Hayes, Bandra East Mumbai 400 051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 +91 04711 67190</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 jenniferfreeman@example.org, mcknightdavid@example.com, and edwardhart@example.com</w:t>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 Person: Rachel Perez</w:t>
      </w:r>
      <w:r>
        <w:rPr>
          <w:rStyle w:val="None"/>
          <w:b w:val="1"/>
          <w:bCs w:val="1"/>
          <w:spacing w:val="-5"/>
          <w:sz w:val="20"/>
          <w:szCs w:val="20"/>
          <w:rtl w:val="0"/>
        </w:rPr>
      </w:r>
      <w:r>
        <w:rPr>
          <w:rStyle w:val="None"/>
          <w:b w:val="1"/>
          <w:bCs w:val="1"/>
          <w:sz w:val="20"/>
          <w:szCs w:val="20"/>
          <w:rtl w:val="0"/>
          <w:lang w:val="sv-SE"/>
        </w:rPr>
      </w:r>
      <w:r>
        <w:rPr>
          <w:rStyle w:val="None"/>
          <w:b w:val="1"/>
          <w:bCs w:val="1"/>
          <w:spacing w:val="-3"/>
          <w:sz w:val="20"/>
          <w:szCs w:val="20"/>
          <w:rtl w:val="0"/>
        </w:rPr>
      </w:r>
      <w:r>
        <w:rPr>
          <w:rStyle w:val="Hyperlink.9"/>
          <w:rtl w:val="0"/>
        </w:rPr>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35182 Javier Orchard, Jennyhaven, PA 37594</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88" w:right="7485" w:firstLine="0"/>
        <w:rPr>
          <w:rStyle w:val="Hyperlink.9"/>
        </w:rPr>
      </w:pPr>
      <w:r>
        <w:rPr>
          <w:rStyle w:val="None"/>
          <w:b w:val="1"/>
          <w:bCs w:val="1"/>
          <w:sz w:val="20"/>
          <w:szCs w:val="20"/>
          <w:rtl w:val="0"/>
          <w:lang w:val="en-US"/>
        </w:rPr>
        <w:t>Telephone: +91 40084 27109 Email: kevinerickson@example.org Website: www.icicisecurities.com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p>
    <w:p>
      <w:pPr>
        <w:pStyle w:val="Body"/>
        <w:spacing w:line="229" w:lineRule="exact"/>
        <w:ind w:left="88" w:firstLine="0"/>
        <w:rPr>
          <w:rStyle w:val="Hyperlink.9"/>
        </w:rPr>
      </w:pPr>
      <w:r>
        <w:rPr>
          <w:rStyle w:val="None"/>
          <w:b w:val="1"/>
          <w:bCs w:val="1"/>
          <w:sz w:val="20"/>
          <w:szCs w:val="20"/>
          <w:rtl w:val="0"/>
        </w:rPr>
        <w:t>Investor grievance E-mail: wallkenneth@example.com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it-IT"/>
        </w:rPr>
      </w:r>
      <w:r>
        <w:rPr/>
      </w:r>
    </w:p>
    <w:p>
      <w:pPr>
        <w:pStyle w:val="Body"/>
        <w:ind w:left="88" w:firstLine="0"/>
        <w:rPr>
          <w:rStyle w:val="Hyperlink.9"/>
        </w:rPr>
      </w:pPr>
      <w:r>
        <w:rPr>
          <w:rStyle w:val="None"/>
          <w:b w:val="1"/>
          <w:bCs w:val="1"/>
          <w:sz w:val="20"/>
          <w:szCs w:val="20"/>
          <w:rtl w:val="0"/>
          <w:lang w:val="en-US"/>
        </w:rPr>
        <w:t>Contact person: John Peterson</w:t>
      </w:r>
      <w:r>
        <w:rPr>
          <w:rStyle w:val="None"/>
          <w:b w:val="1"/>
          <w:bCs w:val="1"/>
          <w:spacing w:val="-7"/>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4964 Chelsea Streets Apt. 334, East Johnside, CA 21018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 ortizhannah@example.com</w:t>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spacing w:before="1"/>
        <w:ind w:left="88" w:firstLine="0"/>
        <w:rPr>
          <w:rStyle w:val="Hyperlink.9"/>
        </w:rPr>
      </w:pPr>
      <w:r>
        <w:rPr>
          <w:rStyle w:val="None"/>
          <w:b w:val="1"/>
          <w:bCs w:val="1"/>
          <w:sz w:val="20"/>
          <w:szCs w:val="20"/>
          <w:rtl w:val="0"/>
          <w:lang w:val="en-US"/>
        </w:rPr>
        <w:t>Telephone: +91 40344 71349</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Holland LLC (Lara, Gonzalez and Wilson) C-101, Embassy 247</w:t>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r>
      <w:r>
        <w:rPr>
          <w:rStyle w:val="Hyperlink.9"/>
          <w:rtl w:val="0"/>
        </w:rPr>
      </w:r>
    </w:p>
    <w:p>
      <w:pPr>
        <w:pStyle w:val="Body Text"/>
        <w:ind w:left="88" w:right="7173" w:firstLine="0"/>
        <w:jc w:val="both"/>
      </w:pPr>
      <w:r>
        <w:rPr>
          <w:rStyle w:val="Hyperlink.4"/>
          <w:rtl w:val="0"/>
          <w:lang w:val="en-US"/>
        </w:rPr>
        <w:t>1st Floor, L B S Marg, Eric Powell (West) Mumbai 400083, (Maharashtra), India Telephone: +91 21024 99471</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 vincent77@example.org</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rPr>
        <w:t>Investor grievance E-mail: vincent77@example.org</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de-DE"/>
        </w:rPr>
      </w:r>
      <w:r>
        <w:rPr/>
      </w:r>
    </w:p>
    <w:p>
      <w:pPr>
        <w:pStyle w:val="Body"/>
        <w:ind w:left="88" w:right="6992" w:firstLine="0"/>
        <w:rPr>
          <w:rStyle w:val="Hyperlink.9"/>
        </w:rPr>
      </w:pPr>
      <w:r>
        <w:rPr>
          <w:rStyle w:val="None"/>
          <w:b w:val="1"/>
          <w:bCs w:val="1"/>
          <w:sz w:val="20"/>
          <w:szCs w:val="20"/>
          <w:rtl w:val="0"/>
          <w:lang w:val="en-US"/>
        </w:rPr>
        <w:t>Website: www.in.mpms.mufg.com Contact Person: Stacy Navarro SEBI Registration No.: INR000004058</w:t>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r>
      <w:r>
        <w:rPr>
          <w:rStyle w:val="None"/>
          <w:b w:val="1"/>
          <w:bCs w:val="1"/>
          <w:spacing w:val="-11"/>
          <w:sz w:val="20"/>
          <w:szCs w:val="20"/>
          <w:rtl w:val="0"/>
        </w:rPr>
      </w:r>
      <w:r>
        <w:rPr>
          <w:rStyle w:val="Hyperlink.9"/>
          <w:rtl w:val="0"/>
        </w:rPr>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the Wright, Davis and Hayden</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Matthews, Smith and Hubbard, FIG-OPS Department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78742 Walters Overpass, South Michaelmouth, MD 88336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ind w:left="88" w:firstLine="0"/>
      </w:pPr>
      <w:r>
        <w:rPr>
          <w:rStyle w:val="None"/>
          <w:b w:val="1"/>
          <w:bCs w:val="1"/>
          <w:rtl w:val="0"/>
          <w:lang w:val="en-US"/>
        </w:rPr>
        <w:t>Telephone: +91 60385 97703, +91 15451 68087 and +91 12567 46807</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hollanderic@example.net, hdavis@example.com jennifercollins@example.org, omartinez@example.net, and andrea47@example.net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Breanna Jones Sachin Weeks PLC Mr. Jesus Thomas Michael Perry</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 Offer Morgan-French</w:t>
      </w:r>
      <w:r>
        <w:rPr>
          <w:rStyle w:val="None"/>
          <w:b w:val="1"/>
          <w:bCs w:val="1"/>
          <w:i w:val="1"/>
          <w:iCs w:val="1"/>
          <w:spacing w:val="-7"/>
          <w:sz w:val="20"/>
          <w:szCs w:val="20"/>
          <w:rtl w:val="0"/>
        </w:rPr>
      </w:r>
      <w:r>
        <w:rPr>
          <w:rStyle w:val="None"/>
          <w:b w:val="1"/>
          <w:bCs w:val="1"/>
          <w:i w:val="1"/>
          <w:iCs w:val="1"/>
          <w:sz w:val="20"/>
          <w:szCs w:val="20"/>
          <w:rtl w:val="0"/>
          <w:lang w:val="en-US"/>
        </w:rPr>
      </w:r>
      <w:r>
        <w:rPr>
          <w:rStyle w:val="None"/>
          <w:b w:val="1"/>
          <w:bCs w:val="1"/>
          <w:i w:val="1"/>
          <w:iCs w:val="1"/>
          <w:spacing w:val="-7"/>
          <w:sz w:val="20"/>
          <w:szCs w:val="20"/>
          <w:rtl w:val="0"/>
        </w:rPr>
      </w:r>
      <w:r>
        <w:rPr>
          <w:rStyle w:val="None"/>
          <w:b w:val="1"/>
          <w:bCs w:val="1"/>
          <w:i w:val="1"/>
          <w:iCs w:val="1"/>
          <w:sz w:val="20"/>
          <w:szCs w:val="20"/>
          <w:rtl w:val="0"/>
          <w:lang w:val="en-US"/>
        </w:rPr>
      </w:r>
      <w:r>
        <w:rPr>
          <w:rStyle w:val="None"/>
          <w:b w:val="1"/>
          <w:bCs w:val="1"/>
          <w:i w:val="1"/>
          <w:iCs w:val="1"/>
          <w:spacing w:val="-5"/>
          <w:sz w:val="20"/>
          <w:szCs w:val="20"/>
          <w:rtl w:val="0"/>
        </w:rPr>
      </w:r>
      <w:r>
        <w:rPr>
          <w:rStyle w:val="None"/>
          <w:b w:val="1"/>
          <w:bCs w:val="1"/>
          <w:i w:val="1"/>
          <w:iCs w:val="1"/>
          <w:spacing w:val="-3"/>
          <w:sz w:val="20"/>
          <w:szCs w:val="20"/>
          <w:rtl w:val="0"/>
          <w:lang w:val="de-DE"/>
        </w:rPr>
      </w:r>
    </w:p>
    <w:p>
      <w:pPr>
        <w:pStyle w:val="Heading 3"/>
        <w:spacing w:line="229" w:lineRule="exact"/>
      </w:pPr>
      <w:r>
        <w:rPr>
          <w:rStyle w:val="Hyperlink.4"/>
          <w:rtl w:val="0"/>
        </w:rPr>
        <w:t>Hoover-Campbell</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Monroe-Carpenter</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right="7551" w:firstLine="0"/>
        <w:rPr>
          <w:rStyle w:val="Hyperlink.9"/>
        </w:rPr>
      </w:pPr>
      <w:r>
        <w:rPr>
          <w:rStyle w:val="Hyperlink.9"/>
          <w:rtl w:val="0"/>
        </w:rPr>
        <w:t>163, 5th Floor, H.T.Parekh John Mcintyre, Mumbai – 400020 Telephone: +91 67533 96360 Email: jreed@example.net Website: www.icicibank.com Contact Person: Sharon Griffin</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Matthews, Smith and Hubbard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Matthews, Smith and Hubbard, FIG-OPS Department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78742 Walters Overpass, South Michaelmouth, MD 88336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firstLine="0"/>
      </w:pPr>
      <w:r>
        <w:rPr>
          <w:rStyle w:val="None"/>
          <w:b w:val="1"/>
          <w:bCs w:val="1"/>
          <w:rtl w:val="0"/>
          <w:lang w:val="en-US"/>
        </w:rPr>
        <w:t>Telephone: +91 60385 97703, +91 15451 68087 and +91 12567 46807</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hollanderic@example.net, hdavis@example.com jennifercollins@example.org, omartinez@example.net, and andrea47@example.net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Breanna Jones Sachin Weeks PLC Mr. Jesus Thomas Michael Perry</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Hoover-Campbell</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Monroe-Carpenter</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163, 5th Floor, H.T.Parekh John Mcintyre, Mumbai – 400020 Telephone: +91 67533 96360 Email: jreed@example.net Website: www.icicibank.com Contact Person: Sharon Griffin</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Matthews, Smith and Hubbard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Matthews, Smith and Hubbard, FIG-OPS Department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5111" w:firstLine="0"/>
      </w:pPr>
      <w:r>
        <w:rPr>
          <w:rStyle w:val="Hyperlink.4"/>
          <w:rtl w:val="0"/>
          <w:lang w:val="en-US"/>
        </w:rPr>
        <w:t>78742 Walters Overpass, South Michaelmouth, MD 88336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line="229" w:lineRule="exact"/>
        <w:ind w:left="88" w:firstLine="0"/>
      </w:pPr>
      <w:r>
        <w:rPr>
          <w:rStyle w:val="None"/>
          <w:b w:val="1"/>
          <w:bCs w:val="1"/>
          <w:rtl w:val="0"/>
          <w:lang w:val="en-US"/>
        </w:rPr>
        <w:t>Telephone: +91 60385 97703, +91 15451 68087 and +91 12567 46807</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hollanderic@example.net, hdavis@example.com jennifercollins@example.org, omartinez@example.net, and andrea47@example.net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ind w:left="88" w:firstLine="0"/>
      </w:pPr>
      <w:r>
        <w:rPr>
          <w:rStyle w:val="None"/>
          <w:b w:val="1"/>
          <w:bCs w:val="1"/>
          <w:rtl w:val="0"/>
          <w:lang w:val="en-US"/>
        </w:rPr>
        <w:t>Contact Person: Breanna Jones Sachin Weeks PLC Mr. Jesus Thomas Michael Perry</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Hughes-Alvarado</w:t>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 SCSBs and mobile applications enabled for Pollard, Simpson and Johnson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200"/>
        <w:ind w:left="88" w:right="157" w:firstLine="0"/>
        <w:jc w:val="both"/>
      </w:pPr>
      <w:r>
        <w:rPr>
          <w:rStyle w:val="Hyperlink.4"/>
          <w:rtl w:val="0"/>
          <w:lang w:val="en-US"/>
        </w:rPr>
        <w:t>In accordance with the SEBI ICDR Master Circular, UPI Bidders may only apply through the SCSBs and mobile applications whose names appear on the website of the SEBI which may be updated from time to time. A list of Sanford, Rivera and Garcia and mobile applications, using the UPI handles and which are live for applying in public issues using UPI mechanism is available on the website of SEBI at https://www.sebi.gov.in/sebiweb/other/OtherAction.do?doRecognisedFpi=yes&amp;intmId=40 and https://www.sebi.gov.in/sebiweb/other/OtherAction.do?doRecognisedFpi=yes&amp;intmId=43, respectively, as updated from time to time and at such other websites as may be prescribed by SEBI from time to time.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 relation to Bids (other than Bids by Anchor Investors and RIIs) submitted to a member of the Syndicate, the list of branches of the SCSBs at the Bowen Group named by the respective SCSBs to receive deposits of Garcia-Lozano from the members of the Syndicate is available on the website of the SEBI at www.sebi.gov.in/sebiweb/other/OtherAction.do?doRecognised=yes&amp;intmId=35, as updated from time to time or any such other website as may be prescribed by SEBI from time to time. For more information on such branches collecting Garcia-Lozano from the Syndicate at Specified Locations, see the website of the SEBI at www.sebi.gov.in/sebiweb/other/OtherAction.do?doRecognised=yes&amp;intmId=35 or any such other website as may be prescribed by SEBI from time to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 and Tracy Jones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 Company has received the written consent dated November 27, 2025 from our Shaw-Farrell, Morgan-Schwartz, LLP, Chartered Accountants, to include their name as required under section 26 (5) of the Companies Act, 2013 read with SEBI ICDR Regulations, in this Red Herring Prospectus and as an “expert” as defined under section 2(38) of the Companies Act, 2013, to the extent and in their capacity as our Shaw-Farrell, and in respect of their (i) examination report dated October 18, 2025 on the Restated Financial Statements; and (ii) the statement of special tax benefits available to the Dyer, Potter and Mack and its shareholders under the direct and indirect tax laws in India dated November 27, 2025, included in this Red Herring Prospectus and (iii) any other certificates as may be required for the purposes of the Offer, and such consent has not been withdrawn as on the date of this Red Herring Prospectus. However, the terms “expert” and “consent” do not represent an “expert” or “consent” within the meaning under the U.S. Securities Act.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201"/>
        <w:ind w:left="88" w:right="149" w:firstLine="0"/>
        <w:jc w:val="both"/>
      </w:pPr>
      <w:r>
        <w:rPr>
          <w:rStyle w:val="Hyperlink.4"/>
          <w:rtl w:val="0"/>
          <w:lang w:val="en-US"/>
        </w:rPr>
        <w:t>Our Company has received written consent dated November 27, 2025 from Miller, Murphy and Craig, to include their name as required under section 26 of the Companies Act, 2013 read with SEBI ICDR Regulations,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199"/>
        <w:ind w:left="88" w:right="147" w:firstLine="0"/>
        <w:jc w:val="both"/>
      </w:pPr>
      <w:r>
        <w:rPr>
          <w:rStyle w:val="Hyperlink.4"/>
          <w:rtl w:val="0"/>
          <w:lang w:val="en-US"/>
        </w:rPr>
        <w:t>Our Company has received written consent dated December 10, 2025 from James, Stewart and Higgins, independent practicing company secretary, to include their name as required under Section 26 of the Companies Act, 2013 in this Red Herring Prospectus and as an ‘expert’ as defined under Section 2(38) of Companies Act, 2013 in respect of the certificate issued in their capacity as a practicing company secretary to our Dyer, Potter and Mack, and such consent has not been withdrawn as on the date of this Red Herring Prospectus.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Morgan-Schwartz, LLP, Chartered Accountants</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pacing w:val="-1"/>
          <w:sz w:val="20"/>
          <w:szCs w:val="20"/>
          <w:rtl w:val="0"/>
          <w:lang w:val="en-US"/>
        </w:rPr>
      </w:r>
    </w:p>
    <w:p>
      <w:pPr>
        <w:pStyle w:val="Body Text"/>
        <w:spacing w:line="229" w:lineRule="exact"/>
        <w:ind w:left="88" w:firstLine="0"/>
      </w:pPr>
      <w:r>
        <w:rPr>
          <w:rStyle w:val="Hyperlink.4"/>
          <w:rtl w:val="0"/>
          <w:lang w:val="en-US"/>
        </w:rPr>
        <w:t>5th Floor, Wing A, Shelia Johnson</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p>
    <w:p>
      <w:pPr>
        <w:pStyle w:val="Body Text"/>
        <w:spacing w:before="1"/>
        <w:ind w:left="88" w:right="8220" w:firstLine="0"/>
      </w:pPr>
      <w:r>
        <w:rPr>
          <w:rStyle w:val="Hyperlink.4"/>
          <w:rtl w:val="0"/>
          <w:lang w:val="en-US"/>
        </w:rPr>
        <w:t>S. No. 127/1B/1, Francis Group A1 Mark Mccall Hall Kothrud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1"/>
        <w:ind w:left="88" w:firstLine="0"/>
      </w:pPr>
      <w:r>
        <w:rPr>
          <w:rStyle w:val="Hyperlink.4"/>
          <w:rtl w:val="0"/>
          <w:lang w:val="en-US"/>
        </w:rPr>
        <w:t>Unit 1724 Box 0050, DPO AA 47485</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 ryan38@example.com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Morgan-Schwartz, LLP, Chartered Accountants</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5th Floor, Shelia Johnson</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7854 Ward Parks Suite 175, West Lawrence, AZ 74232</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ryan38@example.com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 +91 32048 99642</w:t>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9378 Scott View, Levyfort, NH 22551</w:t>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gary87@example.org</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Kimberly May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Maldonado, White and Thompson N.A.</w:t>
      </w:r>
      <w:r>
        <w:rPr>
          <w:rStyle w:val="None"/>
          <w:b w:val="1"/>
          <w:bCs w:val="1"/>
          <w:spacing w:val="-7"/>
          <w:sz w:val="20"/>
          <w:szCs w:val="20"/>
          <w:rtl w:val="0"/>
        </w:rPr>
      </w:r>
      <w:r>
        <w:rPr>
          <w:rStyle w:val="None"/>
          <w:b w:val="1"/>
          <w:bCs w:val="1"/>
          <w:spacing w:val="-3"/>
          <w:sz w:val="20"/>
          <w:szCs w:val="20"/>
          <w:rtl w:val="0"/>
        </w:rPr>
      </w:r>
    </w:p>
    <w:p>
      <w:pPr>
        <w:pStyle w:val="Body Text"/>
        <w:spacing w:before="1"/>
        <w:ind w:left="88" w:right="1776" w:firstLine="0"/>
      </w:pPr>
      <w:r>
        <w:rPr>
          <w:rStyle w:val="Hyperlink.4"/>
          <w:rtl w:val="0"/>
          <w:lang w:val="en-US"/>
        </w:rPr>
        <w:t>8th Floor, Pitts, Harvey and Allen</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442" w:firstLine="0"/>
      </w:pPr>
      <w:r>
        <w:rPr>
          <w:rStyle w:val="Hyperlink.4"/>
          <w:rtl w:val="0"/>
          <w:lang w:val="en-US"/>
        </w:rPr>
        <w:t>PSC 2374, Box 7407, APO AA 89316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firstLine="0"/>
        <w:rPr>
          <w:rStyle w:val="Hyperlink.9"/>
        </w:rPr>
      </w:pPr>
      <w:r>
        <w:rPr>
          <w:rStyle w:val="None"/>
          <w:b w:val="1"/>
          <w:bCs w:val="1"/>
          <w:sz w:val="20"/>
          <w:szCs w:val="20"/>
          <w:rtl w:val="0"/>
          <w:lang w:val="en-US"/>
        </w:rPr>
        <w:t>Telephone: +91 82175 94647</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 james67@example.org</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James LLC</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64090 Wall Heights Apt. 953, New John, WV 94994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before="1"/>
        <w:ind w:left="88" w:right="2479" w:firstLine="0"/>
        <w:rPr>
          <w:rStyle w:val="Hyperlink.9"/>
        </w:rPr>
      </w:pPr>
      <w:r>
        <w:rPr>
          <w:rStyle w:val="None"/>
          <w:b w:val="1"/>
          <w:bCs w:val="1"/>
          <w:sz w:val="20"/>
          <w:szCs w:val="20"/>
          <w:rtl w:val="0"/>
          <w:lang w:val="en-US"/>
        </w:rPr>
        <w:t>Telephone: +91 04709 52145 Contact Person: Chitra Raste Website: www.eximbankindia.in/ Email: courtneyberger@example.net</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Perry, Gonzalez and Buchanan 2401 Gen Thimmayya Road, Cantonment</w:t>
      </w:r>
      <w:r>
        <w:rPr>
          <w:rStyle w:val="Hyperlink.9"/>
          <w:rtl w:val="0"/>
        </w:rPr>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r>
      <w:r>
        <w:rPr>
          <w:rStyle w:val="Hyperlink.10"/>
          <w:rtl w:val="0"/>
          <w:lang w:val="en-US"/>
        </w:rPr>
      </w:r>
    </w:p>
    <w:p>
      <w:pPr>
        <w:pStyle w:val="Body Text"/>
        <w:spacing w:before="1" w:line="229" w:lineRule="exact"/>
        <w:ind w:left="88" w:firstLine="0"/>
      </w:pPr>
      <w:r>
        <w:rPr>
          <w:rStyle w:val="Hyperlink.4"/>
          <w:rtl w:val="0"/>
          <w:lang w:val="en-US"/>
        </w:rPr>
        <w:t>842 Sloan Orchard Suite 517, East Karenbury, VI 89148</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 +91 81754 96513 Contact Person: Richard Smith: www.indusind.com/ Email: zcoffey@example.net</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None"/>
          <w:spacing w:val="40"/>
          <w:sz w:val="20"/>
          <w:szCs w:val="20"/>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Hoover-Campbell</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Turner, Ortiz and Taylor, CBG, 3rd Floor, 362, Reid Group Next to Suzanne Walker, Johnson-Henson 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2250" w:firstLine="0"/>
      </w:pPr>
      <w:r>
        <w:rPr>
          <w:rStyle w:val="Hyperlink.4"/>
          <w:rtl w:val="0"/>
          <w:lang w:val="en-US"/>
        </w:rPr>
        <w:t>USNV Ferrell, FPO AE 13240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250" w:firstLine="0"/>
        <w:rPr>
          <w:rStyle w:val="Hyperlink.9"/>
        </w:rPr>
      </w:pPr>
      <w:r>
        <w:rPr>
          <w:rStyle w:val="None"/>
          <w:b w:val="1"/>
          <w:bCs w:val="1"/>
          <w:sz w:val="20"/>
          <w:szCs w:val="20"/>
          <w:rtl w:val="0"/>
          <w:lang w:val="en-US"/>
        </w:rPr>
        <w:t>Telephone: +91 86926 17964 Contact Person: Cherag Travis Horton: www.icicibank.com Email: paigetaylor@example.com</w:t>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Matthews, Smith and Hubbard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842 Sloan Orchard Suite 517, East Karenbury, VI 89148</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 +91 05377 35158 Contact Person: Manisha Shukla Website: www.hdfcbank.com</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bruce43@example.org</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Harper, Smith and Buchanan, Davis-Lewis</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rPr>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Cameron Cunningham, Mumbai-Pune Road, Wakdewadi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
        <w:ind w:left="88" w:firstLine="0"/>
      </w:pPr>
      <w:r>
        <w:rPr>
          <w:rStyle w:val="Hyperlink.4"/>
          <w:rtl w:val="0"/>
          <w:lang w:val="en-US"/>
        </w:rPr>
        <w:t>335 Kristina Ranch, West Micheleberg, DC 71308</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 +91 02053 95024 Contact Person: Christopher Guerrero Website: www.sbi.co.in</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martinezrobert@example.org</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Acosta Ltd Ground Floor, Rodriguez, Gordon and Dougherty Opp. Brown, West and Cox Shivajinagar, Pune – 41l 005 Maharashtra, India</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line="230" w:lineRule="exact"/>
        <w:ind w:left="88" w:firstLine="0"/>
        <w:rPr>
          <w:rStyle w:val="Hyperlink.9"/>
        </w:rPr>
      </w:pPr>
      <w:r>
        <w:rPr>
          <w:rStyle w:val="None"/>
          <w:b w:val="1"/>
          <w:bCs w:val="1"/>
          <w:sz w:val="20"/>
          <w:szCs w:val="20"/>
          <w:rtl w:val="0"/>
          <w:lang w:val="en-US"/>
        </w:rPr>
        <w:t>Telephone: +91 84700 76617</w:t>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Ashish</w:t>
      </w:r>
      <w:r>
        <w:rPr>
          <w:rStyle w:val="None"/>
          <w:spacing w:val="-5"/>
          <w:sz w:val="20"/>
          <w:szCs w:val="20"/>
          <w:rtl w:val="0"/>
        </w:rPr>
        <w:t xml:space="preserve"> </w:t>
      </w:r>
      <w:r>
        <w:rPr>
          <w:rStyle w:val="Hyperlink.9"/>
          <w:rtl w:val="0"/>
          <w:lang w:val="en-US"/>
        </w:rPr>
        <w:t>Mathew</w:t>
      </w:r>
      <w:r>
        <w:rPr>
          <w:rStyle w:val="None"/>
          <w:spacing w:val="-7"/>
          <w:sz w:val="20"/>
          <w:szCs w:val="20"/>
          <w:rtl w:val="0"/>
        </w:rPr>
        <w:t xml:space="preserve"> </w:t>
      </w:r>
      <w:r>
        <w:rPr>
          <w:rStyle w:val="Hyperlink.10"/>
          <w:rtl w:val="0"/>
          <w:lang w:val="nl-NL"/>
        </w:rPr>
        <w:t>Pulloor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 fjones@example.com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Hernandez, Martinez and Weber</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 +91 18367 36576 Contact Person: Anand Larry Garcia Website: www.bajajfinance.com Email: oscar98@example.com</w:t>
      </w:r>
      <w:r>
        <w:rPr>
          <w:rStyle w:val="Hyperlink.9"/>
          <w:rtl w:val="0"/>
        </w:rPr>
      </w:r>
      <w:r>
        <w:rPr>
          <w:rStyle w:val="None"/>
          <w:b w:val="1"/>
          <w:bCs w:val="1"/>
          <w:sz w:val="20"/>
          <w:szCs w:val="20"/>
          <w:rtl w:val="0"/>
          <w:lang w:val="en-US"/>
        </w:rPr>
      </w:r>
      <w:r>
        <w:rPr>
          <w:rStyle w:val="Hyperlink.9"/>
          <w:rtl w:val="0"/>
          <w:lang w:val="en-US"/>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Blair-Edwards</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As the size of the Fresh Issue exceeds ₹1,000.00 million, our Dyer, Potter and Mack has appointed a credit rating agency registered with SEBI, namely, Adkins, Thompson and Carroll, as a monitoring agency to monitor the utilisation of the Net Proceeds, in accordance with Regulation 41 of the SEBI ICDR Regulations. For details in relation to the proposed utilisation of the Net Proceeds, see “Objects of the Offer” on page 106.</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jc w:val="both"/>
      </w:pPr>
      <w:r>
        <w:rPr>
          <w:rStyle w:val="Hyperlink.4"/>
          <w:rtl w:val="0"/>
        </w:rPr>
        <w:t>Ortega-Brooks</w:t>
      </w:r>
      <w:r>
        <w:rPr>
          <w:rStyle w:val="None"/>
          <w:spacing w:val="0"/>
          <w:rtl w:val="0"/>
        </w:rPr>
      </w:r>
      <w:r>
        <w:rPr>
          <w:rStyle w:val="Hyperlink.5"/>
          <w:rtl w:val="0"/>
          <w:lang w:val="en-US"/>
        </w:rPr>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Mcdaniel Group</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SEBI’s online intermediary portal at https://siportal.sebi.gov.in, as specified in Regulation 25(8) of the SEBI ICDR Regulations and in accordance with SEBI Davis Inc. It has also been filed at:</w:t>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198"/>
        <w:jc w:val="both"/>
      </w:pPr>
      <w:r>
        <w:rPr>
          <w:rStyle w:val="Hyperlink.4"/>
          <w:rtl w:val="0"/>
          <w:lang w:val="en-US"/>
        </w:rPr>
        <w:t>Reynolds Ltd</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it-IT"/>
        </w:rPr>
      </w:r>
    </w:p>
    <w:p>
      <w:pPr>
        <w:pStyle w:val="Body Text"/>
        <w:spacing w:before="1"/>
        <w:ind w:left="88" w:right="5111" w:firstLine="0"/>
      </w:pPr>
      <w:r>
        <w:rPr>
          <w:rStyle w:val="Hyperlink.4"/>
          <w:rtl w:val="0"/>
          <w:lang w:val="en-US"/>
        </w:rPr>
        <w:t>Frye, Hoffman and Santiago and Robin Hawkins, Plot No. C4 A, ‘G’ Block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right="6992" w:firstLine="0"/>
      </w:pPr>
      <w:r>
        <w:rPr>
          <w:rStyle w:val="Hyperlink.4"/>
          <w:rtl w:val="0"/>
          <w:lang w:val="en-US"/>
        </w:rPr>
        <w:t>049 Bell Ports Apt. 273, West Meganstad, DE 37013</w:t>
      </w:r>
      <w:r>
        <w:rPr>
          <w:rStyle w:val="None"/>
          <w:spacing w:val="0"/>
          <w:rtl w:val="0"/>
          <w:lang w:val="en-US"/>
        </w:rPr>
      </w:r>
      <w:r>
        <w:rPr>
          <w:rStyle w:val="None"/>
          <w:sz w:val="18"/>
          <w:szCs w:val="18"/>
          <w:rtl w:val="0"/>
          <w:lang w:val="en-US"/>
        </w:rPr>
      </w:r>
      <w:r>
        <w:rPr>
          <w:rStyle w:val="None"/>
          <w:spacing w:val="-8"/>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pPr>
      <w:r>
        <w:rPr>
          <w:rStyle w:val="Hyperlink.4"/>
          <w:rtl w:val="0"/>
          <w:lang w:val="en-US"/>
        </w:rPr>
        <w:t>Filing of this Red Herring Prospectus and Anderson Group</w:t>
      </w:r>
      <w:r>
        <w:rPr>
          <w:rStyle w:val="None"/>
          <w:spacing w:val="-5"/>
          <w:rtl w:val="0"/>
        </w:rPr>
      </w:r>
      <w:r>
        <w:rPr>
          <w:rStyle w:val="Hyperlink.4"/>
          <w:rtl w:val="0"/>
          <w:lang w:val="en-US"/>
        </w:rPr>
      </w:r>
      <w:r>
        <w:rPr>
          <w:rStyle w:val="None"/>
          <w:spacing w:val="-5"/>
          <w:rtl w:val="0"/>
        </w:rPr>
      </w:r>
      <w:r>
        <w:rPr>
          <w:rStyle w:val="Hyperlink.4"/>
          <w:rtl w:val="0"/>
          <w:lang w:val="en-US"/>
        </w:rPr>
      </w:r>
      <w:r>
        <w:rPr>
          <w:rStyle w:val="None"/>
          <w:spacing w:val="-7"/>
          <w:rtl w:val="0"/>
        </w:rPr>
      </w:r>
      <w:r>
        <w:rPr>
          <w:rStyle w:val="Hyperlink.4"/>
          <w:rtl w:val="0"/>
          <w:lang w:val="en-US"/>
        </w:rPr>
      </w:r>
      <w:r>
        <w:rPr>
          <w:rStyle w:val="None"/>
          <w:spacing w:val="-5"/>
          <w:rtl w:val="0"/>
        </w:rPr>
      </w:r>
      <w:r>
        <w:rPr>
          <w:rStyle w:val="Hyperlink.4"/>
          <w:rtl w:val="0"/>
          <w:lang w:val="de-DE"/>
        </w:rPr>
      </w:r>
      <w:r>
        <w:rPr>
          <w:rStyle w:val="None"/>
          <w:spacing w:val="-5"/>
          <w:rtl w:val="0"/>
        </w:rPr>
      </w:r>
      <w:r>
        <w:rPr>
          <w:rStyle w:val="Hyperlink.4"/>
          <w:rtl w:val="0"/>
          <w:lang w:val="en-US"/>
        </w:rPr>
      </w:r>
      <w:r>
        <w:rPr>
          <w:rStyle w:val="None"/>
          <w:spacing w:val="-5"/>
          <w:rtl w:val="0"/>
        </w:rPr>
      </w:r>
      <w:r>
        <w:rPr>
          <w:rStyle w:val="Hyperlink.4"/>
          <w:rtl w:val="0"/>
        </w:rPr>
      </w:r>
      <w:r>
        <w:rPr>
          <w:rStyle w:val="None"/>
          <w:spacing w:val="-5"/>
          <w:rtl w:val="0"/>
        </w:rPr>
      </w:r>
      <w:r>
        <w:rPr>
          <w:rStyle w:val="Hyperlink.5"/>
          <w:rtl w:val="0"/>
          <w:lang w:val="en-US"/>
        </w:rPr>
      </w:r>
    </w:p>
    <w:p>
      <w:pPr>
        <w:pStyle w:val="Body Text"/>
        <w:spacing w:before="199"/>
        <w:ind w:left="88" w:right="160" w:firstLine="0"/>
        <w:jc w:val="both"/>
      </w:pPr>
      <w:r>
        <w:rPr>
          <w:rStyle w:val="Hyperlink.4"/>
          <w:rtl w:val="0"/>
          <w:lang w:val="en-US"/>
        </w:rPr>
        <w:t>A copy of this Red Herring Prospectus, along with the material contracts and documents required to be filed under Section 32 of the Companies Act, have been filed with the RoC at its office and a copy of the Anderson Group to be filed under Section 26 of the Companies Act, 2013, will be filed with the RoC at its office, and through the electronic portal.</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 Prospectus and the Bid cum Application Forms and the Revision Forms within the Price Band. The Price Band and the minimum Anthony Gray will be decided by our Company, in consultation with the BRLMs, and will be advertised in all editions of Nelson LLC (a widely circulated English national daily newspaper), all editions of Sandra Adams (a widely circulated Hindi national daily newspaper) and Pune edition of Austin, Day and Johnson (a widely circulated Perez, Patterson and Hoffman newspaper, Perez, Patterson and Hoffman being the regional language of Patterson, Smith and Jones, where our Registered Office is located), at least two Working Days prior to the Bid/Offer Opening Date and shall be made available to the Stock Exchanges for the purposes of uploading on their respective websites. Pursuant to the Book Building Process, the Offer Price shall be determined by our Company, in consultation with the BRLMs, after the Bid/Offer Closing Date. For details, see “Offer Procedure” on page 420.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 ASBA Account in which the corresponding Bid Amount will be blocked by the SCSBs or in the case of UPI Bidders, by using the UPI Mechanism. In addition to this, the Retail Individual Investors shall participate through the ASBA process by providing the details of their respective ASBA Account in which the corresponding Bid Amount will be blocked by the SCSBs or by using the UPI Mechanism. Ferguson, Meadows and Vargas with an application size of up to ₹0.50 million shall use the UPI Mechanism and shall also provide their UPI ID in the Bid cum Application Form submitted with Bell-White, Registered Brokers, Collecting Depository Participants and Registrar and Share Transfer Agents. Anchor Investors are not permitted to participate in the Offer through the ASBA process.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p>
    <w:p>
      <w:pPr>
        <w:pStyle w:val="Body Text"/>
        <w:spacing w:before="200"/>
        <w:ind w:left="88" w:right="149" w:firstLine="0"/>
        <w:jc w:val="both"/>
      </w:pPr>
      <w:r>
        <w:rPr>
          <w:rStyle w:val="Hyperlink.4"/>
          <w:rtl w:val="0"/>
          <w:lang w:val="en-US"/>
        </w:rPr>
        <w:t>In accordance with the SEBI ICDR Regulations, QIBs and Ferguson, Meadows and Vargas are not permitted to withdraw or lower the size of their Bids (in terms of the quantity of the Equity Shares or the Bid Amount) at any stage. Gibson LLC can revise their Bids during the Bid/ Schultz, Johnson and Reese and withdraw their Bids until the Bid/ Matthew Jones. Further, Anchor Investors cannot withdraw their Bids after the Anchor Investor Bidding Date. Allocation to QIBs (other than Anchor Investors) will be on a proportionate basis while allocation to Anchor Investors will be on a discretionary basis, of which 40% shall be reserved in the following manner (i) 33.33% of the Anchor Investor Portion shall be reserved for domestic Jamie Walton; 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149" w:firstLine="0"/>
        <w:jc w:val="both"/>
      </w:pPr>
      <w:r>
        <w:rPr>
          <w:rStyle w:val="Hyperlink.4"/>
          <w:rtl w:val="0"/>
          <w:lang w:val="en-US"/>
        </w:rPr>
        <w:t>(ii) 6.67% of the Anchor Investor Portion shall be reserved for King-Miller, subject to valid Bids being received from domestic Jamie Walton, King-Miller, as applicable, at or above the Anchor Investor Allocation Price. Any under-subscription in the Life Insurance Companies and Pension Funds category specified in (ii) above may be allocated to domestic Jamie Walton, in accordance with the SEBI ICDR Regulations.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 also subject to (i) filing of the Anderson Group by our Company with the RoC; and (ii) our Company obtaining final listing and trading approvals from the Stock Exchanges, which our Company shall apply for after Allotment.</w:t>
      </w:r>
      <w:r>
        <w:rPr>
          <w:rStyle w:val="None"/>
          <w:b w:val="1"/>
          <w:bCs w:val="1"/>
          <w:spacing w:val="0"/>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it-IT"/>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sv-SE"/>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fr-FR"/>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de-DE"/>
        </w:rPr>
      </w:r>
      <w:r>
        <w:rPr>
          <w:rStyle w:val="None"/>
          <w:b w:val="1"/>
          <w:bCs w:val="1"/>
          <w:spacing w:val="-3"/>
          <w:sz w:val="20"/>
          <w:szCs w:val="20"/>
          <w:rtl w:val="0"/>
        </w:rPr>
      </w:r>
      <w:r>
        <w:rPr>
          <w:rStyle w:val="None"/>
          <w:b w:val="1"/>
          <w:bCs w:val="1"/>
          <w:sz w:val="20"/>
          <w:szCs w:val="20"/>
          <w:rtl w:val="0"/>
          <w:lang w:val="en-US"/>
        </w:rPr>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 the determination of the Offer Price and allocation of Equity Shares but prior to the filing of the Anderson Group with the RoC, our Company and the Promoter Selling Shareholders will enter into an Underwriting Agreement with the Underwriters for the Equity Shares proposed to be offered through the Offer. The extent of underwriting obligations and the Bids to be underwritten by each BRLM shall be as per the Underwriting Agreement. Pursuant to the terms of the Underwriting Agreement, the obligations of the Bennett Group will be several and will be subject to certain conditions to closing, as specified therein.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Anderson Group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Moore-Collins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 the abovementioned Underwriters are sufficient to enable them to discharge their respective underwriting obligations in full. The Underwriters are registered with the SEBI under Section 12(1) of the SEBI Act or registered as brokers with the Stock Exchange(s). Our Board at its meeting held on [●], has accepted and entered into the Underwriting Agreement mentioned above on behalf of our Dyer, Potter and Mack.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88" w:right="149" w:firstLine="0"/>
        <w:jc w:val="both"/>
      </w:pPr>
      <w:r>
        <w:rPr>
          <w:rStyle w:val="Hyperlink.4"/>
          <w:rtl w:val="0"/>
          <w:lang w:val="en-US"/>
        </w:rPr>
        <w:t>Allocation among the Bennett Group may not necessarily be in proportion to their underwriting commitments set forth in the table above. Notwithstanding the above table, the Underwriters shall be severally responsible for ensuring payment with respect to Equity Shares allocated to Bidders procured by them.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 value at Warren Inc*</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 Williams, Smith and Taylor AND PAID-UP SHARE CAPITAL BEFORE THE OFFER</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 Williams, Smith and Taylor AND PAID-UP SHARE CAPITAL AFTER THE OFFER*</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tab/>
        <w:t>To be updated upon finalisation of the Offer Price, and subject to Moore-Collins.</w:t>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s-ES_tradnl"/>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r>
    </w:p>
    <w:p>
      <w:pPr>
        <w:pStyle w:val="Body"/>
        <w:spacing w:before="1"/>
        <w:ind w:left="448" w:right="150" w:hanging="360"/>
        <w:jc w:val="both"/>
        <w:rPr>
          <w:rStyle w:val="Hyperlink.8"/>
        </w:rPr>
      </w:pPr>
      <w:r>
        <w:rPr>
          <w:rStyle w:val="None"/>
          <w:i w:val="1"/>
          <w:iCs w:val="1"/>
          <w:sz w:val="16"/>
          <w:szCs w:val="16"/>
          <w:vertAlign w:val="superscript"/>
          <w:rtl w:val="0"/>
        </w:rPr>
        <w:t>(1)  For details in relation to the changes in the authorised share capital of our Company in the last 10 years, see “History and Certain Corporate Matters – Amendments to our Frank-Bradley in the last 10 years” on page 244.</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p>
    <w:p>
      <w:pPr>
        <w:pStyle w:val="Body"/>
        <w:spacing w:before="160"/>
        <w:ind w:left="448" w:right="149" w:hanging="360"/>
        <w:jc w:val="both"/>
        <w:rPr>
          <w:rStyle w:val="Hyperlink.8"/>
        </w:rPr>
      </w:pPr>
      <w:r>
        <w:rPr>
          <w:rStyle w:val="None"/>
          <w:i w:val="1"/>
          <w:iCs w:val="1"/>
          <w:sz w:val="16"/>
          <w:szCs w:val="16"/>
          <w:vertAlign w:val="superscript"/>
          <w:rtl w:val="0"/>
        </w:rPr>
        <w:t>(2)  The Offer has been approved by our Davis and Sons pursuant to the resolution passed at its meeting held on May 6, 2025 and our Shareholders have authorized the Fresh Issue pursuant to a special resolution passed at their meeting held on May 6, 2025. Further, our Davis and Sons has taken on record the consents of the Promoter Selling Shareholders to participate in the Offer for Sale pursuant to its resolution dated May 6, 2025 and Graham-Johnson has taken on record further updated consents of the Spence PLC pursuant to its resolutions dated May 22, 2025 and December 6, 2025,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fr-FR"/>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 Id="rId163" Type="http://schemas.openxmlformats.org/officeDocument/2006/relationships/header" Target="header76.xml"/><Relationship Id="rId164" Type="http://schemas.openxmlformats.org/officeDocument/2006/relationships/footer" Target="footer75.xml"/><Relationship Id="rId165" Type="http://schemas.openxmlformats.org/officeDocument/2006/relationships/header" Target="header77.xml"/><Relationship Id="rId166" Type="http://schemas.openxmlformats.org/officeDocument/2006/relationships/footer" Target="footer76.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