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body>
    <w:p>
      <w:pPr>
        <w:pStyle w:val="Title"/>
      </w:pPr>
      <w:r>
        <w:t>Aruba Central NAC — EAP-TLS with Jamf Pro</w:t>
      </w:r>
    </w:p>
    <w:p>
      <w:pPr>
        <w:pStyle w:val="Subtitle"/>
      </w:pPr>
      <w:r>
        <w:t>Full onboarding: Aruba Central + Jamf Pro (UEM Onboarding, PKI SCEP, EAP-TLS)</w:t>
      </w:r>
    </w:p>
    <w:p>
      <w:pPr>
        <w:pStyle w:val="CoverSubtitle"/>
      </w:pPr>
      <w:r>
        <w:t>Internal technote — Nicolas Culetto, HPE Aruba Networking</w:t>
      </w:r>
    </w:p>
    <w:p>
      <w:pPr>
        <w:pStyle w:val="CoverSubtitle"/>
      </w:pPr>
      <w:r>
        <w:t>September 2026</w:t>
      </w:r>
    </w:p>
    <w:p>
      <w:r>
        <w:br w:type="page"/>
      </w:r>
    </w:p>
    <w:p>
      <w:pPr>
        <w:pStyle w:val="TOCHeading"/>
      </w:pPr>
      <w:r>
        <w:t>Table of Contents</w:t>
      </w:r>
    </w:p>
    <w:sdt>
      <w:sdtPr>
        <w:docPartObj>
          <w:docPartGallery w:val="Table of Contents"/>
          <w:docPartUnique/>
        </w:docPartObj>
      </w:sdtPr>
      <w:sdtContent>
        <w:p>
          <w:pPr>
            <w:pStyle w:val="TOC1"/>
          </w:pPr>
          <w:r>
            <w:fldChar w:fldCharType="begin" w:dirty="true"/>
          </w:r>
          <w:r>
            <w:instrText xml:space="preserve"> TOC \o "1-3" \h \z \u </w:instrText>
          </w:r>
          <w:r>
            <w:fldChar w:fldCharType="separate"/>
          </w:r>
          <w:r>
            <w:rPr>
              <w:i/>
              <w:color w:val="808080"/>
            </w:rPr>
            <w:t xml:space="preserve">Right-click → Update Field to generate the table of contents.</w:t>
          </w:r>
          <w:r>
            <w:fldChar w:fldCharType="end"/>
          </w:r>
        </w:p>
      </w:sdtContent>
    </w:sdt>
    <w:p>
      <w:r>
        <w:br w:type="page"/>
      </w:r>
    </w:p>
    <w:p>
      <w:pPr>
        <w:pStyle w:val="Heading1"/>
      </w:pPr>
      <w:r>
        <w:t xml:space="preserve">Overview</w:t>
      </w:r>
    </w:p>
    <w:p>
      <w:r>
        <w:t xml:space="preserve">Aruba Central NAC can use a UEM (Unified Endpoint Management) platform to distribute the profiles required by endpoints while keeping certificate issuance inside the Central NAC PKI. This document covers the full integration with </w:t>
      </w:r>
      <w:r>
        <w:rPr>
          <w:b/>
        </w:rPr>
        <w:t xml:space="preserve">Jamf Pro</w:t>
      </w:r>
      <w:r>
        <w:t xml:space="preserve">: configuration on the Aruba Central side (Jamf extension, identity store, roles, policies, SSID) and configuration on the Jamf Pro side (PKI/SCEP, configuration profiles, enrollment of Apple devices).</w:t>
      </w:r>
    </w:p>
    <w:p>
      <w:r>
        <w:t xml:space="preserve">This integration is not documented anywhere else to date, neither by HPE nor by Jamf. This document is meant to fill that gap — it is adapted from the official HPE Aruba Networking technote on onboarding with Microsoft Intune, applied and validated here with Jamf Pro.</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Component</w:t>
            </w:r>
          </w:p>
        </w:tc>
        <w:tc>
          <w:tcPr>
            <w:tcW w:w="5233" w:type="dxa"/>
          </w:tcPr>
          <w:p>
            <w:r>
              <w:rPr>
                <w:b/>
              </w:rPr>
              <w:t xml:space="preserve">Value</w:t>
            </w:r>
          </w:p>
        </w:tc>
      </w:tr>
      <w:tr>
        <w:tc>
          <w:tcPr>
            <w:tcW w:w="5233" w:type="dxa"/>
          </w:tcPr>
          <w:p>
            <w:r>
              <w:t xml:space="preserve">Subscription</w:t>
            </w:r>
          </w:p>
        </w:tc>
        <w:tc>
          <w:tcPr>
            <w:tcW w:w="5233" w:type="dxa"/>
          </w:tcPr>
          <w:p>
            <w:r>
              <w:t xml:space="preserve">Aruba Central NAC — Central Foundation</w:t>
            </w:r>
          </w:p>
        </w:tc>
      </w:tr>
      <w:tr>
        <w:tc>
          <w:tcPr>
            <w:tcW w:w="5233" w:type="dxa"/>
          </w:tcPr>
          <w:p>
            <w:r>
              <w:t xml:space="preserve">Identity store</w:t>
            </w:r>
          </w:p>
        </w:tc>
        <w:tc>
          <w:tcPr>
            <w:tcW w:w="5233" w:type="dxa"/>
          </w:tcPr>
          <w:p>
            <w:r>
              <w:t xml:space="preserve">Microsoft EntraID</w:t>
            </w:r>
          </w:p>
        </w:tc>
      </w:tr>
      <w:tr>
        <w:tc>
          <w:tcPr>
            <w:tcW w:w="5233" w:type="dxa"/>
          </w:tcPr>
          <w:p>
            <w:r>
              <w:t xml:space="preserve">UEM</w:t>
            </w:r>
          </w:p>
        </w:tc>
        <w:tc>
          <w:tcPr>
            <w:tcW w:w="5233" w:type="dxa"/>
          </w:tcPr>
          <w:p>
            <w:r>
              <w:t xml:space="preserve">Jamf Pro Cloud (&lt;jamf-tenant&gt;.jamfcloud.com), v11.32</w:t>
            </w:r>
          </w:p>
        </w:tc>
      </w:tr>
      <w:tr>
        <w:tc>
          <w:tcPr>
            <w:tcW w:w="5233" w:type="dxa"/>
          </w:tcPr>
          <w:p>
            <w:r>
              <w:t xml:space="preserve">Cloud IdP (Jamf side)</w:t>
            </w:r>
          </w:p>
        </w:tc>
        <w:tc>
          <w:tcPr>
            <w:tcW w:w="5233" w:type="dxa"/>
          </w:tcPr>
          <w:p>
            <w:r>
              <w:t xml:space="preserve">Microsoft EntraID</w:t>
            </w:r>
          </w:p>
        </w:tc>
      </w:tr>
      <w:tr>
        <w:tc>
          <w:tcPr>
            <w:tcW w:w="5233" w:type="dxa"/>
          </w:tcPr>
          <w:p>
            <w:r>
              <w:t xml:space="preserve">SSID</w:t>
            </w:r>
          </w:p>
        </w:tc>
        <w:tc>
          <w:tcPr>
            <w:tcW w:w="5233" w:type="dxa"/>
          </w:tcPr>
          <w:p>
            <w:r>
              <w:t xml:space="preserve">luconik-jamf</w:t>
            </w:r>
          </w:p>
        </w:tc>
      </w:tr>
      <w:tr>
        <w:tc>
          <w:tcPr>
            <w:tcW w:w="5233" w:type="dxa"/>
          </w:tcPr>
          <w:p>
            <w:r>
              <w:t xml:space="preserve">SSID security</w:t>
            </w:r>
          </w:p>
        </w:tc>
        <w:tc>
          <w:tcPr>
            <w:tcW w:w="5233" w:type="dxa"/>
          </w:tcPr>
          <w:p>
            <w:r>
              <w:t xml:space="preserve">WPA3-Enterprise (CCMP-128), EAP-TLS</w:t>
            </w:r>
          </w:p>
        </w:tc>
      </w:tr>
      <w:tr>
        <w:tc>
          <w:tcPr>
            <w:tcW w:w="5233" w:type="dxa"/>
          </w:tcPr>
          <w:p>
            <w:r>
              <w:t xml:space="preserve">Server Group</w:t>
            </w:r>
          </w:p>
        </w:tc>
        <w:tc>
          <w:tcPr>
            <w:tcW w:w="5233" w:type="dxa"/>
          </w:tcPr>
          <w:p>
            <w:r>
              <w:t xml:space="preserve">Central NAC</w:t>
            </w:r>
          </w:p>
        </w:tc>
      </w:tr>
      <w:tr>
        <w:tc>
          <w:tcPr>
            <w:tcW w:w="5233" w:type="dxa"/>
          </w:tcPr>
          <w:p>
            <w:r>
              <w:t xml:space="preserve">Devices tested</w:t>
            </w:r>
          </w:p>
        </w:tc>
        <w:tc>
          <w:tcPr>
            <w:tcW w:w="5233" w:type="dxa"/>
          </w:tcPr>
          <w:p>
            <w:r>
              <w:t xml:space="preserve">MacBook Pro M1 (macOS 26.6.2), iPad Pro 11 (iPadOS 26.6.1)</w:t>
            </w:r>
          </w:p>
        </w:tc>
      </w:tr>
    </w:tbl>
    <w:p/>
    <w:p>
      <w:pPr>
        <w:pStyle w:val="IntenseQuote"/>
      </w:pPr>
      <w:r>
        <w:rPr>
          <w:b/>
        </w:rPr>
        <w:t xml:space="preserve">ℹ️ Note — subscription tier. </w:t>
      </w:r>
      <w:r>
        <w:t xml:space="preserve">The Jamf integration described here is available with the Central Foundation subscription. The higher-tier Central license is only needed for multi-IdP or personal certificate — features not used in this lab.</w:t>
      </w:r>
    </w:p>
    <w:p>
      <w:r>
        <w:t xml:space="preserve">End-to-end flow mechanism:</w:t>
      </w:r>
    </w:p>
    <w:p>
      <w:pPr>
        <w:pStyle w:val="ListParagraph"/>
        <w:numPr>
          <w:ilvl w:val="0"/>
          <w:numId w:val="500"/>
        </w:numPr>
      </w:pPr>
      <w:r>
        <w:t xml:space="preserve">The Apple device (Mac / iPad) enrolls into Jamf Pro Cloud.</w:t>
      </w:r>
    </w:p>
    <w:p>
      <w:pPr>
        <w:pStyle w:val="ListParagraph"/>
        <w:numPr>
          <w:ilvl w:val="0"/>
          <w:numId w:val="500"/>
        </w:numPr>
      </w:pPr>
      <w:r>
        <w:t xml:space="preserve">Jamf Pro pushes the SCEP profile to the device.</w:t>
      </w:r>
    </w:p>
    <w:p>
      <w:pPr>
        <w:pStyle w:val="ListParagraph"/>
        <w:numPr>
          <w:ilvl w:val="0"/>
          <w:numId w:val="500"/>
        </w:numPr>
      </w:pPr>
      <w:r>
        <w:t xml:space="preserve">The device triggers a SCEPChallenge event against Jamf.</w:t>
      </w:r>
    </w:p>
    <w:p>
      <w:pPr>
        <w:pStyle w:val="ListParagraph"/>
        <w:numPr>
          <w:ilvl w:val="0"/>
          <w:numId w:val="500"/>
        </w:numPr>
      </w:pPr>
      <w:r>
        <w:t xml:space="preserve">Jamf calls Central's Jamf extension Webhook with the Authorization Header.</w:t>
      </w:r>
    </w:p>
    <w:p>
      <w:pPr>
        <w:pStyle w:val="ListParagraph"/>
        <w:numPr>
          <w:ilvl w:val="0"/>
          <w:numId w:val="500"/>
        </w:numPr>
      </w:pPr>
      <w:r>
        <w:t xml:space="preserve">Central returns a single-use challenge.</w:t>
      </w:r>
    </w:p>
    <w:p>
      <w:pPr>
        <w:pStyle w:val="ListParagraph"/>
        <w:numPr>
          <w:ilvl w:val="0"/>
          <w:numId w:val="500"/>
        </w:numPr>
      </w:pPr>
      <w:r>
        <w:t xml:space="preserve">Jamf forwards this challenge to the device.</w:t>
      </w:r>
    </w:p>
    <w:p>
      <w:pPr>
        <w:pStyle w:val="ListParagraph"/>
        <w:numPr>
          <w:ilvl w:val="0"/>
          <w:numId w:val="500"/>
        </w:numPr>
      </w:pPr>
      <w:r>
        <w:t xml:space="preserve">The device sends its request to Central's SCEP URL.</w:t>
      </w:r>
    </w:p>
    <w:p>
      <w:pPr>
        <w:pStyle w:val="ListParagraph"/>
        <w:numPr>
          <w:ilvl w:val="0"/>
          <w:numId w:val="500"/>
        </w:numPr>
      </w:pPr>
      <w:r>
        <w:t xml:space="preserve">Central NAC issues the client certificate.</w:t>
      </w:r>
    </w:p>
    <w:p>
      <w:pPr>
        <w:pStyle w:val="ListParagraph"/>
        <w:numPr>
          <w:ilvl w:val="0"/>
          <w:numId w:val="500"/>
        </w:numPr>
      </w:pPr>
      <w:r>
        <w:t xml:space="preserve">The device authenticates via EAP-TLS on the luconik-jamf SSID.</w:t>
      </w:r>
    </w:p>
    <w:p>
      <w:pPr>
        <w:pStyle w:val="ListParagraph"/>
        <w:numPr>
          <w:ilvl w:val="0"/>
          <w:numId w:val="500"/>
        </w:numPr>
      </w:pPr>
      <w:r>
        <w:t xml:space="preserve">Central NAC assigns the network role based on the identity's EntraID group.</w:t>
      </w:r>
    </w:p>
    <w:p>
      <w:pPr>
        <w:pStyle w:val="Heading1"/>
      </w:pPr>
      <w:r>
        <w:t xml:space="preserve">Prerequisites</w:t>
      </w:r>
    </w:p>
    <w:p>
      <w:pPr>
        <w:pStyle w:val="ListParagraph"/>
        <w:numPr>
          <w:ilvl w:val="0"/>
          <w:numId w:val="21"/>
        </w:numPr>
      </w:pPr>
      <w:r>
        <w:t xml:space="preserve">Aruba Central NAC — Central Foundation subscription.</w:t>
      </w:r>
    </w:p>
    <w:p>
      <w:pPr>
        <w:pStyle w:val="ListParagraph"/>
        <w:numPr>
          <w:ilvl w:val="0"/>
          <w:numId w:val="21"/>
        </w:numPr>
      </w:pPr>
      <w:r>
        <w:t xml:space="preserve">EntraID identity store already configured in Central (App Registration, permissions).</w:t>
      </w:r>
    </w:p>
    <w:p>
      <w:pPr>
        <w:pStyle w:val="ListParagraph"/>
        <w:numPr>
          <w:ilvl w:val="0"/>
          <w:numId w:val="21"/>
        </w:numPr>
      </w:pPr>
      <w:r>
        <w:t xml:space="preserve">Jamf Pro Cloud, version 10.32 or later (lab validated on 11.31.1-t1787060595569 / 11.32).</w:t>
      </w:r>
    </w:p>
    <w:p>
      <w:pPr>
        <w:pStyle w:val="ListParagraph"/>
        <w:numPr>
          <w:ilvl w:val="0"/>
          <w:numId w:val="21"/>
        </w:numPr>
      </w:pPr>
      <w:r>
        <w:t xml:space="preserve">Jamf Pro account with admin rights to create an API role/client and configuration profiles (Certificate, SCEP, Network payloads).</w:t>
      </w:r>
    </w:p>
    <w:p>
      <w:pPr>
        <w:pStyle w:val="ListParagraph"/>
        <w:numPr>
          <w:ilvl w:val="0"/>
          <w:numId w:val="21"/>
        </w:numPr>
      </w:pPr>
      <w:r>
        <w:t xml:space="preserve">Existing EntraID groups for NAC role mapping.</w:t>
      </w:r>
    </w:p>
    <w:p>
      <w:pPr>
        <w:pStyle w:val="IntenseQuote"/>
      </w:pPr>
      <w:r>
        <w:rPr>
          <w:b/>
        </w:rPr>
        <w:t xml:space="preserve">⚠️ Gotcha — Entra secret referenced in two places. </w:t>
      </w:r>
      <w:r>
        <w:t xml:space="preserve">The Entra client secret is used both in the Jamf MDM extension and in the Central identity store. Regenerating it in Entra invalidates both references at once — it must be updated in both places after regeneration.</w:t>
      </w:r>
    </w:p>
    <w:p>
      <w:pPr>
        <w:pStyle w:val="IntenseQuote"/>
      </w:pPr>
      <w:r>
        <w:rPr>
          <w:b/>
        </w:rPr>
        <w:t xml:space="preserve">⚠️ Gotcha — Value vs Secret ID. </w:t>
      </w:r>
      <w:r>
        <w:t xml:space="preserve">On the Entra side, when creating the secret, it's the Value that needs to be copied, not the Secret ID. A common mistake that silently breaks the extension's authentication.</w:t>
      </w:r>
    </w:p>
    <w:p>
      <w:r>
        <w:t xml:space="preserve">Jamf-tenant-specific values are never reused in this document. Use &lt;jamf-tenant&gt;.jamfcloud.com in the examples and public screenshots.</w:t>
      </w:r>
    </w:p>
    <w:p>
      <w:r>
        <w:br w:type="page"/>
      </w:r>
    </w:p>
    <w:p>
      <w:pPr>
        <w:pStyle w:val="Heading1"/>
      </w:pPr>
      <w:r>
        <w:t xml:space="preserve">Part 1 — Aruba Central: Jamf extension</w:t>
      </w:r>
    </w:p>
    <w:p>
      <w:pPr>
        <w:pStyle w:val="Heading2"/>
      </w:pPr>
      <w:r>
        <w:t xml:space="preserve">1.1 Install the Jamf extension</w:t>
      </w:r>
    </w:p>
    <w:p>
      <w:pPr>
        <w:pStyle w:val="ListParagraph"/>
        <w:numPr>
          <w:ilvl w:val="0"/>
          <w:numId w:val="501"/>
        </w:numPr>
      </w:pPr>
      <w:r>
        <w:t xml:space="preserve">In Aruba Central, open Global → Maintenance → Extensions (Available Extensions tab).</w:t>
      </w:r>
    </w:p>
    <w:p>
      <w:pPr>
        <w:pStyle w:val="ListParagraph"/>
        <w:numPr>
          <w:ilvl w:val="0"/>
          <w:numId w:val="501"/>
        </w:numPr>
      </w:pPr>
      <w:r>
        <w:t xml:space="preserve">In the catalog, locate the Jamf extension — it exists natively, on the same footing as the Intune extension.</w:t>
      </w:r>
    </w:p>
    <w:p>
      <w:pPr>
        <w:jc w:val="center"/>
      </w:pPr>
      <w:r>
        <w:drawing>
          <wp:inline distT="0" distB="0" distL="0" distR="0">
            <wp:extent cx="5760720" cy="3590829"/>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200"/>
                    <a:stretch>
                      <a:fillRect/>
                    </a:stretch>
                  </pic:blipFill>
                  <pic:spPr>
                    <a:xfrm>
                      <a:off x="0" y="0"/>
                      <a:ext cx="5760720" cy="3590829"/>
                    </a:xfrm>
                    <a:prstGeom prst="rect">
                      <a:avLst/>
                    </a:prstGeom>
                  </pic:spPr>
                </pic:pic>
              </a:graphicData>
            </a:graphic>
          </wp:inline>
        </w:drawing>
      </w:r>
    </w:p>
    <w:p>
      <w:pPr>
        <w:pStyle w:val="Caption-Figure"/>
        <w:jc w:val="center"/>
      </w:pPr>
      <w:r>
        <w:t xml:space="preserve">Central extensions catalog — Jamf</w:t>
      </w:r>
    </w:p>
    <w:p>
      <w:r>
        <w:t xml:space="preserve">Click Install on the Jamf card.</w:t>
      </w:r>
    </w:p>
    <w:p>
      <w:pPr>
        <w:pStyle w:val="Heading2"/>
      </w:pPr>
      <w:r>
        <w:t xml:space="preserve">1.2 Configure the extension</w:t>
      </w:r>
    </w:p>
    <w:p>
      <w:r>
        <w:t xml:space="preserve">The install form also serves as the configuration form — there is no separate naming step ahead of the credentials configuration.</w:t>
      </w:r>
    </w:p>
    <w:p>
      <w:pPr>
        <w:pStyle w:val="ListParagraph"/>
        <w:numPr>
          <w:ilvl w:val="0"/>
          <w:numId w:val="502"/>
        </w:numPr>
      </w:pPr>
      <w:r>
        <w:t xml:space="preserve">Give the instance a name (e.g. &lt;jamf-instance-name&gt;) and leave the type set to Jamf Pro.</w:t>
      </w:r>
    </w:p>
    <w:p>
      <w:pPr>
        <w:pStyle w:val="ListParagraph"/>
        <w:numPr>
          <w:ilvl w:val="0"/>
          <w:numId w:val="502"/>
        </w:numPr>
      </w:pPr>
      <w:r>
        <w:t xml:space="preserve">Enter the Jamf Pro instance URL: &lt;jamf-tenant&gt;.jamfcloud.com.</w:t>
      </w:r>
    </w:p>
    <w:p>
      <w:pPr>
        <w:pStyle w:val="ListParagraph"/>
        <w:numPr>
          <w:ilvl w:val="0"/>
          <w:numId w:val="502"/>
        </w:numPr>
      </w:pPr>
      <w:r>
        <w:t xml:space="preserve">Under Connect Using, select OAuth.</w:t>
      </w:r>
    </w:p>
    <w:p>
      <w:pPr>
        <w:pStyle w:val="ListParagraph"/>
        <w:numPr>
          <w:ilvl w:val="0"/>
          <w:numId w:val="502"/>
        </w:numPr>
      </w:pPr>
      <w:r>
        <w:t xml:space="preserve">Enter the Client ID and Secret of the Entra ID App Registration created for this integration, along with the Token Server URL (https://&lt;jamf-tenant&gt;.jamfcloud.com/api/oauth/token).</w:t>
      </w:r>
    </w:p>
    <w:p>
      <w:pPr>
        <w:jc w:val="center"/>
      </w:pPr>
      <w:r>
        <w:drawing>
          <wp:inline distT="0" distB="0" distL="0" distR="0">
            <wp:extent cx="2564654" cy="6858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201"/>
                    <a:stretch>
                      <a:fillRect/>
                    </a:stretch>
                  </pic:blipFill>
                  <pic:spPr>
                    <a:xfrm>
                      <a:off x="0" y="0"/>
                      <a:ext cx="2564654" cy="6858000"/>
                    </a:xfrm>
                    <a:prstGeom prst="rect">
                      <a:avLst/>
                    </a:prstGeom>
                  </pic:spPr>
                </pic:pic>
              </a:graphicData>
            </a:graphic>
          </wp:inline>
        </w:drawing>
      </w:r>
    </w:p>
    <w:p>
      <w:pPr>
        <w:pStyle w:val="Caption-Figure"/>
        <w:jc w:val="center"/>
      </w:pPr>
      <w:r>
        <w:t xml:space="preserve">Installing and configuring the Jamf extension</w:t>
      </w:r>
    </w:p>
    <w:p>
      <w:r>
        <w:t xml:space="preserve">Click Install — the instance appears under the Installed Extensions tab with status Active.</w:t>
      </w:r>
    </w:p>
    <w:p>
      <w:pPr>
        <w:jc w:val="center"/>
      </w:pPr>
      <w:r>
        <w:drawing>
          <wp:inline distT="0" distB="0" distL="0" distR="0">
            <wp:extent cx="5760720" cy="261759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202"/>
                    <a:stretch>
                      <a:fillRect/>
                    </a:stretch>
                  </pic:blipFill>
                  <pic:spPr>
                    <a:xfrm>
                      <a:off x="0" y="0"/>
                      <a:ext cx="5760720" cy="2617590"/>
                    </a:xfrm>
                    <a:prstGeom prst="rect">
                      <a:avLst/>
                    </a:prstGeom>
                  </pic:spPr>
                </pic:pic>
              </a:graphicData>
            </a:graphic>
          </wp:inline>
        </w:drawing>
      </w:r>
    </w:p>
    <w:p>
      <w:pPr>
        <w:pStyle w:val="Caption-Figure"/>
        <w:jc w:val="center"/>
      </w:pPr>
      <w:r>
        <w:t xml:space="preserve">Jamf extension installed and active</w:t>
      </w:r>
    </w:p>
    <w:p>
      <w:pPr>
        <w:pStyle w:val="IntenseQuote"/>
      </w:pPr>
      <w:r>
        <w:rPr>
          <w:b/>
        </w:rPr>
        <w:t xml:space="preserve">⚠️ Gotcha — no "Extension" field. </w:t>
      </w:r>
      <w:r>
        <w:t xml:space="preserve">Unlike the Intune extension, the Jamf UEM instance configuration screen has no Extension field for a direct app link. The integration relies entirely on the SCEP URL + SCEP Challenge Webhook URL + Authorization Header mechanism described below — this is the triad that needs to be passed to Jamf Pro.</w:t>
      </w:r>
    </w:p>
    <w:p>
      <w:pPr>
        <w:pStyle w:val="Heading2"/>
      </w:pPr>
      <w:r>
        <w:t xml:space="preserve">1.3 Retrieve the SCEP URL, Webhook URL, and Authorization Header</w:t>
      </w:r>
    </w:p>
    <w:p>
      <w:pPr>
        <w:pStyle w:val="ListParagraph"/>
        <w:numPr>
          <w:ilvl w:val="0"/>
          <w:numId w:val="503"/>
        </w:numPr>
      </w:pPr>
      <w:r>
        <w:t xml:space="preserve">Once the instance is connected, open the tab that exposes the instance's SCEP information.</w:t>
      </w:r>
    </w:p>
    <w:p>
      <w:pPr>
        <w:pStyle w:val="ListParagraph"/>
        <w:numPr>
          <w:ilvl w:val="0"/>
          <w:numId w:val="503"/>
        </w:numPr>
      </w:pPr>
      <w:r>
        <w:t xml:space="preserve">Note and copy the following three values, to be passed to Jamf Pro's PKI configuration (see Part 4.1): SCEP URL (the endpoint the device uses to retrieve its certificate), SCEP Challenge Webhook URL (the endpoint Jamf calls on the SCEPChallenge event), Authorization Header (the auth header to configure on the Jamf side for the webhook call).</w:t>
      </w:r>
    </w:p>
    <w:p>
      <w:pPr>
        <w:jc w:val="center"/>
      </w:pPr>
      <w:r>
        <w:drawing>
          <wp:inline distT="0" distB="0" distL="0" distR="0">
            <wp:extent cx="2410850" cy="6858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03"/>
                    <a:stretch>
                      <a:fillRect/>
                    </a:stretch>
                  </pic:blipFill>
                  <pic:spPr>
                    <a:xfrm>
                      <a:off x="0" y="0"/>
                      <a:ext cx="2410850" cy="6858000"/>
                    </a:xfrm>
                    <a:prstGeom prst="rect">
                      <a:avLst/>
                    </a:prstGeom>
                  </pic:spPr>
                </pic:pic>
              </a:graphicData>
            </a:graphic>
          </wp:inline>
        </w:drawing>
      </w:r>
    </w:p>
    <w:p>
      <w:pPr>
        <w:pStyle w:val="Caption-Figure"/>
        <w:jc w:val="center"/>
      </w:pPr>
      <w:r>
        <w:t xml:space="preserve">SCEP URL / Webhook URL / Authorization Header screen</w:t>
      </w:r>
    </w:p>
    <w:p>
      <w:r>
        <w:t xml:space="preserve">Keep these three values on hand.</w:t>
      </w:r>
    </w:p>
    <w:p>
      <w:pPr>
        <w:pStyle w:val="IntenseQuote"/>
      </w:pPr>
      <w:r>
        <w:rPr>
          <w:b/>
        </w:rPr>
        <w:t xml:space="preserve">ℹ️ Note. </w:t>
      </w:r>
      <w:r>
        <w:t xml:space="preserve">These three values are entered only once on the Jamf Pro side, and the Authorization Header is not shown again in clear text afterward — note it down before leaving the screen.</w:t>
      </w:r>
    </w:p>
    <w:p>
      <w:r>
        <w:br w:type="page"/>
      </w:r>
    </w:p>
    <w:p>
      <w:pPr>
        <w:pStyle w:val="Heading1"/>
      </w:pPr>
      <w:r>
        <w:t xml:space="preserve">Part 2 — Aruba Central NAC: configuration</w:t>
      </w:r>
    </w:p>
    <w:p>
      <w:pPr>
        <w:pStyle w:val="Heading2"/>
      </w:pPr>
      <w:r>
        <w:t xml:space="preserve">2.1 Configure the OAuth EntraID identity store</w:t>
      </w:r>
    </w:p>
    <w:p>
      <w:pPr>
        <w:pStyle w:val="ListParagraph"/>
        <w:numPr>
          <w:ilvl w:val="0"/>
          <w:numId w:val="504"/>
        </w:numPr>
      </w:pPr>
      <w:r>
        <w:t xml:space="preserve">Open Central NAC → Configuration → Identity Management.</w:t>
      </w:r>
    </w:p>
    <w:p>
      <w:pPr>
        <w:pStyle w:val="ListParagraph"/>
        <w:numPr>
          <w:ilvl w:val="0"/>
          <w:numId w:val="504"/>
        </w:numPr>
      </w:pPr>
      <w:r>
        <w:t xml:space="preserve">The list shows the existing identity stores (e.g. Luconik_EntraID, Luconik_Visitor, MAC Address Store, Wi-Fi Easy Connect Registration Store) along with, for each, the Authentication Profiles and Authorization Policies that reference it.</w:t>
      </w:r>
    </w:p>
    <w:p>
      <w:pPr>
        <w:pStyle w:val="ListParagraph"/>
        <w:numPr>
          <w:ilvl w:val="0"/>
          <w:numId w:val="504"/>
        </w:numPr>
      </w:pPr>
      <w:r>
        <w:t xml:space="preserve">Select the OAuth 2.0 EntraID identity store already configured and used for the Jamf extension (1.2) — a single identity store serves both needs.</w:t>
      </w:r>
    </w:p>
    <w:p>
      <w:pPr>
        <w:pStyle w:val="ListParagraph"/>
        <w:numPr>
          <w:ilvl w:val="0"/>
          <w:numId w:val="504"/>
        </w:numPr>
      </w:pPr>
      <w:r>
        <w:t xml:space="preserve">Verify that the Tenant ID and App Registration match the ones used on the extension side.</w:t>
      </w:r>
    </w:p>
    <w:p>
      <w:pPr>
        <w:jc w:val="center"/>
      </w:pPr>
      <w:r>
        <w:drawing>
          <wp:inline distT="0" distB="0" distL="0" distR="0">
            <wp:extent cx="5760720" cy="211123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04"/>
                    <a:stretch>
                      <a:fillRect/>
                    </a:stretch>
                  </pic:blipFill>
                  <pic:spPr>
                    <a:xfrm>
                      <a:off x="0" y="0"/>
                      <a:ext cx="5760720" cy="2111237"/>
                    </a:xfrm>
                    <a:prstGeom prst="rect">
                      <a:avLst/>
                    </a:prstGeom>
                  </pic:spPr>
                </pic:pic>
              </a:graphicData>
            </a:graphic>
          </wp:inline>
        </w:drawing>
      </w:r>
    </w:p>
    <w:p>
      <w:pPr>
        <w:pStyle w:val="Caption-Figure"/>
        <w:jc w:val="center"/>
      </w:pPr>
      <w:r>
        <w:t xml:space="preserve">Central NAC identity store list</w:t>
      </w:r>
    </w:p>
    <w:p>
      <w:pPr>
        <w:pStyle w:val="Heading2"/>
      </w:pPr>
      <w:r>
        <w:t xml:space="preserve">2.2 Create the NAC roles</w:t>
      </w:r>
    </w:p>
    <w:p>
      <w:pPr>
        <w:pStyle w:val="ListParagraph"/>
        <w:numPr>
          <w:ilvl w:val="0"/>
          <w:numId w:val="505"/>
        </w:numPr>
      </w:pPr>
      <w:r>
        <w:t xml:space="preserve">Open Global → Configuration Overview → Library → Roles &amp; Policies tab → Roles. This role repository is shared across all of Central (not specific to Central NAC).</w:t>
      </w:r>
    </w:p>
    <w:p>
      <w:pPr>
        <w:pStyle w:val="ListParagraph"/>
        <w:numPr>
          <w:ilvl w:val="0"/>
          <w:numId w:val="505"/>
        </w:numPr>
      </w:pPr>
      <w:r>
        <w:t xml:space="preserve">Create a role per target population, e.g. Luconik, meant to be mapped to an EntraID group (see 2.5) — assigned to the relevant device functions (Campus Access Point, Access Switch, Mobility Gateway…) at the site scope (e.g. Homelab).</w:t>
      </w:r>
    </w:p>
    <w:p>
      <w:pPr>
        <w:pStyle w:val="ListParagraph"/>
        <w:numPr>
          <w:ilvl w:val="0"/>
          <w:numId w:val="505"/>
        </w:numPr>
      </w:pPr>
      <w:r>
        <w:t xml:space="preserve">Define the associated network rights (VLAN, ACL, etc.) according to the site's policy.</w:t>
      </w:r>
    </w:p>
    <w:p>
      <w:pPr>
        <w:jc w:val="center"/>
      </w:pPr>
      <w:r>
        <w:drawing>
          <wp:inline distT="0" distB="0" distL="0" distR="0">
            <wp:extent cx="5760720" cy="5335597"/>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05"/>
                    <a:stretch>
                      <a:fillRect/>
                    </a:stretch>
                  </pic:blipFill>
                  <pic:spPr>
                    <a:xfrm>
                      <a:off x="0" y="0"/>
                      <a:ext cx="5760720" cy="5335597"/>
                    </a:xfrm>
                    <a:prstGeom prst="rect">
                      <a:avLst/>
                    </a:prstGeom>
                  </pic:spPr>
                </pic:pic>
              </a:graphicData>
            </a:graphic>
          </wp:inline>
        </w:drawing>
      </w:r>
    </w:p>
    <w:p>
      <w:pPr>
        <w:pStyle w:val="Caption-Figure"/>
        <w:jc w:val="center"/>
      </w:pPr>
      <w:r>
        <w:t xml:space="preserve">Central roles library</w:t>
      </w:r>
    </w:p>
    <w:p>
      <w:pPr>
        <w:pStyle w:val="Heading2"/>
      </w:pPr>
      <w:r>
        <w:t xml:space="preserve">2.3 Configure the global NAC policy</w:t>
      </w:r>
    </w:p>
    <w:p>
      <w:pPr>
        <w:pStyle w:val="ListParagraph"/>
        <w:numPr>
          <w:ilvl w:val="0"/>
          <w:numId w:val="506"/>
        </w:numPr>
      </w:pPr>
      <w:r>
        <w:t xml:space="preserve">Open Global → Configuration Overview → Library → Roles &amp; Policies tab → Security Policies → Role-based Policies. As with roles (2.2), this is a repository shared across all of Central, not specific to Central NAC.</w:t>
      </w:r>
    </w:p>
    <w:p>
      <w:pPr>
        <w:pStyle w:val="ListParagraph"/>
        <w:numPr>
          <w:ilvl w:val="0"/>
          <w:numId w:val="506"/>
        </w:numPr>
      </w:pPr>
      <w:r>
        <w:t xml:space="preserve">Create (or edit) a Role-based policy (e.g. XYZ-policies), assigned to the relevant device functions at the site scope (e.g. Homelab).</w:t>
      </w:r>
    </w:p>
    <w:p>
      <w:pPr>
        <w:pStyle w:val="ListParagraph"/>
        <w:numPr>
          <w:ilvl w:val="0"/>
          <w:numId w:val="506"/>
        </w:numPr>
      </w:pPr>
      <w:r>
        <w:t xml:space="preserve">Add one rule per role created in 2.2: Source = Access Role → select the role (e.g. admin-role), Destination = Any (or more restrictive depending on the desired segmentation), Service/Application = Any, Action = Allow.</w:t>
      </w:r>
    </w:p>
    <w:p>
      <w:pPr>
        <w:jc w:val="center"/>
      </w:pPr>
      <w:r>
        <w:drawing>
          <wp:inline distT="0" distB="0" distL="0" distR="0">
            <wp:extent cx="5760720" cy="3246201"/>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06"/>
                    <a:stretch>
                      <a:fillRect/>
                    </a:stretch>
                  </pic:blipFill>
                  <pic:spPr>
                    <a:xfrm>
                      <a:off x="0" y="0"/>
                      <a:ext cx="5760720" cy="3246201"/>
                    </a:xfrm>
                    <a:prstGeom prst="rect">
                      <a:avLst/>
                    </a:prstGeom>
                  </pic:spPr>
                </pic:pic>
              </a:graphicData>
            </a:graphic>
          </wp:inline>
        </w:drawing>
      </w:r>
    </w:p>
    <w:p>
      <w:pPr>
        <w:pStyle w:val="Caption-Figure"/>
        <w:jc w:val="center"/>
      </w:pPr>
      <w:r>
        <w:t xml:space="preserve">Role-based policy — rule overview</w:t>
      </w:r>
    </w:p>
    <w:p>
      <w:pPr>
        <w:jc w:val="center"/>
      </w:pPr>
      <w:r>
        <w:drawing>
          <wp:inline distT="0" distB="0" distL="0" distR="0">
            <wp:extent cx="5760720" cy="5191241"/>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07"/>
                    <a:stretch>
                      <a:fillRect/>
                    </a:stretch>
                  </pic:blipFill>
                  <pic:spPr>
                    <a:xfrm>
                      <a:off x="0" y="0"/>
                      <a:ext cx="5760720" cy="5191241"/>
                    </a:xfrm>
                    <a:prstGeom prst="rect">
                      <a:avLst/>
                    </a:prstGeom>
                  </pic:spPr>
                </pic:pic>
              </a:graphicData>
            </a:graphic>
          </wp:inline>
        </w:drawing>
      </w:r>
    </w:p>
    <w:p>
      <w:pPr>
        <w:pStyle w:val="Caption-Figure"/>
        <w:jc w:val="center"/>
      </w:pPr>
      <w:r>
        <w:t xml:space="preserve">Rule detail — Source Access Role, Action Allow</w:t>
      </w:r>
    </w:p>
    <w:p>
      <w:r>
        <w:t xml:space="preserve">Repeat for every role that needs network access (one rule = one role). This policy is what translates each NAC role's rights into actual network enforcement.</w:t>
      </w:r>
    </w:p>
    <w:p>
      <w:pPr>
        <w:pStyle w:val="IntenseQuote"/>
      </w:pPr>
      <w:r>
        <w:rPr>
          <w:b/>
        </w:rPr>
        <w:t xml:space="preserve">ℹ️ System policies. </w:t>
      </w:r>
      <w:r>
        <w:t xml:space="preserve">Read-only system policies also exist (sys_central_nac, System Default GW Policy, sys_allow_all, Global scope) — do not modify them, they are managed by Central.</w:t>
      </w:r>
    </w:p>
    <w:p>
      <w:pPr>
        <w:pStyle w:val="Heading2"/>
      </w:pPr>
      <w:r>
        <w:t xml:space="preserve">2.4 Create the 802.1X SSID profile</w:t>
      </w:r>
    </w:p>
    <w:p>
      <w:pPr>
        <w:pStyle w:val="ListParagraph"/>
        <w:numPr>
          <w:ilvl w:val="0"/>
          <w:numId w:val="507"/>
        </w:numPr>
      </w:pPr>
      <w:r>
        <w:t xml:space="preserve">Open the WLAN profile for the luconik-jamf SSID (at the relevant site/AP group configuration) → Security section.</w:t>
      </w:r>
    </w:p>
    <w:p>
      <w:pPr>
        <w:pStyle w:val="ListParagraph"/>
        <w:numPr>
          <w:ilvl w:val="0"/>
          <w:numId w:val="507"/>
        </w:numPr>
      </w:pPr>
      <w:r>
        <w:t xml:space="preserve">Security Level: Enterprise.</w:t>
      </w:r>
    </w:p>
    <w:p>
      <w:pPr>
        <w:pStyle w:val="ListParagraph"/>
        <w:numPr>
          <w:ilvl w:val="0"/>
          <w:numId w:val="507"/>
        </w:numPr>
      </w:pPr>
      <w:r>
        <w:t xml:space="preserve">Key Management: WPA3-Enterprise (CCM 128).</w:t>
      </w:r>
    </w:p>
    <w:p>
      <w:pPr>
        <w:pStyle w:val="ListParagraph"/>
        <w:numPr>
          <w:ilvl w:val="0"/>
          <w:numId w:val="507"/>
        </w:numPr>
      </w:pPr>
      <w:r>
        <w:t xml:space="preserve">Authentication → Server Group: Central NAC.</w:t>
      </w:r>
    </w:p>
    <w:p>
      <w:pPr>
        <w:jc w:val="center"/>
      </w:pPr>
      <w:r>
        <w:drawing>
          <wp:inline distT="0" distB="0" distL="0" distR="0">
            <wp:extent cx="5760720" cy="4868241"/>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208"/>
                    <a:stretch>
                      <a:fillRect/>
                    </a:stretch>
                  </pic:blipFill>
                  <pic:spPr>
                    <a:xfrm>
                      <a:off x="0" y="0"/>
                      <a:ext cx="5760720" cy="4868241"/>
                    </a:xfrm>
                    <a:prstGeom prst="rect">
                      <a:avLst/>
                    </a:prstGeom>
                  </pic:spPr>
                </pic:pic>
              </a:graphicData>
            </a:graphic>
          </wp:inline>
        </w:drawing>
      </w:r>
    </w:p>
    <w:p>
      <w:pPr>
        <w:pStyle w:val="Caption-Figure"/>
        <w:jc w:val="center"/>
      </w:pPr>
      <w:r>
        <w:t xml:space="preserve">luconik-jamf SSID profile — Security section</w:t>
      </w:r>
    </w:p>
    <w:p>
      <w:r>
        <w:t xml:space="preserve">Deploy the profile to the relevant AP group(s).</w:t>
      </w:r>
    </w:p>
    <w:p>
      <w:pPr>
        <w:pStyle w:val="Heading2"/>
      </w:pPr>
      <w:r>
        <w:t xml:space="preserve">2.5 Create the authorization policy</w:t>
      </w:r>
    </w:p>
    <w:p>
      <w:pPr>
        <w:pStyle w:val="ListParagraph"/>
        <w:numPr>
          <w:ilvl w:val="0"/>
          <w:numId w:val="508"/>
        </w:numPr>
      </w:pPr>
      <w:r>
        <w:t xml:space="preserve">Open Central NAC → Configuration → Authorization Policies.</w:t>
      </w:r>
    </w:p>
    <w:p>
      <w:pPr>
        <w:pStyle w:val="ListParagraph"/>
        <w:numPr>
          <w:ilvl w:val="0"/>
          <w:numId w:val="508"/>
        </w:numPr>
      </w:pPr>
      <w:r>
        <w:t xml:space="preserve">A policy groups several ordered rules, each evaluated in order (the first match applies, the last rule being a default Deny All).</w:t>
      </w:r>
    </w:p>
    <w:p>
      <w:pPr>
        <w:pStyle w:val="ListParagraph"/>
        <w:numPr>
          <w:ilvl w:val="0"/>
          <w:numId w:val="508"/>
        </w:numPr>
      </w:pPr>
      <w:r>
        <w:t xml:space="preserve">Create a rule whose condition matches the &lt;group-name&gt; EntraID group, with action Allow and the NAC role created in 2.2.</w:t>
      </w:r>
    </w:p>
    <w:p>
      <w:pPr>
        <w:pStyle w:val="ListParagraph"/>
        <w:numPr>
          <w:ilvl w:val="0"/>
          <w:numId w:val="508"/>
        </w:numPr>
      </w:pPr>
      <w:r>
        <w:t xml:space="preserve">Position the rule where needed relative to the other existing rules.</w:t>
      </w:r>
    </w:p>
    <w:p>
      <w:pPr>
        <w:jc w:val="center"/>
      </w:pPr>
      <w:r>
        <w:drawing>
          <wp:inline distT="0" distB="0" distL="0" distR="0">
            <wp:extent cx="5760720" cy="295532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209"/>
                    <a:stretch>
                      <a:fillRect/>
                    </a:stretch>
                  </pic:blipFill>
                  <pic:spPr>
                    <a:xfrm>
                      <a:off x="0" y="0"/>
                      <a:ext cx="5760720" cy="2955321"/>
                    </a:xfrm>
                    <a:prstGeom prst="rect">
                      <a:avLst/>
                    </a:prstGeom>
                  </pic:spPr>
                </pic:pic>
              </a:graphicData>
            </a:graphic>
          </wp:inline>
        </w:drawing>
      </w:r>
    </w:p>
    <w:p>
      <w:pPr>
        <w:pStyle w:val="Caption-Figure"/>
        <w:jc w:val="center"/>
      </w:pPr>
      <w:r>
        <w:t xml:space="preserve">Authorization policy rules</w:t>
      </w:r>
    </w:p>
    <w:p>
      <w:pPr>
        <w:pStyle w:val="Heading2"/>
      </w:pPr>
      <w:r>
        <w:t xml:space="preserve">2.6 Create the EAP-TLS authentication profile</w:t>
      </w:r>
    </w:p>
    <w:p>
      <w:pPr>
        <w:pStyle w:val="ListParagraph"/>
        <w:numPr>
          <w:ilvl w:val="0"/>
          <w:numId w:val="509"/>
        </w:numPr>
      </w:pPr>
      <w:r>
        <w:t xml:space="preserve">Open Central NAC → Configuration → Authentication Profiles.</w:t>
      </w:r>
    </w:p>
    <w:p>
      <w:pPr>
        <w:pStyle w:val="ListParagraph"/>
        <w:numPr>
          <w:ilvl w:val="0"/>
          <w:numId w:val="509"/>
        </w:numPr>
      </w:pPr>
      <w:r>
        <w:t xml:space="preserve">Create a profile of type EAP-TLS.</w:t>
      </w:r>
    </w:p>
    <w:p>
      <w:pPr>
        <w:pStyle w:val="ListParagraph"/>
        <w:numPr>
          <w:ilvl w:val="0"/>
          <w:numId w:val="509"/>
        </w:numPr>
      </w:pPr>
      <w:r>
        <w:t xml:space="preserve">Associate the Jamf UEM instance (Part 1) as the client certificate validation source.</w:t>
      </w:r>
    </w:p>
    <w:p>
      <w:pPr>
        <w:pStyle w:val="ListParagraph"/>
        <w:numPr>
          <w:ilvl w:val="0"/>
          <w:numId w:val="509"/>
        </w:numPr>
      </w:pPr>
      <w:r>
        <w:t xml:space="preserve">Associate this profile with the luconik-jamf SSID created in 2.4.</w:t>
      </w:r>
    </w:p>
    <w:p>
      <w:pPr>
        <w:jc w:val="center"/>
      </w:pPr>
      <w:r>
        <w:drawing>
          <wp:inline distT="0" distB="0" distL="0" distR="0">
            <wp:extent cx="5760720" cy="5182254"/>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10"/>
                    <a:stretch>
                      <a:fillRect/>
                    </a:stretch>
                  </pic:blipFill>
                  <pic:spPr>
                    <a:xfrm>
                      <a:off x="0" y="0"/>
                      <a:ext cx="5760720" cy="5182254"/>
                    </a:xfrm>
                    <a:prstGeom prst="rect">
                      <a:avLst/>
                    </a:prstGeom>
                  </pic:spPr>
                </pic:pic>
              </a:graphicData>
            </a:graphic>
          </wp:inline>
        </w:drawing>
      </w:r>
    </w:p>
    <w:p>
      <w:pPr>
        <w:pStyle w:val="Caption-Figure"/>
        <w:jc w:val="center"/>
      </w:pPr>
      <w:r>
        <w:t xml:space="preserve">EAP-TLS authentication profile</w:t>
      </w:r>
    </w:p>
    <w:p>
      <w:r>
        <w:br w:type="page"/>
      </w:r>
    </w:p>
    <w:p>
      <w:pPr>
        <w:pStyle w:val="Heading1"/>
      </w:pPr>
      <w:r>
        <w:t xml:space="preserve">Part 3 — Jamf Pro: API role and Central attachment</w:t>
      </w:r>
    </w:p>
    <w:p>
      <w:r>
        <w:t xml:space="preserve">Configuration is split between Aruba Central, which provides the PKI and NAC policies, and Jamf Pro, which distributes the Apple profiles and verifies the SCEP challenge.</w:t>
      </w:r>
    </w:p>
    <w:p>
      <w:pPr>
        <w:pStyle w:val="Heading2"/>
      </w:pPr>
      <w:r>
        <w:t xml:space="preserve">3.1 Create the Jamf API role and client</w:t>
      </w:r>
    </w:p>
    <w:p>
      <w:r>
        <w:t xml:space="preserve">The Jamf extension queries the Jamf inventory to link the device to the UEM Onboarding flow. Use a dedicated, read-only role rather than a generic admin account.</w:t>
      </w:r>
    </w:p>
    <w:p>
      <w:pPr>
        <w:pStyle w:val="ListParagraph"/>
        <w:numPr>
          <w:ilvl w:val="0"/>
          <w:numId w:val="510"/>
        </w:numPr>
      </w:pPr>
      <w:r>
        <w:t xml:space="preserve">In Jamf Pro, open Settings &gt; System &gt; API roles and clients &gt; API Roles.</w:t>
      </w:r>
    </w:p>
    <w:p>
      <w:pPr>
        <w:pStyle w:val="ListParagraph"/>
        <w:numPr>
          <w:ilvl w:val="0"/>
          <w:numId w:val="510"/>
        </w:numPr>
      </w:pPr>
      <w:r>
        <w:t xml:space="preserve">Create the &lt;central-nac-read-only&gt; role with only the following privileges.</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Privilege</w:t>
            </w:r>
          </w:p>
        </w:tc>
        <w:tc>
          <w:tcPr>
            <w:tcW w:w="5233" w:type="dxa"/>
          </w:tcPr>
          <w:p>
            <w:r>
              <w:rPr>
                <w:b/>
              </w:rPr>
              <w:t xml:space="preserve">Usage</w:t>
            </w:r>
          </w:p>
        </w:tc>
      </w:tr>
      <w:tr>
        <w:tc>
          <w:tcPr>
            <w:tcW w:w="5233" w:type="dxa"/>
          </w:tcPr>
          <w:p>
            <w:r>
              <w:t xml:space="preserve">Read Computers</w:t>
            </w:r>
          </w:p>
        </w:tc>
        <w:tc>
          <w:tcPr>
            <w:tcW w:w="5233" w:type="dxa"/>
          </w:tcPr>
          <w:p>
            <w:r>
              <w:t xml:space="preserve">Read access to enrolled Macs</w:t>
            </w:r>
          </w:p>
        </w:tc>
      </w:tr>
      <w:tr>
        <w:tc>
          <w:tcPr>
            <w:tcW w:w="5233" w:type="dxa"/>
          </w:tcPr>
          <w:p>
            <w:r>
              <w:t xml:space="preserve">Read Mobile Devices</w:t>
            </w:r>
          </w:p>
        </w:tc>
        <w:tc>
          <w:tcPr>
            <w:tcW w:w="5233" w:type="dxa"/>
          </w:tcPr>
          <w:p>
            <w:r>
              <w:t xml:space="preserve">Read access to enrolled iPads/iPhones</w:t>
            </w:r>
          </w:p>
        </w:tc>
      </w:tr>
      <w:tr>
        <w:tc>
          <w:tcPr>
            <w:tcW w:w="5233" w:type="dxa"/>
          </w:tcPr>
          <w:p>
            <w:r>
              <w:t xml:space="preserve">Read Smart Computer Groups</w:t>
            </w:r>
          </w:p>
        </w:tc>
        <w:tc>
          <w:tcPr>
            <w:tcW w:w="5233" w:type="dxa"/>
          </w:tcPr>
          <w:p>
            <w:r>
              <w:t xml:space="preserve">Read access to dynamic macOS groups</w:t>
            </w:r>
          </w:p>
        </w:tc>
      </w:tr>
      <w:tr>
        <w:tc>
          <w:tcPr>
            <w:tcW w:w="5233" w:type="dxa"/>
          </w:tcPr>
          <w:p>
            <w:r>
              <w:t xml:space="preserve">Read Smart Mobile Device Groups</w:t>
            </w:r>
          </w:p>
        </w:tc>
        <w:tc>
          <w:tcPr>
            <w:tcW w:w="5233" w:type="dxa"/>
          </w:tcPr>
          <w:p>
            <w:r>
              <w:t xml:space="preserve">Read access to dynamic iOS/iPadOS groups</w:t>
            </w:r>
          </w:p>
        </w:tc>
      </w:tr>
    </w:tbl>
    <w:p/>
    <w:p>
      <w:pPr>
        <w:jc w:val="center"/>
      </w:pPr>
      <w:r>
        <w:drawing>
          <wp:inline distT="0" distB="0" distL="0" distR="0">
            <wp:extent cx="5760720" cy="1666642"/>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11"/>
                    <a:stretch>
                      <a:fillRect/>
                    </a:stretch>
                  </pic:blipFill>
                  <pic:spPr>
                    <a:xfrm>
                      <a:off x="0" y="0"/>
                      <a:ext cx="5760720" cy="1666642"/>
                    </a:xfrm>
                    <a:prstGeom prst="rect">
                      <a:avLst/>
                    </a:prstGeom>
                  </pic:spPr>
                </pic:pic>
              </a:graphicData>
            </a:graphic>
          </wp:inline>
        </w:drawing>
      </w:r>
    </w:p>
    <w:p>
      <w:pPr>
        <w:pStyle w:val="Caption-Figure"/>
        <w:jc w:val="center"/>
      </w:pPr>
      <w:r>
        <w:t xml:space="preserve">Jamf API role privileges</w:t>
      </w:r>
    </w:p>
    <w:p>
      <w:pPr>
        <w:pStyle w:val="ListParagraph"/>
        <w:numPr>
          <w:ilvl w:val="0"/>
          <w:numId w:val="511"/>
        </w:numPr>
      </w:pPr>
      <w:r>
        <w:t xml:space="preserve">In API Clients, create a client tied to this role, enable it, and keep its secret.</w:t>
      </w:r>
    </w:p>
    <w:p>
      <w:pPr>
        <w:pStyle w:val="ListParagraph"/>
        <w:numPr>
          <w:ilvl w:val="0"/>
          <w:numId w:val="511"/>
        </w:numPr>
      </w:pPr>
      <w:r>
        <w:t xml:space="preserve">Set Access token lifetime to 900 seconds.</w:t>
      </w:r>
    </w:p>
    <w:p>
      <w:pPr>
        <w:jc w:val="center"/>
      </w:pPr>
      <w:r>
        <w:drawing>
          <wp:inline distT="0" distB="0" distL="0" distR="0">
            <wp:extent cx="5760720" cy="2487111"/>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12"/>
                    <a:stretch>
                      <a:fillRect/>
                    </a:stretch>
                  </pic:blipFill>
                  <pic:spPr>
                    <a:xfrm>
                      <a:off x="0" y="0"/>
                      <a:ext cx="5760720" cy="2487111"/>
                    </a:xfrm>
                    <a:prstGeom prst="rect">
                      <a:avLst/>
                    </a:prstGeom>
                  </pic:spPr>
                </pic:pic>
              </a:graphicData>
            </a:graphic>
          </wp:inline>
        </w:drawing>
      </w:r>
    </w:p>
    <w:p>
      <w:pPr>
        <w:pStyle w:val="Caption-Figure"/>
        <w:jc w:val="center"/>
      </w:pPr>
      <w:r>
        <w:t xml:space="preserve">Jamf API client token lifetime</w:t>
      </w:r>
    </w:p>
    <w:p>
      <w:pPr>
        <w:pStyle w:val="IntenseQuote"/>
      </w:pPr>
      <w:r>
        <w:rPr>
          <w:b/>
        </w:rPr>
        <w:t xml:space="preserve">ℹ️ Note. </w:t>
      </w:r>
      <w:r>
        <w:t xml:space="preserve">The default value of 60 seconds is too short for a reliable SCEP flow. Creating or rotating a secret should be treated as a sensitive operation: the secret is only shown once.</w:t>
      </w:r>
    </w:p>
    <w:p>
      <w:r>
        <w:br w:type="page"/>
      </w:r>
    </w:p>
    <w:p>
      <w:pPr>
        <w:pStyle w:val="Heading1"/>
      </w:pPr>
      <w:r>
        <w:t xml:space="preserve">Part 4 — Jamf Pro: enrollment and configuration profile</w:t>
      </w:r>
    </w:p>
    <w:p>
      <w:r>
        <w:t xml:space="preserve">On the Jamf side, everything lives in a single configuration profile combining three payloads: Certificate (the Central NAC root certificate, so the device trusts the certificate that will be issued), SCEP (pointing directly at the SCEP URL exposed by Central's Jamf extension), and Network (802.1X Wi-Fi, which consumes the identity issued by the SCEP payload).</w:t>
      </w:r>
    </w:p>
    <w:p>
      <w:pPr>
        <w:pStyle w:val="IntenseQuote"/>
      </w:pPr>
      <w:r>
        <w:rPr>
          <w:b/>
        </w:rPr>
        <w:t xml:space="preserve">ℹ️ Correction relative to the Intune technote. </w:t>
      </w:r>
      <w:r>
        <w:t xml:space="preserve">There is no separate "PKI proxy server" object to create in Jamf Pro for this integration — unlike what the name might suggest by analogy with Intune. The configuration profile's SCEP payload points directly at the SCEP URL provided by Central's Jamf extension, in Manual configuration.</w:t>
      </w:r>
    </w:p>
    <w:p>
      <w:pPr>
        <w:pStyle w:val="Heading2"/>
      </w:pPr>
      <w:r>
        <w:t xml:space="preserve">4.1 Enrollment prerequisites — User-initiated enrollment</w:t>
      </w:r>
    </w:p>
    <w:p>
      <w:r>
        <w:t xml:space="preserve">Before the configuration profile can be pushed, devices must already be enrolled as managed devices in Jamf Pro. Configuration observed in the lab, under Settings &gt; Global &gt; User-initiated enrollment:</w:t>
      </w:r>
    </w:p>
    <w:p>
      <w:pPr>
        <w:pStyle w:val="ListParagraph"/>
        <w:numPr>
          <w:ilvl w:val="0"/>
          <w:numId w:val="21"/>
        </w:numPr>
      </w:pPr>
      <w:r>
        <w:t xml:space="preserve">General: "Skip certificate installation during enrollment" checked (an internal/trusted third-party SSL certificate is already in place on the instance); "Restrict re-enrollment to authorized users only" and "Use a third-party signing certificate" unchecked.</w:t>
      </w:r>
    </w:p>
    <w:p>
      <w:pPr>
        <w:pStyle w:val="ListParagraph"/>
        <w:numPr>
          <w:ilvl w:val="0"/>
          <w:numId w:val="21"/>
        </w:numPr>
      </w:pPr>
      <w:r>
        <w:t xml:space="preserve">Messaging: default English enrollment message (Enroll Your Device) — to be adapted/translated if needed.</w:t>
      </w:r>
    </w:p>
    <w:p>
      <w:pPr>
        <w:pStyle w:val="ListParagraph"/>
        <w:numPr>
          <w:ilvl w:val="0"/>
          <w:numId w:val="21"/>
        </w:numPr>
      </w:pPr>
      <w:r>
        <w:t xml:space="preserve">Computers: "Enable user-initiated enrollment for computers" checked (enrollment URL https://&lt;jamf-tenant&gt;.jamfcloud.com/enroll). Managed admin account, forced SSH, and Self Service launch left disabled in the lab.</w:t>
      </w:r>
    </w:p>
    <w:p>
      <w:pPr>
        <w:pStyle w:val="ListParagraph"/>
        <w:numPr>
          <w:ilvl w:val="0"/>
          <w:numId w:val="21"/>
        </w:numPr>
      </w:pPr>
      <w:r>
        <w:t xml:space="preserve">Devices: "Enable for institutionally owned devices" checked under Profile-Driven Enrollment via URL. Account-Driven options (Managed Apple ID) are not used in this lab.</w:t>
      </w:r>
    </w:p>
    <w:p>
      <w:pPr>
        <w:pStyle w:val="ListParagraph"/>
        <w:numPr>
          <w:ilvl w:val="0"/>
          <w:numId w:val="21"/>
        </w:numPr>
      </w:pPr>
      <w:r>
        <w:t xml:space="preserve">Access: the Directory Service Groups table restricts who can self-enroll, by group and by mode (Profile-Driven / Account-Driven).</w:t>
      </w:r>
    </w:p>
    <w:p>
      <w:pPr>
        <w:jc w:val="center"/>
      </w:pPr>
      <w:r>
        <w:drawing>
          <wp:inline distT="0" distB="0" distL="0" distR="0">
            <wp:extent cx="5760720" cy="5077077"/>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13"/>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General</w:t>
      </w:r>
    </w:p>
    <w:p>
      <w:pPr>
        <w:jc w:val="center"/>
      </w:pPr>
      <w:r>
        <w:drawing>
          <wp:inline distT="0" distB="0" distL="0" distR="0">
            <wp:extent cx="5760720" cy="5077077"/>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14"/>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Messaging</w:t>
      </w:r>
    </w:p>
    <w:p>
      <w:pPr>
        <w:jc w:val="center"/>
      </w:pPr>
      <w:r>
        <w:drawing>
          <wp:inline distT="0" distB="0" distL="0" distR="0">
            <wp:extent cx="5760720" cy="5077077"/>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15"/>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Computers</w:t>
      </w:r>
    </w:p>
    <w:p>
      <w:pPr>
        <w:jc w:val="center"/>
      </w:pPr>
      <w:r>
        <w:drawing>
          <wp:inline distT="0" distB="0" distL="0" distR="0">
            <wp:extent cx="5760720" cy="5077077"/>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16"/>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Devices</w:t>
      </w:r>
    </w:p>
    <w:p>
      <w:pPr>
        <w:jc w:val="center"/>
      </w:pPr>
      <w:r>
        <w:drawing>
          <wp:inline distT="0" distB="0" distL="0" distR="0">
            <wp:extent cx="5760720" cy="5077077"/>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17"/>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Access, Directory Service groups</w:t>
      </w:r>
    </w:p>
    <w:p>
      <w:pPr>
        <w:pStyle w:val="IntenseQuote"/>
      </w:pPr>
      <w:r>
        <w:rPr>
          <w:b/>
        </w:rPr>
        <w:t xml:space="preserve">ℹ️ Scope. </w:t>
      </w:r>
      <w:r>
        <w:t xml:space="preserve">This configuration only covers initial MDM enrollment (getting a managed Mac/iPad into Jamf) — it is independent of the EAP-TLS flow, which relies on the configuration profile pushed once the device is already enrolled.</w:t>
      </w:r>
    </w:p>
    <w:p>
      <w:pPr>
        <w:pStyle w:val="Heading2"/>
      </w:pPr>
      <w:r>
        <w:t xml:space="preserve">4.2 Create the configuration profile (Certificate + SCEP + Network)</w:t>
      </w:r>
    </w:p>
    <w:p>
      <w:r>
        <w:rPr>
          <w:b/>
        </w:rPr>
        <w:t xml:space="preserve">1.</w:t>
      </w:r>
      <w:r>
        <w:t xml:space="preserve"> Open Computers &gt; Configuration Profiles and create a profile. Give it an explicit name, e.g. Luconik-CentralNAC-EAPTLS.</w:t>
      </w:r>
    </w:p>
    <w:p>
      <w:pPr>
        <w:jc w:val="center"/>
      </w:pPr>
      <w:r>
        <w:drawing>
          <wp:inline distT="0" distB="0" distL="0" distR="0">
            <wp:extent cx="5760720" cy="5086928"/>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18"/>
                    <a:stretch>
                      <a:fillRect/>
                    </a:stretch>
                  </pic:blipFill>
                  <pic:spPr>
                    <a:xfrm>
                      <a:off x="0" y="0"/>
                      <a:ext cx="5760720" cy="5086928"/>
                    </a:xfrm>
                    <a:prstGeom prst="rect">
                      <a:avLst/>
                    </a:prstGeom>
                  </pic:spPr>
                </pic:pic>
              </a:graphicData>
            </a:graphic>
          </wp:inline>
        </w:drawing>
      </w:r>
    </w:p>
    <w:p>
      <w:pPr>
        <w:pStyle w:val="Caption-Figure"/>
        <w:jc w:val="center"/>
      </w:pPr>
      <w:r>
        <w:t xml:space="preserve">Configuration profile — General</w:t>
      </w:r>
    </w:p>
    <w:p>
      <w:r>
        <w:rPr>
          <w:b/>
        </w:rPr>
        <w:t xml:space="preserve">2.</w:t>
      </w:r>
      <w:r>
        <w:t xml:space="preserve"> Add the Certificate payload and upload the Central NAC PKI root certificate (Cloud Authentication Private Root CA, powered by HPE Aruba — downloadable from Central NAC). Give it an identifiable name, e.g. CentralNAC_Certificate — it will be referenced by the Network payload in step 4.</w:t>
      </w:r>
    </w:p>
    <w:p>
      <w:pPr>
        <w:jc w:val="center"/>
      </w:pPr>
      <w:r>
        <w:drawing>
          <wp:inline distT="0" distB="0" distL="0" distR="0">
            <wp:extent cx="5760720" cy="508692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219"/>
                    <a:stretch>
                      <a:fillRect/>
                    </a:stretch>
                  </pic:blipFill>
                  <pic:spPr>
                    <a:xfrm>
                      <a:off x="0" y="0"/>
                      <a:ext cx="5760720" cy="5086928"/>
                    </a:xfrm>
                    <a:prstGeom prst="rect">
                      <a:avLst/>
                    </a:prstGeom>
                  </pic:spPr>
                </pic:pic>
              </a:graphicData>
            </a:graphic>
          </wp:inline>
        </w:drawing>
      </w:r>
    </w:p>
    <w:p>
      <w:pPr>
        <w:pStyle w:val="Caption-Figure"/>
        <w:jc w:val="center"/>
      </w:pPr>
      <w:r>
        <w:t xml:space="preserve">Certificate payload — Central NAC root certificate</w:t>
      </w:r>
    </w:p>
    <w:p>
      <w:r>
        <w:rPr>
          <w:b/>
        </w:rPr>
        <w:t xml:space="preserve">3.</w:t>
      </w:r>
      <w:r>
        <w:t xml:space="preserve"> Add the SCEP payload, with Certificate authority type: Manual configuration, and fill in:</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Field</w:t>
            </w:r>
          </w:p>
        </w:tc>
        <w:tc>
          <w:tcPr>
            <w:tcW w:w="5233" w:type="dxa"/>
          </w:tcPr>
          <w:p>
            <w:r>
              <w:rPr>
                <w:b/>
              </w:rPr>
              <w:t xml:space="preserve">Value</w:t>
            </w:r>
          </w:p>
        </w:tc>
      </w:tr>
      <w:tr>
        <w:tc>
          <w:tcPr>
            <w:tcW w:w="5233" w:type="dxa"/>
          </w:tcPr>
          <w:p>
            <w:r>
              <w:t xml:space="preserve">URL</w:t>
            </w:r>
          </w:p>
        </w:tc>
        <w:tc>
          <w:tcPr>
            <w:tcW w:w="5233" w:type="dxa"/>
          </w:tcPr>
          <w:p>
            <w:r>
              <w:t xml:space="preserve">SCEP URL provided by Central's Jamf extension (Part 1)</w:t>
            </w:r>
          </w:p>
        </w:tc>
      </w:tr>
      <w:tr>
        <w:tc>
          <w:tcPr>
            <w:tcW w:w="5233" w:type="dxa"/>
          </w:tcPr>
          <w:p>
            <w:r>
              <w:t xml:space="preserve">Name</w:t>
            </w:r>
          </w:p>
        </w:tc>
        <w:tc>
          <w:tcPr>
            <w:tcW w:w="5233" w:type="dxa"/>
          </w:tcPr>
          <w:p>
            <w:r>
              <w:t xml:space="preserve">instance identifier, e.g. CentralNAC</w:t>
            </w:r>
          </w:p>
        </w:tc>
      </w:tr>
      <w:tr>
        <w:tc>
          <w:tcPr>
            <w:tcW w:w="5233" w:type="dxa"/>
          </w:tcPr>
          <w:p>
            <w:r>
              <w:t xml:space="preserve">Subject</w:t>
            </w:r>
          </w:p>
        </w:tc>
        <w:tc>
          <w:tcPr>
            <w:tcW w:w="5233" w:type="dxa"/>
          </w:tcPr>
          <w:p>
            <w:r>
              <w:t xml:space="preserve">CN=$USERNAME</w:t>
            </w:r>
          </w:p>
        </w:tc>
      </w:tr>
      <w:tr>
        <w:tc>
          <w:tcPr>
            <w:tcW w:w="5233" w:type="dxa"/>
          </w:tcPr>
          <w:p>
            <w:r>
              <w:t xml:space="preserve">SAN type</w:t>
            </w:r>
          </w:p>
        </w:tc>
        <w:tc>
          <w:tcPr>
            <w:tcW w:w="5233" w:type="dxa"/>
          </w:tcPr>
          <w:p>
            <w:r>
              <w:t xml:space="preserve">Uniform Resource Identifier</w:t>
            </w:r>
          </w:p>
        </w:tc>
      </w:tr>
      <w:tr>
        <w:tc>
          <w:tcPr>
            <w:tcW w:w="5233" w:type="dxa"/>
          </w:tcPr>
          <w:p>
            <w:r>
              <w:t xml:space="preserve">SAN value</w:t>
            </w:r>
          </w:p>
        </w:tc>
        <w:tc>
          <w:tcPr>
            <w:tcW w:w="5233" w:type="dxa"/>
          </w:tcPr>
          <w:p>
            <w:r>
              <w:t xml:space="preserve">cnac+jamf:///?DeviceId=$JSSID</w:t>
            </w:r>
          </w:p>
        </w:tc>
      </w:tr>
      <w:tr>
        <w:tc>
          <w:tcPr>
            <w:tcW w:w="5233" w:type="dxa"/>
          </w:tcPr>
          <w:p>
            <w:r>
              <w:t xml:space="preserve">Challenge Type</w:t>
            </w:r>
          </w:p>
        </w:tc>
        <w:tc>
          <w:tcPr>
            <w:tcW w:w="5233" w:type="dxa"/>
          </w:tcPr>
          <w:p>
            <w:r>
              <w:t xml:space="preserve">Dynamic</w:t>
            </w:r>
          </w:p>
        </w:tc>
      </w:tr>
      <w:tr>
        <w:tc>
          <w:tcPr>
            <w:tcW w:w="5233" w:type="dxa"/>
          </w:tcPr>
          <w:p>
            <w:r>
              <w:t xml:space="preserve">Key Size</w:t>
            </w:r>
          </w:p>
        </w:tc>
        <w:tc>
          <w:tcPr>
            <w:tcW w:w="5233" w:type="dxa"/>
          </w:tcPr>
          <w:p>
            <w:r>
              <w:t xml:space="preserve">2048</w:t>
            </w:r>
          </w:p>
        </w:tc>
      </w:tr>
    </w:tbl>
    <w:p/>
    <w:p>
      <w:pPr>
        <w:jc w:val="center"/>
      </w:pPr>
      <w:r>
        <w:drawing>
          <wp:inline distT="0" distB="0" distL="0" distR="0">
            <wp:extent cx="5760720" cy="5086928"/>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20"/>
                    <a:stretch>
                      <a:fillRect/>
                    </a:stretch>
                  </pic:blipFill>
                  <pic:spPr>
                    <a:xfrm>
                      <a:off x="0" y="0"/>
                      <a:ext cx="5760720" cy="5086928"/>
                    </a:xfrm>
                    <a:prstGeom prst="rect">
                      <a:avLst/>
                    </a:prstGeom>
                  </pic:spPr>
                </pic:pic>
              </a:graphicData>
            </a:graphic>
          </wp:inline>
        </w:drawing>
      </w:r>
    </w:p>
    <w:p>
      <w:pPr>
        <w:pStyle w:val="Caption-Figure"/>
        <w:jc w:val="center"/>
      </w:pPr>
      <w:r>
        <w:t xml:space="preserve">SCEP payload: URL, subject, and SAN</w:t>
      </w:r>
    </w:p>
    <w:p>
      <w:r>
        <w:t xml:space="preserve">The cnac+jamf:// scheme is specific to the Jamf integration. It replaces the cnac+intune:// scheme from the Intune technote. $JSSID is resolved by Jamf using the device's Jamf identifier; since the Computer and Mobile Device sequences are distinct, a Mac and an iPad can both have DeviceId=1.</w:t>
      </w:r>
    </w:p>
    <w:p>
      <w:r>
        <w:t xml:space="preserve">After issuance, verify on the device that the certificate contains the following SAN:</w:t>
      </w:r>
    </w:p>
    <w:p>
      <w:pPr>
        <w:shd w:val="clear" w:color="auto" w:fill="F2F2F2"/>
        <w:ind w:left="360"/>
      </w:pPr>
      <w:r>
        <w:rPr>
          <w:rFonts w:ascii="Consolas" w:hAnsi="Consolas"/>
          <w:sz w:val="20"/>
        </w:rPr>
        <w:t xml:space="preserve">URI:cnac+jamf:///?DeviceId=&lt;jamf-id&gt;</w:t>
      </w:r>
    </w:p>
    <w:p>
      <w:pPr>
        <w:jc w:val="center"/>
      </w:pPr>
      <w:r>
        <w:drawing>
          <wp:inline distT="0" distB="0" distL="0" distR="0">
            <wp:extent cx="5760720" cy="1538313"/>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221"/>
                    <a:stretch>
                      <a:fillRect/>
                    </a:stretch>
                  </pic:blipFill>
                  <pic:spPr>
                    <a:xfrm>
                      <a:off x="0" y="0"/>
                      <a:ext cx="5760720" cy="1538313"/>
                    </a:xfrm>
                    <a:prstGeom prst="rect">
                      <a:avLst/>
                    </a:prstGeom>
                  </pic:spPr>
                </pic:pic>
              </a:graphicData>
            </a:graphic>
          </wp:inline>
        </w:drawing>
      </w:r>
    </w:p>
    <w:p>
      <w:pPr>
        <w:pStyle w:val="Caption-Figure"/>
        <w:jc w:val="center"/>
      </w:pPr>
      <w:r>
        <w:t xml:space="preserve">SAN URI of the issued certificate (openssl verification)</w:t>
      </w:r>
    </w:p>
    <w:p>
      <w:r>
        <w:rPr>
          <w:b/>
        </w:rPr>
        <w:t xml:space="preserve">4.</w:t>
      </w:r>
      <w:r>
        <w:t xml:space="preserve"> Add the Network payload: Network Interface = Wi-Fi; Service Set Identifier (SSID) = luconik-jamf; Security Type = WPA3 Enterprise.</w:t>
      </w:r>
    </w:p>
    <w:p>
      <w:pPr>
        <w:jc w:val="center"/>
      </w:pPr>
      <w:r>
        <w:drawing>
          <wp:inline distT="0" distB="0" distL="0" distR="0">
            <wp:extent cx="5760720" cy="508692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22"/>
                    <a:stretch>
                      <a:fillRect/>
                    </a:stretch>
                  </pic:blipFill>
                  <pic:spPr>
                    <a:xfrm>
                      <a:off x="0" y="0"/>
                      <a:ext cx="5760720" cy="5086928"/>
                    </a:xfrm>
                    <a:prstGeom prst="rect">
                      <a:avLst/>
                    </a:prstGeom>
                  </pic:spPr>
                </pic:pic>
              </a:graphicData>
            </a:graphic>
          </wp:inline>
        </w:drawing>
      </w:r>
    </w:p>
    <w:p>
      <w:pPr>
        <w:pStyle w:val="Caption-Figure"/>
        <w:jc w:val="center"/>
      </w:pPr>
      <w:r>
        <w:t xml:space="preserve">Network payload — SSID and Security Type</w:t>
      </w:r>
    </w:p>
    <w:p>
      <w:r>
        <w:t xml:space="preserve">Under the Protocols tab, check TLS in Accepted EAP Types. Under the Trust tab: Identity Certificate = the SCEP payload created in step 3 (it appears in the list as SCEP (&lt;Name&gt;)); Trusted Certificates = the root certificate uploaded in step 2 (CentralNAC_Certificate).</w:t>
      </w:r>
    </w:p>
    <w:p>
      <w:pPr>
        <w:jc w:val="center"/>
      </w:pPr>
      <w:r>
        <w:drawing>
          <wp:inline distT="0" distB="0" distL="0" distR="0">
            <wp:extent cx="5760720" cy="508692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223"/>
                    <a:stretch>
                      <a:fillRect/>
                    </a:stretch>
                  </pic:blipFill>
                  <pic:spPr>
                    <a:xfrm>
                      <a:off x="0" y="0"/>
                      <a:ext cx="5760720" cy="5086928"/>
                    </a:xfrm>
                    <a:prstGeom prst="rect">
                      <a:avLst/>
                    </a:prstGeom>
                  </pic:spPr>
                </pic:pic>
              </a:graphicData>
            </a:graphic>
          </wp:inline>
        </w:drawing>
      </w:r>
    </w:p>
    <w:p>
      <w:pPr>
        <w:pStyle w:val="Caption-Figure"/>
        <w:jc w:val="center"/>
      </w:pPr>
      <w:r>
        <w:t xml:space="preserve">Network payload — Trust tab, Identity Certificate and Trusted Certificates</w:t>
      </w:r>
    </w:p>
    <w:p>
      <w:r>
        <w:rPr>
          <w:b/>
        </w:rPr>
        <w:t xml:space="preserve">5.</w:t>
      </w:r>
      <w:r>
        <w:t xml:space="preserve"> Save the profile.</w:t>
      </w:r>
    </w:p>
    <w:p>
      <w:pPr>
        <w:pStyle w:val="Heading2"/>
      </w:pPr>
      <w:r>
        <w:t xml:space="preserve">4.3 Deploy the profile</w:t>
      </w:r>
    </w:p>
    <w:p>
      <w:pPr>
        <w:pStyle w:val="ListParagraph"/>
        <w:numPr>
          <w:ilvl w:val="0"/>
          <w:numId w:val="512"/>
        </w:numPr>
      </w:pPr>
      <w:r>
        <w:t xml:space="preserve">In the profile's Scope tab, assign the target devices. A Smart Computer Group / Smart Mobile Device Group is recommended in production for deployment at scale; in a lab, targeting specific devices directly (Specific Computers / Specific Mobile Devices) is enough.</w:t>
      </w:r>
    </w:p>
    <w:p>
      <w:pPr>
        <w:pStyle w:val="ListParagraph"/>
        <w:numPr>
          <w:ilvl w:val="0"/>
          <w:numId w:val="512"/>
        </w:numPr>
      </w:pPr>
      <w:r>
        <w:t xml:space="preserve">Save and wait for the devices' next check-in.</w:t>
      </w:r>
    </w:p>
    <w:p>
      <w:pPr>
        <w:jc w:val="center"/>
      </w:pPr>
      <w:r>
        <w:drawing>
          <wp:inline distT="0" distB="0" distL="0" distR="0">
            <wp:extent cx="5760720" cy="50869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24"/>
                    <a:stretch>
                      <a:fillRect/>
                    </a:stretch>
                  </pic:blipFill>
                  <pic:spPr>
                    <a:xfrm>
                      <a:off x="0" y="0"/>
                      <a:ext cx="5760720" cy="5086928"/>
                    </a:xfrm>
                    <a:prstGeom prst="rect">
                      <a:avLst/>
                    </a:prstGeom>
                  </pic:spPr>
                </pic:pic>
              </a:graphicData>
            </a:graphic>
          </wp:inline>
        </w:drawing>
      </w:r>
    </w:p>
    <w:p>
      <w:pPr>
        <w:pStyle w:val="Caption-Figure"/>
        <w:jc w:val="center"/>
      </w:pPr>
      <w:r>
        <w:t xml:space="preserve">macOS profile scope — Target Computers</w:t>
      </w:r>
    </w:p>
    <w:p>
      <w:pPr>
        <w:pStyle w:val="IntenseQuote"/>
      </w:pPr>
      <w:r>
        <w:rPr>
          <w:b/>
        </w:rPr>
        <w:t xml:space="preserve">ℹ️ Note. </w:t>
      </w:r>
      <w:r>
        <w:t xml:space="preserve">An Apple device can only be enrolled in a single MDM at a time. Unenroll the device from any previous MDM before enrolling it into Jamf Pro.</w:t>
      </w:r>
    </w:p>
    <w:p>
      <w:pPr>
        <w:pStyle w:val="Heading2"/>
      </w:pPr>
      <w:r>
        <w:t xml:space="preserve">4.4 iOS/iPadOS: a dedicated profile</w:t>
      </w:r>
    </w:p>
    <w:p>
      <w:r>
        <w:t xml:space="preserve">The same principle (Certificate + SCEP + Network/Wi-Fi) applies to iOS/iPadOS, but in a separate mobile configuration profile — Jamf Pro keeps Computers and Mobile Devices profiles separate. Duplicate the naming convention with a suffix, e.g. Luconik-CentralNAC-EAPTLS-iOS.</w:t>
      </w:r>
    </w:p>
    <w:p>
      <w:pPr>
        <w:jc w:val="center"/>
      </w:pPr>
      <w:r>
        <w:drawing>
          <wp:inline distT="0" distB="0" distL="0" distR="0">
            <wp:extent cx="5760720" cy="5086928"/>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225"/>
                    <a:stretch>
                      <a:fillRect/>
                    </a:stretch>
                  </pic:blipFill>
                  <pic:spPr>
                    <a:xfrm>
                      <a:off x="0" y="0"/>
                      <a:ext cx="5760720" cy="5086928"/>
                    </a:xfrm>
                    <a:prstGeom prst="rect">
                      <a:avLst/>
                    </a:prstGeom>
                  </pic:spPr>
                </pic:pic>
              </a:graphicData>
            </a:graphic>
          </wp:inline>
        </w:drawing>
      </w:r>
    </w:p>
    <w:p>
      <w:pPr>
        <w:pStyle w:val="Caption-Figure"/>
        <w:jc w:val="center"/>
      </w:pPr>
      <w:r>
        <w:t xml:space="preserve">iOS configuration profile — General</w:t>
      </w:r>
    </w:p>
    <w:p>
      <w:r>
        <w:t xml:space="preserve">The Certificate and SCEP payloads are identical to the macOS version. Only the Network payload changes name: on mobile, it's the Wi-Fi payload, with a Security Type labeled WPA3 Enterprise (iOS 13 or later). The Protocols / Trust tabs work the same way.</w:t>
      </w:r>
    </w:p>
    <w:p>
      <w:pPr>
        <w:jc w:val="center"/>
      </w:pPr>
      <w:r>
        <w:drawing>
          <wp:inline distT="0" distB="0" distL="0" distR="0">
            <wp:extent cx="5760720" cy="5086928"/>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226"/>
                    <a:stretch>
                      <a:fillRect/>
                    </a:stretch>
                  </pic:blipFill>
                  <pic:spPr>
                    <a:xfrm>
                      <a:off x="0" y="0"/>
                      <a:ext cx="5760720" cy="5086928"/>
                    </a:xfrm>
                    <a:prstGeom prst="rect">
                      <a:avLst/>
                    </a:prstGeom>
                  </pic:spPr>
                </pic:pic>
              </a:graphicData>
            </a:graphic>
          </wp:inline>
        </w:drawing>
      </w:r>
    </w:p>
    <w:p>
      <w:pPr>
        <w:pStyle w:val="Caption-Figure"/>
        <w:jc w:val="center"/>
      </w:pPr>
      <w:r>
        <w:t xml:space="preserve">iOS Wi-Fi payload — Trust tab</w:t>
      </w:r>
    </w:p>
    <w:p>
      <w:r>
        <w:br w:type="page"/>
      </w:r>
    </w:p>
    <w:p>
      <w:pPr>
        <w:pStyle w:val="Heading1"/>
      </w:pPr>
      <w:r>
        <w:t xml:space="preserve">Part 5 — Validation</w:t>
      </w:r>
    </w:p>
    <w:p>
      <w:pPr>
        <w:pStyle w:val="ListParagraph"/>
        <w:numPr>
          <w:ilvl w:val="0"/>
          <w:numId w:val="513"/>
        </w:numPr>
      </w:pPr>
      <w:r>
        <w:t xml:space="preserve">In Jamf Pro, verify that the Mac and the iPad are managed and that the SCEP and Wi-Fi profiles are installed. On the Mac, this can also be checked directly under System Settings &gt; General &gt; Device Management: the Luconik-CentralNAC-EAPTLS profile should appear with its 3 payloads (Certificate + SCEP + Network).</w:t>
      </w:r>
    </w:p>
    <w:p>
      <w:pPr>
        <w:jc w:val="center"/>
      </w:pPr>
      <w:r>
        <w:drawing>
          <wp:inline distT="0" distB="0" distL="0" distR="0">
            <wp:extent cx="5760720" cy="513664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227"/>
                    <a:stretch>
                      <a:fillRect/>
                    </a:stretch>
                  </pic:blipFill>
                  <pic:spPr>
                    <a:xfrm>
                      <a:off x="0" y="0"/>
                      <a:ext cx="5760720" cy="5136642"/>
                    </a:xfrm>
                    <a:prstGeom prst="rect">
                      <a:avLst/>
                    </a:prstGeom>
                  </pic:spPr>
                </pic:pic>
              </a:graphicData>
            </a:graphic>
          </wp:inline>
        </w:drawing>
      </w:r>
    </w:p>
    <w:p>
      <w:pPr>
        <w:pStyle w:val="Caption-Figure"/>
        <w:jc w:val="center"/>
      </w:pPr>
      <w:r>
        <w:t xml:space="preserve">macOS device management — Luconik-CentralNAC-EAPTLS profile installed</w:t>
      </w:r>
    </w:p>
    <w:p>
      <w:r>
        <w:t xml:space="preserve">On the device, verify the certificate's SAN, then the automatic connection to the luconik-jamf SSID.</w:t>
      </w:r>
    </w:p>
    <w:p>
      <w:pPr>
        <w:pStyle w:val="IntenseQuote"/>
      </w:pPr>
      <w:r>
        <w:rPr>
          <w:b/>
        </w:rPr>
        <w:t xml:space="preserve">⚠️ Certificate picker on macOS. </w:t>
      </w:r>
      <w:r>
        <w:t xml:space="preserve">If several client identities are present on the device (e.g. an enrollment identity tied to a Managed Apple ID), macOS may prompt to manually pick the certificate to use for the SSID instead of automatically retaining the one from the SCEP payload. Select the certificate issued by the Central NAC PKI (SAN cnac+jamf://...), not an Apple ID enrollment identity.</w:t>
      </w:r>
    </w:p>
    <w:p>
      <w:pPr>
        <w:jc w:val="center"/>
      </w:pPr>
      <w:r>
        <w:drawing>
          <wp:inline distT="0" distB="0" distL="0" distR="0">
            <wp:extent cx="5760720" cy="3565582"/>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228"/>
                    <a:stretch>
                      <a:fillRect/>
                    </a:stretch>
                  </pic:blipFill>
                  <pic:spPr>
                    <a:xfrm>
                      <a:off x="0" y="0"/>
                      <a:ext cx="5760720" cy="3565582"/>
                    </a:xfrm>
                    <a:prstGeom prst="rect">
                      <a:avLst/>
                    </a:prstGeom>
                  </pic:spPr>
                </pic:pic>
              </a:graphicData>
            </a:graphic>
          </wp:inline>
        </w:drawing>
      </w:r>
    </w:p>
    <w:p>
      <w:pPr>
        <w:pStyle w:val="Caption-Figure"/>
        <w:jc w:val="center"/>
      </w:pPr>
      <w:r>
        <w:t xml:space="preserve">macOS certificate picker for the luconik-jamf SSID</w:t>
      </w:r>
    </w:p>
    <w:p>
      <w:pPr>
        <w:pStyle w:val="ListParagraph"/>
        <w:numPr>
          <w:ilvl w:val="0"/>
          <w:numId w:val="514"/>
        </w:numPr>
      </w:pPr>
      <w:r>
        <w:t xml:space="preserve">In Central, open Menu &gt; Central NAC &gt; Clients and select the period covering the test.</w:t>
      </w:r>
    </w:p>
    <w:p>
      <w:pPr>
        <w:pStyle w:val="ListParagraph"/>
        <w:numPr>
          <w:ilvl w:val="0"/>
          <w:numId w:val="514"/>
        </w:numPr>
      </w:pPr>
      <w:r>
        <w:t xml:space="preserve">Verify that the session is Accepted, that the WLAN is luconik-jamf, and that the role matches the EntraID group.</w:t>
      </w:r>
    </w:p>
    <w:p>
      <w:pPr>
        <w:jc w:val="center"/>
      </w:pPr>
      <w:r>
        <w:drawing>
          <wp:inline distT="0" distB="0" distL="0" distR="0">
            <wp:extent cx="5760720" cy="4084186"/>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229"/>
                    <a:stretch>
                      <a:fillRect/>
                    </a:stretch>
                  </pic:blipFill>
                  <pic:spPr>
                    <a:xfrm>
                      <a:off x="0" y="0"/>
                      <a:ext cx="5760720" cy="4084186"/>
                    </a:xfrm>
                    <a:prstGeom prst="rect">
                      <a:avLst/>
                    </a:prstGeom>
                  </pic:spPr>
                </pic:pic>
              </a:graphicData>
            </a:graphic>
          </wp:inline>
        </w:drawing>
      </w:r>
    </w:p>
    <w:p>
      <w:pPr>
        <w:pStyle w:val="Caption-Figure"/>
        <w:jc w:val="center"/>
      </w:pPr>
      <w:r>
        <w:t xml:space="preserve">Mac NAC session</w:t>
      </w:r>
    </w:p>
    <w:p>
      <w:pPr>
        <w:jc w:val="center"/>
      </w:pPr>
      <w:r>
        <w:drawing>
          <wp:inline distT="0" distB="0" distL="0" distR="0">
            <wp:extent cx="5760720" cy="473940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30"/>
                    <a:stretch>
                      <a:fillRect/>
                    </a:stretch>
                  </pic:blipFill>
                  <pic:spPr>
                    <a:xfrm>
                      <a:off x="0" y="0"/>
                      <a:ext cx="5760720" cy="4739405"/>
                    </a:xfrm>
                    <a:prstGeom prst="rect">
                      <a:avLst/>
                    </a:prstGeom>
                  </pic:spPr>
                </pic:pic>
              </a:graphicData>
            </a:graphic>
          </wp:inline>
        </w:drawing>
      </w:r>
    </w:p>
    <w:p>
      <w:pPr>
        <w:pStyle w:val="Caption-Figure"/>
        <w:jc w:val="center"/>
      </w:pPr>
      <w:r>
        <w:t xml:space="preserve">iPad NAC session</w:t>
      </w:r>
    </w:p>
    <w:p>
      <w:pPr>
        <w:pStyle w:val="IntenseQuote"/>
      </w:pPr>
      <w:r>
        <w:rPr>
          <w:b/>
        </w:rPr>
        <w:t xml:space="preserve">🔍 Observed anomaly (to be reported to HPE). </w:t>
      </w:r>
      <w:r>
        <w:t xml:space="preserve">The User Groups field in the NAC Client view stays empty with the Jamf profile, while it is correctly populated with the Intune profile — same account, same identity store, identical authentication profiles field for field. The authorization rule still matches correctly and the expected role is correctly assigned: the anomaly is display-only, not functional. Not blocking, but worth flagging for investigation.</w:t>
      </w:r>
    </w:p>
    <w:p>
      <w:pPr>
        <w:jc w:val="center"/>
      </w:pPr>
      <w:r>
        <w:drawing>
          <wp:inline distT="0" distB="0" distL="0" distR="0">
            <wp:extent cx="3905249" cy="2095499"/>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31"/>
                    <a:stretch>
                      <a:fillRect/>
                    </a:stretch>
                  </pic:blipFill>
                  <pic:spPr>
                    <a:xfrm>
                      <a:off x="0" y="0"/>
                      <a:ext cx="3905249" cy="2095499"/>
                    </a:xfrm>
                    <a:prstGeom prst="rect">
                      <a:avLst/>
                    </a:prstGeom>
                  </pic:spPr>
                </pic:pic>
              </a:graphicData>
            </a:graphic>
          </wp:inline>
        </w:drawing>
      </w:r>
    </w:p>
    <w:p>
      <w:pPr>
        <w:pStyle w:val="Caption-Figure"/>
        <w:jc w:val="center"/>
      </w:pPr>
      <w:r>
        <w:t xml:space="preserve">Anomaly — empty User Groups field (Jamf profile)</w:t>
      </w:r>
    </w:p>
    <w:p>
      <w:r>
        <w:br w:type="page"/>
      </w:r>
    </w:p>
    <w:p>
      <w:pPr>
        <w:pStyle w:val="Heading1"/>
      </w:pPr>
      <w:r>
        <w:t xml:space="preserve">References</w:t>
      </w:r>
    </w:p>
    <w:p>
      <w:pPr>
        <w:pStyle w:val="ListParagraph"/>
        <w:numPr>
          <w:ilvl w:val="0"/>
          <w:numId w:val="21"/>
        </w:numPr>
      </w:pPr>
      <w:r>
        <w:t xml:space="preserve">HPE TechDocs technote — Central NAC + Microsoft Intune (reference for this document's structure): arubanetworking.hpe.com/techdocs/NAC/central-nac/central-nac-uem-onboarding-intune/</w:t>
      </w:r>
    </w:p>
    <w:p>
      <w:pPr>
        <w:pStyle w:val="ListParagraph"/>
        <w:numPr>
          <w:ilvl w:val="0"/>
          <w:numId w:val="21"/>
        </w:numPr>
      </w:pPr>
      <w:r>
        <w:t xml:space="preserve">Central NAC — Authentication and Authorization: arubanetworking.hpe.com/techdocs/NAC/central-nac/central-nac-authorization/</w:t>
      </w:r>
    </w:p>
    <w:p>
      <w:pPr>
        <w:pStyle w:val="ListParagraph"/>
        <w:numPr>
          <w:ilvl w:val="0"/>
          <w:numId w:val="21"/>
        </w:numPr>
      </w:pPr>
      <w:r>
        <w:t xml:space="preserve">Central NAC — Configuring EAP-TLS Profile: arubanetworking.hpe.com/techdocs/new-central/content/nac/config-eap.htm</w:t>
      </w:r>
    </w:p>
    <w:p>
      <w:pPr>
        <w:pStyle w:val="Heading1"/>
      </w:pPr>
      <w:r>
        <w:t xml:space="preserve">Revision history</w:t>
      </w:r>
    </w:p>
    <w:tbl>
      <w:tblPr>
        <w:tblStyle w:val="HPETable"/>
        <w:tblW w:w="10466" w:type="dxa"/>
        <w:tblLook w:val="04A0" w:firstRow="1" w:lastRow="0" w:firstColumn="0" w:lastColumn="0" w:noHBand="0" w:noVBand="1"/>
      </w:tblPr>
      <w:tblGrid>
        <w:gridCol w:w="2616"/>
        <w:gridCol w:w="2616"/>
        <w:gridCol w:w="2616"/>
        <w:gridCol w:w="2618"/>
      </w:tblGrid>
      <w:tr>
        <w:tc>
          <w:tcPr>
            <w:tcW w:w="2616" w:type="dxa"/>
          </w:tcPr>
          <w:p>
            <w:r>
              <w:rPr>
                <w:b/>
              </w:rPr>
              <w:t xml:space="preserve">Date</w:t>
            </w:r>
          </w:p>
        </w:tc>
        <w:tc>
          <w:tcPr>
            <w:tcW w:w="2616" w:type="dxa"/>
          </w:tcPr>
          <w:p>
            <w:r>
              <w:rPr>
                <w:b/>
              </w:rPr>
              <w:t xml:space="preserve">Version</w:t>
            </w:r>
          </w:p>
        </w:tc>
        <w:tc>
          <w:tcPr>
            <w:tcW w:w="2616" w:type="dxa"/>
          </w:tcPr>
          <w:p>
            <w:r>
              <w:rPr>
                <w:b/>
              </w:rPr>
              <w:t xml:space="preserve">Author</w:t>
            </w:r>
          </w:p>
        </w:tc>
        <w:tc>
          <w:tcPr>
            <w:tcW w:w="2618" w:type="dxa"/>
          </w:tcPr>
          <w:p>
            <w:r>
              <w:rPr>
                <w:b/>
              </w:rPr>
              <w:t xml:space="preserve">Changes</w:t>
            </w:r>
          </w:p>
        </w:tc>
      </w:tr>
      <w:tr>
        <w:tc>
          <w:tcPr>
            <w:tcW w:w="2616" w:type="dxa"/>
          </w:tcPr>
          <w:p>
            <w:r>
              <w:t xml:space="preserve">September 2026</w:t>
            </w:r>
          </w:p>
        </w:tc>
        <w:tc>
          <w:tcPr>
            <w:tcW w:w="2616" w:type="dxa"/>
          </w:tcPr>
          <w:p>
            <w:r>
              <w:t xml:space="preserve">1.0</w:t>
            </w:r>
          </w:p>
        </w:tc>
        <w:tc>
          <w:tcPr>
            <w:tcW w:w="2616" w:type="dxa"/>
          </w:tcPr>
          <w:p>
            <w:r>
              <w:t xml:space="preserve">Nicolas Culetto</w:t>
            </w:r>
          </w:p>
        </w:tc>
        <w:tc>
          <w:tcPr>
            <w:tcW w:w="2618" w:type="dxa"/>
          </w:tcPr>
          <w:p>
            <w:r>
              <w:t xml:space="preserve">Initial version — integration validated in lab (Central Foundation + Jamf Pro Cloud 11.32)</w:t>
            </w:r>
          </w:p>
        </w:tc>
      </w:tr>
    </w:tbl>
    <w:p/>
    <w:sectPr w:rsidR="004D6BEB" w:rsidRPr="00FD36E8" w:rsidSect="00927C58">
      <w:footerReference w:type="default" r:id="rId42"/>
      <w:headerReference w:type="first" r:id="rId43"/>
      <w:footerReference w:type="first" r:id="rId44"/>
      <w:pgSz w:w="11906" w:h="16838" w:code="9"/>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6608" w14:textId="77777777" w:rsidR="002D0BA0" w:rsidRDefault="002D0BA0" w:rsidP="00640F09">
      <w:pPr>
        <w:spacing w:after="0"/>
      </w:pPr>
      <w:r>
        <w:separator/>
      </w:r>
    </w:p>
  </w:endnote>
  <w:endnote w:type="continuationSeparator" w:id="0">
    <w:p w14:paraId="2EF8721E" w14:textId="77777777" w:rsidR="002D0BA0" w:rsidRDefault="002D0BA0"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panose1 w:val="020B0604020204020204"/>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HPE">
    <w:altName w:val="Calibri"/>
    <w:panose1 w:val="020B0503030202060203"/>
    <w:charset w:val="00"/>
    <w:family w:val="swiss"/>
    <w:notTrueType/>
    <w:pitch w:val="variable"/>
    <w:sig w:usb0="00000007" w:usb1="00000000" w:usb2="00000000" w:usb3="00000000" w:csb0="00000093" w:csb1="00000000"/>
  </w:font>
  <w:font w:name="MetricHPE-Light">
    <w:altName w:val="Cambria"/>
    <w:panose1 w:val="00000000000000000000"/>
    <w:charset w:val="00"/>
    <w:family w:val="roman"/>
    <w:notTrueType/>
    <w:pitch w:val="default"/>
  </w:font>
  <w:font w:name="MetricHPE Semibold">
    <w:altName w:val="Calibri"/>
    <w:panose1 w:val="020B0703030202060203"/>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1A54" w14:textId="77777777" w:rsidR="000F40FA" w:rsidRDefault="000F40FA" w:rsidP="000F40FA">
    <w:pPr>
      <w:pStyle w:val="Footer"/>
      <w:ind w:right="180"/>
      <w:jc w:val="right"/>
    </w:pPr>
    <w:r w:rsidRPr="003D6A05">
      <w:t/>
    </w:r>
    <w:r>
      <w:t>Restricted distribution — HPE internal / partner use only</w:t>
    </w:r>
  </w:p>
  <w:p w14:paraId="5F57147E" w14:textId="1F5CEC26" w:rsidR="003F3702" w:rsidRPr="000F40FA" w:rsidRDefault="000F40F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Pr>
        <w:lang w:val="en-US"/>
      </w:rPr>
      <w:t>1</w:t>
    </w:r>
    <w:r w:rsidRPr="00DB44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2B90C" w14:textId="23D5FD0F"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22BB" w14:textId="77777777" w:rsidR="002D0BA0" w:rsidRDefault="002D0BA0" w:rsidP="00640F09">
      <w:pPr>
        <w:spacing w:after="0"/>
      </w:pPr>
      <w:r>
        <w:separator/>
      </w:r>
    </w:p>
  </w:footnote>
  <w:footnote w:type="continuationSeparator" w:id="0">
    <w:p w14:paraId="41288DFF" w14:textId="77777777" w:rsidR="002D0BA0" w:rsidRDefault="002D0BA0" w:rsidP="00640F09">
      <w:pPr>
        <w:spacing w:after="0"/>
      </w:pPr>
      <w:r>
        <w:continuationSeparator/>
      </w:r>
    </w:p>
  </w:footnote>
  <w:footnote w:id="1">
    <w:p w14:paraId="3D8E7A84" w14:textId="67FDC07E" w:rsidR="0061189E" w:rsidRPr="0070572E" w:rsidRDefault="0061189E" w:rsidP="0061189E">
      <w:pPr>
        <w:pStyle w:val="FootnoteText"/>
      </w:pPr>
      <w:r>
        <w:rPr>
          <w:rStyle w:val="FootnoteReference"/>
        </w:rPr>
        <w:footnoteRef/>
      </w:r>
      <w:r>
        <w:t xml:space="preserve"> If you pin a template and later want to remove it, it needs to be removed from the Registry Editor.  Go to </w:t>
      </w:r>
      <w:hyperlink w:anchor="_Appendix_A_–_1" w:history="1">
        <w:r w:rsidRPr="00D94975">
          <w:rPr>
            <w:rStyle w:val="Hyperlink"/>
          </w:rPr>
          <w:t>Appendix A</w:t>
        </w:r>
      </w:hyperlink>
      <w:r>
        <w:t xml:space="preserve"> for instructions.</w:t>
      </w:r>
    </w:p>
  </w:footnote>
  <w:footnote w:id="2">
    <w:p w14:paraId="04A83620" w14:textId="77777777" w:rsidR="00E4204F" w:rsidRPr="006F1D0F" w:rsidRDefault="00E4204F" w:rsidP="00E4204F">
      <w:pPr>
        <w:pStyle w:val="FootnoteText"/>
      </w:pPr>
      <w:r>
        <w:rPr>
          <w:rStyle w:val="FootnoteReference"/>
        </w:rPr>
        <w:footnoteRef/>
      </w:r>
      <w:r>
        <w:t xml:space="preserve"> </w:t>
      </w:r>
      <w:r w:rsidRPr="006F1D0F">
        <w:t>Sentence case is a capitalization style in which only the first word of a sentence and proper nouns are capitalized, with the rest of the words in lowercase.  It is frequently called “mixed case”.</w:t>
      </w:r>
    </w:p>
  </w:footnote>
  <w:footnote w:id="3">
    <w:p w14:paraId="443126FE" w14:textId="77777777" w:rsidR="00E4204F" w:rsidRPr="006F1D0F" w:rsidRDefault="00E4204F" w:rsidP="00E4204F">
      <w:pPr>
        <w:pStyle w:val="FootnoteText"/>
      </w:pPr>
      <w:r>
        <w:rPr>
          <w:rStyle w:val="FootnoteReference"/>
        </w:rPr>
        <w:footnoteRef/>
      </w:r>
      <w:r>
        <w:t xml:space="preserve"> </w:t>
      </w:r>
      <w:r w:rsidRPr="006F1D0F">
        <w:t>Title case has major words in uppercase and minor words in lowercase (unless they are the first or last word of a title).  Major words include nouns, adjectives, and verbs, while minor words include short prepositions and articles.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69F9" w14:textId="77777777" w:rsidR="002C13A0" w:rsidRPr="001056A2" w:rsidRDefault="002C13A0" w:rsidP="002C13A0">
    <w:pPr>
      <w:tabs>
        <w:tab w:val="right" w:pos="10800"/>
      </w:tabs>
      <w:spacing w:after="0"/>
      <w:rPr>
        <w:rStyle w:val="HPESemibold"/>
        <w:rFonts w:ascii="HPE Graphik Medium" w:hAnsi="HPE Graphik Medium"/>
      </w:rPr>
    </w:pPr>
    <w:bookmarkStart w:id="87" w:name="_Hlk110724510"/>
    <w:r w:rsidRPr="00801196">
      <w:rPr>
        <w:rStyle w:val="HPESemibold"/>
        <w:noProof/>
      </w:rPr>
      <w:drawing>
        <wp:anchor distT="0" distB="0" distL="114300" distR="114300" simplePos="0" relativeHeight="251659264"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791442862" name="Picture 179144286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Pr="001056A2">
      <w:rPr>
        <w:rStyle w:val="HPESemibold"/>
        <w:rFonts w:ascii="HPE Graphik Medium" w:hAnsi="HPE Graphik Medium"/>
      </w:rPr>
      <w:t>Internal technote</w:t>
    </w:r>
  </w:p>
  <w:p w14:paraId="11FF44E2" w14:textId="77777777" w:rsidR="002C13A0" w:rsidRPr="00676180" w:rsidRDefault="002C13A0" w:rsidP="002C13A0">
    <w:pPr>
      <w:tabs>
        <w:tab w:val="right" w:pos="10800"/>
      </w:tabs>
      <w:spacing w:after="0"/>
      <w:rPr>
        <w:sz w:val="16"/>
        <w:szCs w:val="16"/>
      </w:rPr>
    </w:pPr>
    <w:r w:rsidRPr="00676180">
      <w:rPr>
        <w:sz w:val="16"/>
        <w:szCs w:val="16"/>
      </w:rPr>
      <w:tab/>
      <w:t>Do not distribute outside HPE / authorized partners</w:t>
    </w:r>
    <w:bookmarkEnd w:id="87"/>
  </w:p>
  <w:p w14:paraId="4D912968"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D406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AADA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3839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04E8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9E5036"/>
    <w:lvl w:ilvl="0">
      <w:start w:val="1"/>
      <w:numFmt w:val="bullet"/>
      <w:pStyle w:val="ListBullet5"/>
      <w:lvlText w:val="-"/>
      <w:lvlJc w:val="left"/>
      <w:pPr>
        <w:ind w:left="1800" w:hanging="360"/>
      </w:pPr>
      <w:rPr>
        <w:rFonts w:ascii="Arial" w:hAnsi="Arial" w:hint="default"/>
      </w:rPr>
    </w:lvl>
  </w:abstractNum>
  <w:abstractNum w:abstractNumId="5" w15:restartNumberingAfterBreak="0">
    <w:nsid w:val="FFFFFF81"/>
    <w:multiLevelType w:val="singleLevel"/>
    <w:tmpl w:val="2EF0072C"/>
    <w:lvl w:ilvl="0">
      <w:start w:val="1"/>
      <w:numFmt w:val="bullet"/>
      <w:pStyle w:val="ListBullet4"/>
      <w:lvlText w:val=""/>
      <w:lvlJc w:val="left"/>
      <w:pPr>
        <w:ind w:left="1440" w:hanging="360"/>
      </w:pPr>
      <w:rPr>
        <w:rFonts w:ascii="Symbol" w:hAnsi="Symbol" w:hint="default"/>
      </w:rPr>
    </w:lvl>
  </w:abstractNum>
  <w:abstractNum w:abstractNumId="6" w15:restartNumberingAfterBreak="0">
    <w:nsid w:val="FFFFFF82"/>
    <w:multiLevelType w:val="singleLevel"/>
    <w:tmpl w:val="9E0CD66A"/>
    <w:lvl w:ilvl="0">
      <w:start w:val="1"/>
      <w:numFmt w:val="bullet"/>
      <w:pStyle w:val="ListBullet3"/>
      <w:lvlText w:val=""/>
      <w:lvlJc w:val="left"/>
      <w:pPr>
        <w:ind w:left="1080" w:hanging="360"/>
      </w:pPr>
      <w:rPr>
        <w:rFonts w:ascii="Wingdings" w:hAnsi="Wingdings" w:hint="default"/>
      </w:rPr>
    </w:lvl>
  </w:abstractNum>
  <w:abstractNum w:abstractNumId="7" w15:restartNumberingAfterBreak="0">
    <w:nsid w:val="FFFFFF83"/>
    <w:multiLevelType w:val="singleLevel"/>
    <w:tmpl w:val="15800C34"/>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7DC0BD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245B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11" w15:restartNumberingAfterBreak="0">
    <w:nsid w:val="02C57478"/>
    <w:multiLevelType w:val="multilevel"/>
    <w:tmpl w:val="CC60011A"/>
    <w:numStyleLink w:val="ListHPEBullet"/>
  </w:abstractNum>
  <w:abstractNum w:abstractNumId="12" w15:restartNumberingAfterBreak="0">
    <w:nsid w:val="02DB37FC"/>
    <w:multiLevelType w:val="multilevel"/>
    <w:tmpl w:val="D5221EE8"/>
    <w:numStyleLink w:val="HPEBulletList"/>
  </w:abstractNum>
  <w:abstractNum w:abstractNumId="13" w15:restartNumberingAfterBreak="0">
    <w:nsid w:val="0D9F522C"/>
    <w:multiLevelType w:val="multilevel"/>
    <w:tmpl w:val="D5221EE8"/>
    <w:numStyleLink w:val="HPEBulletList"/>
  </w:abstractNum>
  <w:abstractNum w:abstractNumId="14" w15:restartNumberingAfterBreak="0">
    <w:nsid w:val="0E8A7DFB"/>
    <w:multiLevelType w:val="hybridMultilevel"/>
    <w:tmpl w:val="EB70B0F6"/>
    <w:lvl w:ilvl="0" w:tplc="4F6C451C">
      <w:numFmt w:val="bullet"/>
      <w:lvlText w:val="•"/>
      <w:lvlJc w:val="left"/>
      <w:pPr>
        <w:ind w:left="360" w:hanging="360"/>
      </w:pPr>
      <w:rPr>
        <w:rFonts w:ascii="Arial" w:hAnsi="Arial" w:cs="Arial" w:hint="default"/>
        <w:b w:val="0"/>
        <w:i w:val="0"/>
        <w:color w:val="auto"/>
        <w:spacing w:val="0"/>
        <w:w w:val="100"/>
        <w:kern w:val="20"/>
        <w:position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9C154A"/>
    <w:multiLevelType w:val="multilevel"/>
    <w:tmpl w:val="D5221EE8"/>
    <w:numStyleLink w:val="HPEBulletList"/>
  </w:abstractNum>
  <w:abstractNum w:abstractNumId="16" w15:restartNumberingAfterBreak="0">
    <w:nsid w:val="123E7ED3"/>
    <w:multiLevelType w:val="multilevel"/>
    <w:tmpl w:val="A2729054"/>
    <w:numStyleLink w:val="ListHPENumber"/>
  </w:abstractNum>
  <w:abstractNum w:abstractNumId="17" w15:restartNumberingAfterBreak="0">
    <w:nsid w:val="19D37653"/>
    <w:multiLevelType w:val="multilevel"/>
    <w:tmpl w:val="D5221EE8"/>
    <w:lvl w:ilvl="0">
      <w:start w:val="1"/>
      <w:numFmt w:val="bullet"/>
      <w:lvlText w:val="—"/>
      <w:lvlJc w:val="left"/>
      <w:pPr>
        <w:ind w:left="504" w:hanging="216"/>
      </w:pPr>
      <w:rPr>
        <w:rFonts w:ascii="Calibri" w:hAnsi="Calibri" w:hint="default"/>
        <w:sz w:val="18"/>
      </w:rPr>
    </w:lvl>
    <w:lvl w:ilvl="1">
      <w:start w:val="1"/>
      <w:numFmt w:val="bullet"/>
      <w:lvlText w:val=""/>
      <w:lvlJc w:val="left"/>
      <w:pPr>
        <w:ind w:left="720" w:hanging="144"/>
      </w:pPr>
      <w:rPr>
        <w:rFonts w:ascii="Symbol" w:hAnsi="Symbol" w:hint="default"/>
        <w:color w:val="auto"/>
      </w:rPr>
    </w:lvl>
    <w:lvl w:ilvl="2">
      <w:start w:val="1"/>
      <w:numFmt w:val="bullet"/>
      <w:lvlText w:val="°"/>
      <w:lvlJc w:val="left"/>
      <w:pPr>
        <w:ind w:left="936" w:hanging="216"/>
      </w:pPr>
      <w:rPr>
        <w:rFonts w:ascii="Calibri" w:hAnsi="Calibri" w:hint="default"/>
      </w:rPr>
    </w:lvl>
    <w:lvl w:ilvl="3">
      <w:start w:val="1"/>
      <w:numFmt w:val="bullet"/>
      <w:lvlText w:val="&gt;"/>
      <w:lvlJc w:val="left"/>
      <w:pPr>
        <w:ind w:left="1152" w:hanging="216"/>
      </w:pPr>
      <w:rPr>
        <w:rFonts w:ascii="Calibri" w:hAnsi="Calibri" w:hint="default"/>
        <w:color w:val="auto"/>
      </w:rPr>
    </w:lvl>
    <w:lvl w:ilvl="4">
      <w:start w:val="1"/>
      <w:numFmt w:val="bullet"/>
      <w:lvlText w:val="&gt;"/>
      <w:lvlJc w:val="left"/>
      <w:pPr>
        <w:ind w:left="1368" w:hanging="144"/>
      </w:pPr>
      <w:rPr>
        <w:rFonts w:ascii="Calibri" w:hAnsi="Calibri" w:hint="default"/>
        <w:color w:val="auto"/>
      </w:rPr>
    </w:lvl>
    <w:lvl w:ilvl="5">
      <w:start w:val="1"/>
      <w:numFmt w:val="bullet"/>
      <w:lvlText w:val="&gt;"/>
      <w:lvlJc w:val="left"/>
      <w:pPr>
        <w:ind w:left="1584" w:hanging="216"/>
      </w:pPr>
      <w:rPr>
        <w:rFonts w:ascii="Calibri" w:hAnsi="Calibri" w:hint="default"/>
        <w:color w:val="auto"/>
      </w:rPr>
    </w:lvl>
    <w:lvl w:ilvl="6">
      <w:start w:val="1"/>
      <w:numFmt w:val="bullet"/>
      <w:lvlText w:val="&gt;"/>
      <w:lvlJc w:val="left"/>
      <w:pPr>
        <w:ind w:left="1800" w:hanging="216"/>
      </w:pPr>
      <w:rPr>
        <w:rFonts w:ascii="Calibri" w:hAnsi="Calibri" w:hint="default"/>
        <w:color w:val="auto"/>
      </w:rPr>
    </w:lvl>
    <w:lvl w:ilvl="7">
      <w:start w:val="1"/>
      <w:numFmt w:val="bullet"/>
      <w:lvlText w:val="&gt;"/>
      <w:lvlJc w:val="left"/>
      <w:pPr>
        <w:ind w:left="2016" w:hanging="144"/>
      </w:pPr>
      <w:rPr>
        <w:rFonts w:ascii="Calibri" w:hAnsi="Calibri" w:hint="default"/>
        <w:color w:val="auto"/>
      </w:rPr>
    </w:lvl>
    <w:lvl w:ilvl="8">
      <w:start w:val="1"/>
      <w:numFmt w:val="bullet"/>
      <w:lvlText w:val="&gt;"/>
      <w:lvlJc w:val="left"/>
      <w:pPr>
        <w:ind w:left="2232" w:hanging="216"/>
      </w:pPr>
      <w:rPr>
        <w:rFonts w:ascii="Calibri" w:hAnsi="Calibri" w:hint="default"/>
        <w:color w:val="auto"/>
      </w:rPr>
    </w:lvl>
  </w:abstractNum>
  <w:abstractNum w:abstractNumId="18" w15:restartNumberingAfterBreak="0">
    <w:nsid w:val="1C76182A"/>
    <w:multiLevelType w:val="multilevel"/>
    <w:tmpl w:val="D5221EE8"/>
    <w:numStyleLink w:val="HPEBulletList"/>
  </w:abstractNum>
  <w:abstractNum w:abstractNumId="19" w15:restartNumberingAfterBreak="0">
    <w:nsid w:val="1EB074E7"/>
    <w:multiLevelType w:val="multilevel"/>
    <w:tmpl w:val="D5221EE8"/>
    <w:numStyleLink w:val="HPEBulletList"/>
  </w:abstractNum>
  <w:abstractNum w:abstractNumId="20" w15:restartNumberingAfterBreak="0">
    <w:nsid w:val="1EC2414E"/>
    <w:multiLevelType w:val="multilevel"/>
    <w:tmpl w:val="D5221EE8"/>
    <w:numStyleLink w:val="HPEBulletList"/>
  </w:abstractNum>
  <w:abstractNum w:abstractNumId="21" w15:restartNumberingAfterBreak="0">
    <w:nsid w:val="21CA743F"/>
    <w:multiLevelType w:val="multilevel"/>
    <w:tmpl w:val="A2729054"/>
    <w:numStyleLink w:val="ListHPENumber"/>
  </w:abstractNum>
  <w:abstractNum w:abstractNumId="22" w15:restartNumberingAfterBreak="0">
    <w:nsid w:val="269A29F6"/>
    <w:multiLevelType w:val="multilevel"/>
    <w:tmpl w:val="A2729054"/>
    <w:numStyleLink w:val="ListHPENumber"/>
  </w:abstractNum>
  <w:abstractNum w:abstractNumId="23" w15:restartNumberingAfterBreak="0">
    <w:nsid w:val="2D56668B"/>
    <w:multiLevelType w:val="multilevel"/>
    <w:tmpl w:val="A2729054"/>
    <w:numStyleLink w:val="ListHPENumber"/>
  </w:abstractNum>
  <w:abstractNum w:abstractNumId="24" w15:restartNumberingAfterBreak="0">
    <w:nsid w:val="30E16D66"/>
    <w:multiLevelType w:val="multilevel"/>
    <w:tmpl w:val="A2729054"/>
    <w:numStyleLink w:val="ListHPENumber"/>
  </w:abstractNum>
  <w:abstractNum w:abstractNumId="25" w15:restartNumberingAfterBreak="0">
    <w:nsid w:val="33B44B61"/>
    <w:multiLevelType w:val="multilevel"/>
    <w:tmpl w:val="A2729054"/>
    <w:numStyleLink w:val="ListHPENumber"/>
  </w:abstractNum>
  <w:abstractNum w:abstractNumId="26"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7" w15:restartNumberingAfterBreak="0">
    <w:nsid w:val="36CA17CD"/>
    <w:multiLevelType w:val="multilevel"/>
    <w:tmpl w:val="D5221EE8"/>
    <w:numStyleLink w:val="HPEBulletList"/>
  </w:abstractNum>
  <w:abstractNum w:abstractNumId="28" w15:restartNumberingAfterBreak="0">
    <w:nsid w:val="3A4A55F5"/>
    <w:multiLevelType w:val="multilevel"/>
    <w:tmpl w:val="D5221EE8"/>
    <w:numStyleLink w:val="HPEBulletList"/>
  </w:abstractNum>
  <w:abstractNum w:abstractNumId="29" w15:restartNumberingAfterBreak="0">
    <w:nsid w:val="3E0E6162"/>
    <w:multiLevelType w:val="multilevel"/>
    <w:tmpl w:val="B3F0A2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30" w15:restartNumberingAfterBreak="0">
    <w:nsid w:val="43A261C5"/>
    <w:multiLevelType w:val="multilevel"/>
    <w:tmpl w:val="A2729054"/>
    <w:numStyleLink w:val="ListHPENumber"/>
  </w:abstractNum>
  <w:abstractNum w:abstractNumId="31"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32"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33" w15:restartNumberingAfterBreak="0">
    <w:nsid w:val="47746DB6"/>
    <w:multiLevelType w:val="multilevel"/>
    <w:tmpl w:val="D5221EE8"/>
    <w:numStyleLink w:val="HPEBulletList"/>
  </w:abstractNum>
  <w:abstractNum w:abstractNumId="34"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35" w15:restartNumberingAfterBreak="0">
    <w:nsid w:val="491B42A1"/>
    <w:multiLevelType w:val="multilevel"/>
    <w:tmpl w:val="D5221EE8"/>
    <w:numStyleLink w:val="HPEBulletList"/>
  </w:abstractNum>
  <w:abstractNum w:abstractNumId="36" w15:restartNumberingAfterBreak="0">
    <w:nsid w:val="494E6745"/>
    <w:multiLevelType w:val="multilevel"/>
    <w:tmpl w:val="27A44376"/>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37" w15:restartNumberingAfterBreak="0">
    <w:nsid w:val="4E6071F2"/>
    <w:multiLevelType w:val="multilevel"/>
    <w:tmpl w:val="D5221EE8"/>
    <w:numStyleLink w:val="HPEBulletList"/>
  </w:abstractNum>
  <w:abstractNum w:abstractNumId="38"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9" w15:restartNumberingAfterBreak="0">
    <w:nsid w:val="557D6795"/>
    <w:multiLevelType w:val="multilevel"/>
    <w:tmpl w:val="D5221EE8"/>
    <w:numStyleLink w:val="HPEBulletList"/>
  </w:abstractNum>
  <w:abstractNum w:abstractNumId="40" w15:restartNumberingAfterBreak="0">
    <w:nsid w:val="57772D39"/>
    <w:multiLevelType w:val="multilevel"/>
    <w:tmpl w:val="CC60011A"/>
    <w:numStyleLink w:val="ListHPEBullet"/>
  </w:abstractNum>
  <w:abstractNum w:abstractNumId="41" w15:restartNumberingAfterBreak="0">
    <w:nsid w:val="65F11D00"/>
    <w:multiLevelType w:val="multilevel"/>
    <w:tmpl w:val="A2729054"/>
    <w:numStyleLink w:val="ListHPENumber"/>
  </w:abstractNum>
  <w:abstractNum w:abstractNumId="42" w15:restartNumberingAfterBreak="0">
    <w:nsid w:val="68D02E2C"/>
    <w:multiLevelType w:val="multilevel"/>
    <w:tmpl w:val="D5221EE8"/>
    <w:numStyleLink w:val="HPEBulletList"/>
  </w:abstractNum>
  <w:abstractNum w:abstractNumId="43"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44" w15:restartNumberingAfterBreak="0">
    <w:nsid w:val="6A9D59B8"/>
    <w:multiLevelType w:val="multilevel"/>
    <w:tmpl w:val="D5221EE8"/>
    <w:numStyleLink w:val="HPEBulletList"/>
  </w:abstractNum>
  <w:abstractNum w:abstractNumId="45" w15:restartNumberingAfterBreak="0">
    <w:nsid w:val="70372D52"/>
    <w:multiLevelType w:val="multilevel"/>
    <w:tmpl w:val="A2729054"/>
    <w:numStyleLink w:val="ListHPENumber"/>
  </w:abstractNum>
  <w:abstractNum w:abstractNumId="46" w15:restartNumberingAfterBreak="0">
    <w:nsid w:val="708C79CF"/>
    <w:multiLevelType w:val="multilevel"/>
    <w:tmpl w:val="D5221EE8"/>
    <w:numStyleLink w:val="HPEBulletList"/>
  </w:abstractNum>
  <w:abstractNum w:abstractNumId="47" w15:restartNumberingAfterBreak="0">
    <w:nsid w:val="7C2E470C"/>
    <w:multiLevelType w:val="multilevel"/>
    <w:tmpl w:val="D5221EE8"/>
    <w:numStyleLink w:val="HPEBulletList"/>
  </w:abstractNum>
  <w:abstractNum w:abstractNumId="48" w15:restartNumberingAfterBreak="0">
    <w:nsid w:val="7DC95B54"/>
    <w:multiLevelType w:val="hybridMultilevel"/>
    <w:tmpl w:val="02D2993A"/>
    <w:lvl w:ilvl="0" w:tplc="7400821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9406086">
    <w:abstractNumId w:val="10"/>
  </w:num>
  <w:num w:numId="2" w16cid:durableId="1996301185">
    <w:abstractNumId w:val="31"/>
  </w:num>
  <w:num w:numId="3" w16cid:durableId="737436594">
    <w:abstractNumId w:val="43"/>
  </w:num>
  <w:num w:numId="4" w16cid:durableId="442961258">
    <w:abstractNumId w:val="29"/>
  </w:num>
  <w:num w:numId="5" w16cid:durableId="1151483158">
    <w:abstractNumId w:val="32"/>
  </w:num>
  <w:num w:numId="6" w16cid:durableId="1495219619">
    <w:abstractNumId w:val="9"/>
  </w:num>
  <w:num w:numId="7" w16cid:durableId="960847249">
    <w:abstractNumId w:val="7"/>
  </w:num>
  <w:num w:numId="8" w16cid:durableId="121654379">
    <w:abstractNumId w:val="6"/>
  </w:num>
  <w:num w:numId="9" w16cid:durableId="1901818096">
    <w:abstractNumId w:val="5"/>
  </w:num>
  <w:num w:numId="10" w16cid:durableId="1623727265">
    <w:abstractNumId w:val="4"/>
  </w:num>
  <w:num w:numId="11" w16cid:durableId="1895847364">
    <w:abstractNumId w:val="14"/>
  </w:num>
  <w:num w:numId="12" w16cid:durableId="2097053353">
    <w:abstractNumId w:val="34"/>
  </w:num>
  <w:num w:numId="13" w16cid:durableId="1830319191">
    <w:abstractNumId w:val="40"/>
  </w:num>
  <w:num w:numId="14" w16cid:durableId="870070192">
    <w:abstractNumId w:val="26"/>
  </w:num>
  <w:num w:numId="15" w16cid:durableId="1441757309">
    <w:abstractNumId w:val="22"/>
  </w:num>
  <w:num w:numId="16" w16cid:durableId="972445940">
    <w:abstractNumId w:val="8"/>
  </w:num>
  <w:num w:numId="17" w16cid:durableId="1417168694">
    <w:abstractNumId w:val="3"/>
  </w:num>
  <w:num w:numId="18" w16cid:durableId="934634270">
    <w:abstractNumId w:val="2"/>
  </w:num>
  <w:num w:numId="19" w16cid:durableId="1804158564">
    <w:abstractNumId w:val="1"/>
  </w:num>
  <w:num w:numId="20" w16cid:durableId="1973559698">
    <w:abstractNumId w:val="0"/>
  </w:num>
  <w:num w:numId="21" w16cid:durableId="1116101072">
    <w:abstractNumId w:val="38"/>
  </w:num>
  <w:num w:numId="22" w16cid:durableId="2072730556">
    <w:abstractNumId w:val="47"/>
  </w:num>
  <w:num w:numId="23" w16cid:durableId="857353657">
    <w:abstractNumId w:val="37"/>
  </w:num>
  <w:num w:numId="24" w16cid:durableId="1736245682">
    <w:abstractNumId w:val="20"/>
  </w:num>
  <w:num w:numId="25" w16cid:durableId="1799640835">
    <w:abstractNumId w:val="46"/>
  </w:num>
  <w:num w:numId="26" w16cid:durableId="1003585481">
    <w:abstractNumId w:val="13"/>
  </w:num>
  <w:num w:numId="27" w16cid:durableId="482280454">
    <w:abstractNumId w:val="35"/>
  </w:num>
  <w:num w:numId="28" w16cid:durableId="612982457">
    <w:abstractNumId w:val="23"/>
  </w:num>
  <w:num w:numId="29" w16cid:durableId="367681098">
    <w:abstractNumId w:val="17"/>
  </w:num>
  <w:num w:numId="30" w16cid:durableId="51461933">
    <w:abstractNumId w:val="42"/>
  </w:num>
  <w:num w:numId="31" w16cid:durableId="825826644">
    <w:abstractNumId w:val="39"/>
  </w:num>
  <w:num w:numId="32" w16cid:durableId="381754864">
    <w:abstractNumId w:val="25"/>
  </w:num>
  <w:num w:numId="33" w16cid:durableId="514421979">
    <w:abstractNumId w:val="28"/>
  </w:num>
  <w:num w:numId="34" w16cid:durableId="1174950282">
    <w:abstractNumId w:val="41"/>
  </w:num>
  <w:num w:numId="35" w16cid:durableId="486871447">
    <w:abstractNumId w:val="11"/>
  </w:num>
  <w:num w:numId="36" w16cid:durableId="1386686422">
    <w:abstractNumId w:val="45"/>
  </w:num>
  <w:num w:numId="37" w16cid:durableId="470709903">
    <w:abstractNumId w:val="19"/>
  </w:num>
  <w:num w:numId="38" w16cid:durableId="242760652">
    <w:abstractNumId w:val="27"/>
  </w:num>
  <w:num w:numId="39" w16cid:durableId="1196581735">
    <w:abstractNumId w:val="44"/>
  </w:num>
  <w:num w:numId="40" w16cid:durableId="298994621">
    <w:abstractNumId w:val="12"/>
  </w:num>
  <w:num w:numId="41" w16cid:durableId="1999573579">
    <w:abstractNumId w:val="18"/>
  </w:num>
  <w:num w:numId="42" w16cid:durableId="1949580251">
    <w:abstractNumId w:val="15"/>
  </w:num>
  <w:num w:numId="43" w16cid:durableId="2012103704">
    <w:abstractNumId w:val="24"/>
  </w:num>
  <w:num w:numId="44" w16cid:durableId="1385371262">
    <w:abstractNumId w:val="16"/>
  </w:num>
  <w:num w:numId="45" w16cid:durableId="2106026795">
    <w:abstractNumId w:val="36"/>
  </w:num>
  <w:num w:numId="46" w16cid:durableId="1056851536">
    <w:abstractNumId w:val="21"/>
  </w:num>
  <w:num w:numId="47" w16cid:durableId="2072803330">
    <w:abstractNumId w:val="30"/>
  </w:num>
  <w:num w:numId="48" w16cid:durableId="659622883">
    <w:abstractNumId w:val="33"/>
  </w:num>
  <w:num w:numId="49" w16cid:durableId="1018970007">
    <w:abstractNumId w:val="48"/>
  </w:num>
  <w:num w:numId="500">
    <w:abstractNumId w:val="26"/>
    <w:lvlOverride w:ilvl="0">
      <w:startOverride w:val="1"/>
    </w:lvlOverride>
  </w:num>
  <w:num w:numId="501">
    <w:abstractNumId w:val="26"/>
    <w:lvlOverride w:ilvl="0">
      <w:startOverride w:val="1"/>
    </w:lvlOverride>
  </w:num>
  <w:num w:numId="502">
    <w:abstractNumId w:val="26"/>
    <w:lvlOverride w:ilvl="0">
      <w:startOverride w:val="1"/>
    </w:lvlOverride>
  </w:num>
  <w:num w:numId="503">
    <w:abstractNumId w:val="26"/>
    <w:lvlOverride w:ilvl="0">
      <w:startOverride w:val="1"/>
    </w:lvlOverride>
  </w:num>
  <w:num w:numId="504">
    <w:abstractNumId w:val="26"/>
    <w:lvlOverride w:ilvl="0">
      <w:startOverride w:val="1"/>
    </w:lvlOverride>
  </w:num>
  <w:num w:numId="505">
    <w:abstractNumId w:val="26"/>
    <w:lvlOverride w:ilvl="0">
      <w:startOverride w:val="1"/>
    </w:lvlOverride>
  </w:num>
  <w:num w:numId="506">
    <w:abstractNumId w:val="26"/>
    <w:lvlOverride w:ilvl="0">
      <w:startOverride w:val="1"/>
    </w:lvlOverride>
  </w:num>
  <w:num w:numId="507">
    <w:abstractNumId w:val="26"/>
    <w:lvlOverride w:ilvl="0">
      <w:startOverride w:val="1"/>
    </w:lvlOverride>
  </w:num>
  <w:num w:numId="508">
    <w:abstractNumId w:val="26"/>
    <w:lvlOverride w:ilvl="0">
      <w:startOverride w:val="1"/>
    </w:lvlOverride>
  </w:num>
  <w:num w:numId="509">
    <w:abstractNumId w:val="26"/>
    <w:lvlOverride w:ilvl="0">
      <w:startOverride w:val="1"/>
    </w:lvlOverride>
  </w:num>
  <w:num w:numId="510">
    <w:abstractNumId w:val="26"/>
    <w:lvlOverride w:ilvl="0">
      <w:startOverride w:val="1"/>
    </w:lvlOverride>
  </w:num>
  <w:num w:numId="511">
    <w:abstractNumId w:val="26"/>
    <w:lvlOverride w:ilvl="0">
      <w:startOverride w:val="1"/>
    </w:lvlOverride>
  </w:num>
  <w:num w:numId="512">
    <w:abstractNumId w:val="26"/>
    <w:lvlOverride w:ilvl="0">
      <w:startOverride w:val="1"/>
    </w:lvlOverride>
  </w:num>
  <w:num w:numId="513">
    <w:abstractNumId w:val="26"/>
    <w:lvlOverride w:ilvl="0">
      <w:startOverride w:val="1"/>
    </w:lvlOverride>
  </w:num>
  <w:num w:numId="514">
    <w:abstractNumId w:val="26"/>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A2"/>
    <w:rsid w:val="00006801"/>
    <w:rsid w:val="00010B09"/>
    <w:rsid w:val="000152F1"/>
    <w:rsid w:val="00023D60"/>
    <w:rsid w:val="00072F4A"/>
    <w:rsid w:val="00080802"/>
    <w:rsid w:val="000A7798"/>
    <w:rsid w:val="000D7B30"/>
    <w:rsid w:val="000F40FA"/>
    <w:rsid w:val="001056A2"/>
    <w:rsid w:val="0011546D"/>
    <w:rsid w:val="001216B2"/>
    <w:rsid w:val="0012292D"/>
    <w:rsid w:val="00124281"/>
    <w:rsid w:val="001243AA"/>
    <w:rsid w:val="00133BEC"/>
    <w:rsid w:val="001453B1"/>
    <w:rsid w:val="001A3EF3"/>
    <w:rsid w:val="001B1425"/>
    <w:rsid w:val="001B27B4"/>
    <w:rsid w:val="001B64F1"/>
    <w:rsid w:val="001C3243"/>
    <w:rsid w:val="001D6FF3"/>
    <w:rsid w:val="001F4F8B"/>
    <w:rsid w:val="00253073"/>
    <w:rsid w:val="0025327E"/>
    <w:rsid w:val="00265EA3"/>
    <w:rsid w:val="0027419E"/>
    <w:rsid w:val="00275DCA"/>
    <w:rsid w:val="00281A14"/>
    <w:rsid w:val="002C13A0"/>
    <w:rsid w:val="002D0BA0"/>
    <w:rsid w:val="002D3278"/>
    <w:rsid w:val="002F3382"/>
    <w:rsid w:val="002F7113"/>
    <w:rsid w:val="0032754E"/>
    <w:rsid w:val="00353CE7"/>
    <w:rsid w:val="00363B15"/>
    <w:rsid w:val="003B313A"/>
    <w:rsid w:val="003C2D47"/>
    <w:rsid w:val="003C3329"/>
    <w:rsid w:val="003C6FE4"/>
    <w:rsid w:val="003D68E6"/>
    <w:rsid w:val="003F0357"/>
    <w:rsid w:val="003F3702"/>
    <w:rsid w:val="004014BC"/>
    <w:rsid w:val="004076A6"/>
    <w:rsid w:val="00413159"/>
    <w:rsid w:val="004338F9"/>
    <w:rsid w:val="00451D52"/>
    <w:rsid w:val="00466393"/>
    <w:rsid w:val="00472638"/>
    <w:rsid w:val="004A2E58"/>
    <w:rsid w:val="004A43A6"/>
    <w:rsid w:val="004B1EBC"/>
    <w:rsid w:val="004C3560"/>
    <w:rsid w:val="004C4F2C"/>
    <w:rsid w:val="004D6BEB"/>
    <w:rsid w:val="004E0297"/>
    <w:rsid w:val="004E41B4"/>
    <w:rsid w:val="004F09B6"/>
    <w:rsid w:val="004F1232"/>
    <w:rsid w:val="00517856"/>
    <w:rsid w:val="005179BB"/>
    <w:rsid w:val="005179EB"/>
    <w:rsid w:val="00577146"/>
    <w:rsid w:val="00580425"/>
    <w:rsid w:val="005A77A3"/>
    <w:rsid w:val="005D713E"/>
    <w:rsid w:val="005D72C7"/>
    <w:rsid w:val="005E207B"/>
    <w:rsid w:val="005E61DD"/>
    <w:rsid w:val="0061189E"/>
    <w:rsid w:val="00620C10"/>
    <w:rsid w:val="00640F09"/>
    <w:rsid w:val="006500BD"/>
    <w:rsid w:val="00676180"/>
    <w:rsid w:val="006C0668"/>
    <w:rsid w:val="006D1CEB"/>
    <w:rsid w:val="006D2D27"/>
    <w:rsid w:val="006D7F21"/>
    <w:rsid w:val="006E7E96"/>
    <w:rsid w:val="006F38BB"/>
    <w:rsid w:val="007241CD"/>
    <w:rsid w:val="00724F8B"/>
    <w:rsid w:val="0075174D"/>
    <w:rsid w:val="00755576"/>
    <w:rsid w:val="00755D8F"/>
    <w:rsid w:val="00757DB7"/>
    <w:rsid w:val="00761C86"/>
    <w:rsid w:val="0077437D"/>
    <w:rsid w:val="007B317B"/>
    <w:rsid w:val="007B478B"/>
    <w:rsid w:val="007E2F85"/>
    <w:rsid w:val="00841F99"/>
    <w:rsid w:val="008520E7"/>
    <w:rsid w:val="00856FFD"/>
    <w:rsid w:val="008605FC"/>
    <w:rsid w:val="0086246B"/>
    <w:rsid w:val="008759DA"/>
    <w:rsid w:val="00881BFD"/>
    <w:rsid w:val="008E2D53"/>
    <w:rsid w:val="00917B3D"/>
    <w:rsid w:val="00927C58"/>
    <w:rsid w:val="00933301"/>
    <w:rsid w:val="00936EA7"/>
    <w:rsid w:val="0098774B"/>
    <w:rsid w:val="00991BC9"/>
    <w:rsid w:val="00994FA2"/>
    <w:rsid w:val="009A4446"/>
    <w:rsid w:val="009B097F"/>
    <w:rsid w:val="009B5D0F"/>
    <w:rsid w:val="009C22E5"/>
    <w:rsid w:val="009E18B9"/>
    <w:rsid w:val="00A326CF"/>
    <w:rsid w:val="00A463B1"/>
    <w:rsid w:val="00A63A6D"/>
    <w:rsid w:val="00AC076B"/>
    <w:rsid w:val="00AE05D4"/>
    <w:rsid w:val="00B12C5B"/>
    <w:rsid w:val="00B12EEE"/>
    <w:rsid w:val="00B23BE9"/>
    <w:rsid w:val="00B32E49"/>
    <w:rsid w:val="00B417B1"/>
    <w:rsid w:val="00B454CC"/>
    <w:rsid w:val="00B62F11"/>
    <w:rsid w:val="00B6553B"/>
    <w:rsid w:val="00B670DC"/>
    <w:rsid w:val="00B7742E"/>
    <w:rsid w:val="00B81C33"/>
    <w:rsid w:val="00B85CDD"/>
    <w:rsid w:val="00B86047"/>
    <w:rsid w:val="00B878E0"/>
    <w:rsid w:val="00B94639"/>
    <w:rsid w:val="00BB542F"/>
    <w:rsid w:val="00BC147E"/>
    <w:rsid w:val="00BE37E9"/>
    <w:rsid w:val="00BF1258"/>
    <w:rsid w:val="00BF54E6"/>
    <w:rsid w:val="00C32295"/>
    <w:rsid w:val="00C34219"/>
    <w:rsid w:val="00C35BC6"/>
    <w:rsid w:val="00CA06B1"/>
    <w:rsid w:val="00CA3264"/>
    <w:rsid w:val="00CF3E72"/>
    <w:rsid w:val="00D12A4F"/>
    <w:rsid w:val="00D22A7C"/>
    <w:rsid w:val="00D22DCD"/>
    <w:rsid w:val="00D24451"/>
    <w:rsid w:val="00D3148B"/>
    <w:rsid w:val="00D458AF"/>
    <w:rsid w:val="00D54DDD"/>
    <w:rsid w:val="00D65E6F"/>
    <w:rsid w:val="00D76C53"/>
    <w:rsid w:val="00D82229"/>
    <w:rsid w:val="00DE3CA7"/>
    <w:rsid w:val="00DF11A3"/>
    <w:rsid w:val="00E01659"/>
    <w:rsid w:val="00E06ACF"/>
    <w:rsid w:val="00E10D0C"/>
    <w:rsid w:val="00E15C4B"/>
    <w:rsid w:val="00E16321"/>
    <w:rsid w:val="00E4204F"/>
    <w:rsid w:val="00E702D7"/>
    <w:rsid w:val="00E85F37"/>
    <w:rsid w:val="00E87DA9"/>
    <w:rsid w:val="00E87F33"/>
    <w:rsid w:val="00E92EB9"/>
    <w:rsid w:val="00EA4E11"/>
    <w:rsid w:val="00EC51D8"/>
    <w:rsid w:val="00ED3C3A"/>
    <w:rsid w:val="00ED56E6"/>
    <w:rsid w:val="00EF11B5"/>
    <w:rsid w:val="00F0505E"/>
    <w:rsid w:val="00F25CE8"/>
    <w:rsid w:val="00F26C29"/>
    <w:rsid w:val="00F530BF"/>
    <w:rsid w:val="00F531B5"/>
    <w:rsid w:val="00F6090F"/>
    <w:rsid w:val="00F60A7F"/>
    <w:rsid w:val="00FA11BC"/>
    <w:rsid w:val="00FA3646"/>
    <w:rsid w:val="00FA7C46"/>
    <w:rsid w:val="00FA7D93"/>
    <w:rsid w:val="00FB060E"/>
    <w:rsid w:val="00FD36E8"/>
    <w:rsid w:val="00FD5A30"/>
    <w:rsid w:val="00FD6A9E"/>
    <w:rsid w:val="00FE405F"/>
    <w:rsid w:val="00FF6A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66D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C6"/>
    <w:pPr>
      <w:spacing w:after="120" w:line="240" w:lineRule="auto"/>
    </w:pPr>
    <w:rPr>
      <w:rFonts w:ascii="HPE Graphik" w:hAnsi="HPE Graphik" w:cs="Aptos"/>
      <w:kern w:val="0"/>
      <w:sz w:val="20"/>
      <w:lang w:eastAsia="en-CA"/>
    </w:rPr>
  </w:style>
  <w:style w:type="paragraph" w:styleId="Heading1">
    <w:name w:val="heading 1"/>
    <w:basedOn w:val="Normal"/>
    <w:next w:val="Normal"/>
    <w:link w:val="Heading1Char"/>
    <w:uiPriority w:val="9"/>
    <w:qFormat/>
    <w:rsid w:val="00676180"/>
    <w:pPr>
      <w:keepNext/>
      <w:keepLines/>
      <w:tabs>
        <w:tab w:val="left" w:pos="360"/>
        <w:tab w:val="left" w:pos="720"/>
        <w:tab w:val="right" w:pos="10800"/>
      </w:tabs>
      <w:spacing w:before="360"/>
      <w:outlineLvl w:val="0"/>
    </w:pPr>
    <w:rPr>
      <w:rFonts w:ascii="HPE Graphik Semibold" w:eastAsiaTheme="majorEastAsia" w:hAnsi="HPE Graphik Semibold" w:cstheme="majorBidi"/>
      <w:color w:val="000000" w:themeColor="text1"/>
      <w:sz w:val="40"/>
      <w:szCs w:val="32"/>
    </w:rPr>
  </w:style>
  <w:style w:type="paragraph" w:styleId="Heading2">
    <w:name w:val="heading 2"/>
    <w:basedOn w:val="Normal"/>
    <w:next w:val="Normal"/>
    <w:link w:val="Heading2Char"/>
    <w:uiPriority w:val="9"/>
    <w:unhideWhenUsed/>
    <w:qFormat/>
    <w:rsid w:val="00676180"/>
    <w:pPr>
      <w:keepNext/>
      <w:keepLines/>
      <w:tabs>
        <w:tab w:val="left" w:pos="360"/>
        <w:tab w:val="left" w:pos="720"/>
        <w:tab w:val="right" w:pos="10800"/>
      </w:tabs>
      <w:spacing w:before="240"/>
      <w:outlineLvl w:val="1"/>
    </w:pPr>
    <w:rPr>
      <w:rFonts w:ascii="HPE Graphik Semibold" w:eastAsiaTheme="majorEastAsia" w:hAnsi="HPE Graphik Semibold" w:cstheme="majorBidi"/>
      <w:color w:val="000000" w:themeColor="text1"/>
      <w:sz w:val="30"/>
      <w:szCs w:val="26"/>
    </w:rPr>
  </w:style>
  <w:style w:type="paragraph" w:styleId="Heading3">
    <w:name w:val="heading 3"/>
    <w:basedOn w:val="Normal"/>
    <w:next w:val="Normal"/>
    <w:link w:val="Heading3Char"/>
    <w:uiPriority w:val="9"/>
    <w:unhideWhenUsed/>
    <w:qFormat/>
    <w:rsid w:val="00676180"/>
    <w:pPr>
      <w:keepNext/>
      <w:keepLines/>
      <w:tabs>
        <w:tab w:val="left" w:pos="360"/>
        <w:tab w:val="left" w:pos="720"/>
        <w:tab w:val="right" w:pos="10800"/>
      </w:tabs>
      <w:spacing w:before="120"/>
      <w:outlineLvl w:val="2"/>
    </w:pPr>
    <w:rPr>
      <w:rFonts w:ascii="HPE Graphik Semibold" w:eastAsiaTheme="majorEastAsia" w:hAnsi="HPE Graphik Semibold" w:cstheme="majorBidi"/>
      <w:color w:val="000000" w:themeColor="text1"/>
      <w:szCs w:val="24"/>
    </w:rPr>
  </w:style>
  <w:style w:type="paragraph" w:styleId="Heading4">
    <w:name w:val="heading 4"/>
    <w:basedOn w:val="Normal"/>
    <w:next w:val="Normal"/>
    <w:link w:val="Heading4Char"/>
    <w:uiPriority w:val="9"/>
    <w:unhideWhenUsed/>
    <w:qFormat/>
    <w:rsid w:val="00676180"/>
    <w:pPr>
      <w:keepNext/>
      <w:keepLines/>
      <w:tabs>
        <w:tab w:val="left" w:pos="360"/>
        <w:tab w:val="left" w:pos="720"/>
        <w:tab w:val="right" w:pos="10800"/>
      </w:tabs>
      <w:spacing w:before="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semiHidden/>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semiHidden/>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semiHidden/>
    <w:unhideWhenUsed/>
    <w:rsid w:val="000F40FA"/>
    <w:rPr>
      <w:b/>
      <w:color w:val="auto"/>
      <w:vertAlign w:val="superscript"/>
    </w:rPr>
  </w:style>
  <w:style w:type="paragraph" w:styleId="FootnoteText">
    <w:name w:val="footnote text"/>
    <w:basedOn w:val="Normal"/>
    <w:link w:val="FootnoteTextChar"/>
    <w:uiPriority w:val="98"/>
    <w:unhideWhenUsed/>
    <w:rsid w:val="00CA3264"/>
    <w:pPr>
      <w:spacing w:after="0"/>
    </w:pPr>
    <w:rPr>
      <w:sz w:val="18"/>
      <w:szCs w:val="20"/>
    </w:rPr>
  </w:style>
  <w:style w:type="character" w:customStyle="1" w:styleId="FootnoteTextChar">
    <w:name w:val="Footnote Text Char"/>
    <w:basedOn w:val="DefaultParagraphFont"/>
    <w:link w:val="FootnoteText"/>
    <w:uiPriority w:val="98"/>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uiPriority w:val="9"/>
    <w:rsid w:val="00676180"/>
    <w:rPr>
      <w:rFonts w:ascii="HPE Graphik Semibold" w:eastAsiaTheme="majorEastAsia" w:hAnsi="HPE Graphik Semibold" w:cstheme="majorBidi"/>
      <w:color w:val="000000" w:themeColor="text1"/>
      <w:kern w:val="0"/>
      <w:sz w:val="40"/>
      <w:szCs w:val="32"/>
      <w:lang w:eastAsia="en-CA"/>
    </w:rPr>
  </w:style>
  <w:style w:type="character" w:customStyle="1" w:styleId="Heading2Char">
    <w:name w:val="Heading 2 Char"/>
    <w:basedOn w:val="DefaultParagraphFont"/>
    <w:link w:val="Heading2"/>
    <w:uiPriority w:val="9"/>
    <w:rsid w:val="00676180"/>
    <w:rPr>
      <w:rFonts w:ascii="HPE Graphik Semibold" w:eastAsiaTheme="majorEastAsia" w:hAnsi="HPE Graphik Semibold" w:cstheme="majorBidi"/>
      <w:color w:val="000000" w:themeColor="text1"/>
      <w:kern w:val="0"/>
      <w:sz w:val="30"/>
      <w:szCs w:val="26"/>
      <w:lang w:eastAsia="en-CA"/>
    </w:rPr>
  </w:style>
  <w:style w:type="character" w:customStyle="1" w:styleId="Heading3Char">
    <w:name w:val="Heading 3 Char"/>
    <w:basedOn w:val="DefaultParagraphFont"/>
    <w:link w:val="Heading3"/>
    <w:uiPriority w:val="9"/>
    <w:rsid w:val="00676180"/>
    <w:rPr>
      <w:rFonts w:ascii="HPE Graphik Semibold" w:eastAsiaTheme="majorEastAsia" w:hAnsi="HPE Graphik Semibold" w:cstheme="majorBidi"/>
      <w:color w:val="000000" w:themeColor="text1"/>
      <w:kern w:val="0"/>
      <w:sz w:val="20"/>
      <w:szCs w:val="24"/>
      <w:lang w:eastAsia="en-CA"/>
    </w:rPr>
  </w:style>
  <w:style w:type="character" w:customStyle="1" w:styleId="Heading4Char">
    <w:name w:val="Heading 4 Char"/>
    <w:basedOn w:val="DefaultParagraphFont"/>
    <w:link w:val="Heading4"/>
    <w:uiPriority w:val="9"/>
    <w:rsid w:val="00676180"/>
    <w:rPr>
      <w:rFonts w:ascii="HPE Graphik" w:eastAsiaTheme="majorEastAsia" w:hAnsi="HPE Graphik" w:cstheme="majorBidi"/>
      <w:iCs/>
      <w:color w:val="000000" w:themeColor="text1"/>
      <w:kern w:val="0"/>
      <w:sz w:val="20"/>
      <w:lang w:eastAsia="en-CA"/>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60A7F"/>
    <w:rPr>
      <w:rFonts w:ascii="HPE Graphik Semibold" w:hAnsi="HPE Graphik Semibold"/>
      <w:b w:val="0"/>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991BC9"/>
    <w:pPr>
      <w:keepLines/>
      <w:spacing w:before="240" w:after="240"/>
    </w:pPr>
    <w:rPr>
      <w:rFonts w:ascii="HPE Graphik Medium" w:hAnsi="HPE Graphik Medium"/>
      <w:iCs/>
      <w:color w:val="01A982"/>
      <w:sz w:val="24"/>
    </w:rPr>
  </w:style>
  <w:style w:type="character" w:customStyle="1" w:styleId="QuoteChar">
    <w:name w:val="Quote Char"/>
    <w:basedOn w:val="DefaultParagraphFont"/>
    <w:link w:val="Quote"/>
    <w:uiPriority w:val="29"/>
    <w:rsid w:val="00991BC9"/>
    <w:rPr>
      <w:rFonts w:ascii="HPE Graphik Medium" w:hAnsi="HPE Graphik Medium" w:cs="Aptos"/>
      <w:iCs/>
      <w:color w:val="01A982"/>
      <w:kern w:val="0"/>
      <w:sz w:val="24"/>
      <w:lang w:eastAsia="en-CA"/>
    </w:rPr>
  </w:style>
  <w:style w:type="character" w:styleId="Hyperlink">
    <w:name w:val="Hyperlink"/>
    <w:basedOn w:val="DefaultParagraphFont"/>
    <w:uiPriority w:val="99"/>
    <w:unhideWhenUsed/>
    <w:qFormat/>
    <w:rsid w:val="00FD36E8"/>
    <w:rPr>
      <w:rFonts w:ascii="HPE Graphik" w:hAnsi="HPE Graphik"/>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semiHidden/>
    <w:unhideWhenUsed/>
    <w:rsid w:val="00023D60"/>
    <w:pPr>
      <w:numPr>
        <w:numId w:val="6"/>
      </w:numPr>
      <w:contextualSpacing/>
    </w:pPr>
  </w:style>
  <w:style w:type="paragraph" w:styleId="ListBullet2">
    <w:name w:val="List Bullet 2"/>
    <w:basedOn w:val="Normal"/>
    <w:uiPriority w:val="99"/>
    <w:semiHidden/>
    <w:unhideWhenUsed/>
    <w:rsid w:val="00023D60"/>
    <w:pPr>
      <w:numPr>
        <w:numId w:val="7"/>
      </w:numPr>
      <w:contextualSpacing/>
    </w:pPr>
  </w:style>
  <w:style w:type="paragraph" w:styleId="ListBullet3">
    <w:name w:val="List Bullet 3"/>
    <w:basedOn w:val="Normal"/>
    <w:uiPriority w:val="99"/>
    <w:semiHidden/>
    <w:unhideWhenUsed/>
    <w:rsid w:val="00023D60"/>
    <w:pPr>
      <w:numPr>
        <w:numId w:val="8"/>
      </w:numPr>
      <w:contextualSpacing/>
    </w:pPr>
  </w:style>
  <w:style w:type="paragraph" w:styleId="ListBullet4">
    <w:name w:val="List Bullet 4"/>
    <w:basedOn w:val="Normal"/>
    <w:uiPriority w:val="99"/>
    <w:semiHidden/>
    <w:unhideWhenUsed/>
    <w:rsid w:val="00023D60"/>
    <w:pPr>
      <w:numPr>
        <w:numId w:val="9"/>
      </w:numPr>
      <w:contextualSpacing/>
    </w:pPr>
  </w:style>
  <w:style w:type="paragraph" w:styleId="ListBullet5">
    <w:name w:val="List Bullet 5"/>
    <w:basedOn w:val="Normal"/>
    <w:uiPriority w:val="99"/>
    <w:semiHidden/>
    <w:unhideWhenUsed/>
    <w:rsid w:val="00023D60"/>
    <w:pPr>
      <w:numPr>
        <w:numId w:val="10"/>
      </w:numPr>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991BC9"/>
    <w:pPr>
      <w:spacing w:after="360"/>
    </w:pPr>
    <w:rPr>
      <w:rFonts w:ascii="HPE Graphik Medium" w:eastAsia="Times New Roman" w:hAnsi="HPE Graphik Medium" w:cs="Times New Roman"/>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rPr>
      <w:rFonts w:cstheme="minorHAnsi"/>
      <w:bCs/>
      <w:szCs w:val="20"/>
    </w:rPr>
  </w:style>
  <w:style w:type="paragraph" w:styleId="TOC2">
    <w:name w:val="toc 2"/>
    <w:basedOn w:val="Normal"/>
    <w:next w:val="Normal"/>
    <w:autoRedefine/>
    <w:uiPriority w:val="39"/>
    <w:unhideWhenUsed/>
    <w:rsid w:val="00023D60"/>
    <w:pPr>
      <w:ind w:left="142"/>
    </w:pPr>
    <w:rPr>
      <w:rFonts w:cstheme="minorHAnsi"/>
      <w:szCs w:val="20"/>
    </w:rPr>
  </w:style>
  <w:style w:type="paragraph" w:styleId="TOC3">
    <w:name w:val="toc 3"/>
    <w:basedOn w:val="Normal"/>
    <w:next w:val="Normal"/>
    <w:autoRedefine/>
    <w:uiPriority w:val="39"/>
    <w:unhideWhenUsed/>
    <w:rsid w:val="00023D60"/>
    <w:pPr>
      <w:ind w:left="284"/>
    </w:pPr>
    <w:rPr>
      <w:rFonts w:cstheme="minorHAnsi"/>
      <w:iCs/>
      <w:szCs w:val="20"/>
    </w:rPr>
  </w:style>
  <w:style w:type="paragraph" w:styleId="TOC4">
    <w:name w:val="toc 4"/>
    <w:basedOn w:val="Normal"/>
    <w:next w:val="Normal"/>
    <w:autoRedefine/>
    <w:uiPriority w:val="39"/>
    <w:unhideWhenUsed/>
    <w:rsid w:val="00006801"/>
    <w:pPr>
      <w:ind w:left="576"/>
    </w:pPr>
    <w:rPr>
      <w:rFonts w:cstheme="minorHAnsi"/>
      <w:szCs w:val="18"/>
    </w:rPr>
  </w:style>
  <w:style w:type="paragraph" w:styleId="TOCHeading">
    <w:name w:val="TOC Heading"/>
    <w:basedOn w:val="Heading1"/>
    <w:next w:val="Normal"/>
    <w:uiPriority w:val="39"/>
    <w:unhideWhenUsed/>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5"/>
      </w:numPr>
    </w:pPr>
  </w:style>
  <w:style w:type="paragraph" w:styleId="Caption">
    <w:name w:val="caption"/>
    <w:basedOn w:val="Normal"/>
    <w:next w:val="Normal"/>
    <w:uiPriority w:val="35"/>
    <w:semiHidden/>
    <w:unhideWhenUsed/>
    <w:rsid w:val="00023D60"/>
    <w:rPr>
      <w:i/>
      <w:iCs/>
      <w:color w:val="000000" w:themeColor="text1"/>
    </w:rPr>
  </w:style>
  <w:style w:type="paragraph" w:styleId="BodyText">
    <w:name w:val="Body Text"/>
    <w:basedOn w:val="Normal"/>
    <w:link w:val="BodyTextChar"/>
    <w:uiPriority w:val="99"/>
    <w:semiHidden/>
    <w:unhideWhenUsed/>
    <w:rsid w:val="00023D60"/>
  </w:style>
  <w:style w:type="character" w:customStyle="1" w:styleId="BodyTextChar">
    <w:name w:val="Body Text Char"/>
    <w:basedOn w:val="DefaultParagraphFont"/>
    <w:link w:val="BodyText"/>
    <w:uiPriority w:val="99"/>
    <w:semiHidden/>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rsid w:val="00023D60"/>
    <w:rPr>
      <w:rFonts w:ascii="Arial" w:hAnsi="Arial"/>
      <w:b/>
      <w:u w:val="single"/>
      <w:lang w:val="en-US"/>
    </w:rPr>
  </w:style>
  <w:style w:type="paragraph" w:customStyle="1" w:styleId="BulletLevel1">
    <w:name w:val="Bullet Level 1"/>
    <w:uiPriority w:val="11"/>
    <w:rsid w:val="00BB542F"/>
    <w:pPr>
      <w:tabs>
        <w:tab w:val="left" w:pos="187"/>
      </w:tabs>
      <w:spacing w:after="115" w:line="220" w:lineRule="exact"/>
      <w:ind w:left="187" w:hanging="187"/>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2"/>
      </w:numPr>
    </w:pPr>
  </w:style>
  <w:style w:type="paragraph" w:customStyle="1" w:styleId="BulletLevel2">
    <w:name w:val="Bullet Level 2"/>
    <w:basedOn w:val="Normal"/>
    <w:uiPriority w:val="15"/>
    <w:rsid w:val="00BB542F"/>
    <w:pPr>
      <w:tabs>
        <w:tab w:val="left" w:pos="374"/>
      </w:tabs>
      <w:spacing w:after="115" w:line="220" w:lineRule="exact"/>
      <w:ind w:left="374" w:hanging="187"/>
    </w:pPr>
    <w:rPr>
      <w:rFonts w:eastAsia="Times New Roman" w:cs="Times New Roman"/>
      <w:szCs w:val="24"/>
      <w:lang w:val="en-US"/>
    </w:rPr>
  </w:style>
  <w:style w:type="character" w:customStyle="1" w:styleId="Heading8Char">
    <w:name w:val="Heading 8 Char"/>
    <w:basedOn w:val="DefaultParagraphFont"/>
    <w:link w:val="Heading8"/>
    <w:uiPriority w:val="9"/>
    <w:semiHidden/>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semiHidden/>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rsid w:val="00E10D0C"/>
    <w:pPr>
      <w:ind w:left="720"/>
    </w:pPr>
  </w:style>
  <w:style w:type="paragraph" w:customStyle="1" w:styleId="BulletLevel3">
    <w:name w:val="Bullet Level 3"/>
    <w:uiPriority w:val="19"/>
    <w:rsid w:val="00BB542F"/>
    <w:pPr>
      <w:tabs>
        <w:tab w:val="left" w:pos="562"/>
      </w:tabs>
      <w:spacing w:after="115" w:line="220" w:lineRule="exact"/>
      <w:ind w:left="561" w:hanging="187"/>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B542F"/>
    <w:pPr>
      <w:spacing w:after="216"/>
    </w:pPr>
  </w:style>
  <w:style w:type="numbering" w:customStyle="1" w:styleId="ListHPENumber">
    <w:name w:val="List HPE Number"/>
    <w:basedOn w:val="NoList"/>
    <w:uiPriority w:val="99"/>
    <w:rsid w:val="004E41B4"/>
    <w:pPr>
      <w:numPr>
        <w:numId w:val="14"/>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676180"/>
    <w:pPr>
      <w:spacing w:before="360" w:after="160" w:line="240" w:lineRule="atLeast"/>
    </w:pPr>
    <w:rPr>
      <w:rFonts w:ascii="HPE Graphik Semibold" w:hAnsi="HPE Graphik Semibold"/>
      <w:sz w:val="40"/>
    </w:rPr>
  </w:style>
  <w:style w:type="character" w:customStyle="1" w:styleId="HeadingChar">
    <w:name w:val="Heading Char"/>
    <w:basedOn w:val="DefaultParagraphFont"/>
    <w:link w:val="Heading"/>
    <w:rsid w:val="00676180"/>
    <w:rPr>
      <w:rFonts w:ascii="HPE Graphik Semibold" w:hAnsi="HPE Graphik Semibold" w:cs="Aptos"/>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qFormat/>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21"/>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rsid w:val="00FA7C46"/>
    <w:pPr>
      <w:snapToGrid w:val="0"/>
      <w:spacing w:before="144" w:line="240" w:lineRule="atLeast"/>
    </w:pPr>
    <w:rPr>
      <w:rFonts w:ascii="HPE Graphik Semibold" w:eastAsia="Calibri" w:hAnsi="HPE Graphik Semibold"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odyTextHPEGraphikLight10pt">
    <w:name w:val="Body Text HPE Graphik Light 10pt"/>
    <w:uiPriority w:val="99"/>
    <w:rsid w:val="00E4204F"/>
    <w:pPr>
      <w:spacing w:line="240" w:lineRule="atLeast"/>
    </w:pPr>
    <w:rPr>
      <w:rFonts w:ascii="HPE Graphik Light" w:eastAsia="Times New Roman" w:hAnsi="HPE Graphik Light" w:cs="Times New Roman"/>
      <w:kern w:val="0"/>
      <w:sz w:val="20"/>
      <w:szCs w:val="18"/>
      <w:lang w:val="en-US"/>
      <w14:ligatures w14:val="none"/>
    </w:rPr>
  </w:style>
  <w:style w:type="paragraph" w:customStyle="1" w:styleId="Caption-Figure">
    <w:name w:val="Caption - Figur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1B64F1"/>
    <w:pPr>
      <w:spacing w:before="480" w:after="180" w:line="600" w:lineRule="exact"/>
      <w:ind w:left="142" w:hanging="142"/>
    </w:pPr>
    <w:rPr>
      <w:rFonts w:eastAsia="Times New Roman" w:cs="Times New Roman"/>
      <w:sz w:val="6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cid:image001.png@01DC4272.93ED9C40" TargetMode="External"/><Relationship Id="rId26" Type="http://schemas.openxmlformats.org/officeDocument/2006/relationships/image" Target="media/image18.sv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http://hpe.com/"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svg"/><Relationship Id="rId32" Type="http://schemas.openxmlformats.org/officeDocument/2006/relationships/image" Target="media/image24.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hpe.com/global/hpechat/index.html?jumpid=Collaterals_aXXXXXXXXENW"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hpe.com/global/hpechat/index.html?jumpid=Collaterals_a5000XXXXENW" TargetMode="External"/><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30.png"/><Relationship Id="rId200" Type="http://schemas.openxmlformats.org/officeDocument/2006/relationships/image" Target="media/image100.png"/><Relationship Id="rId201" Type="http://schemas.openxmlformats.org/officeDocument/2006/relationships/image" Target="media/image101.png"/><Relationship Id="rId202" Type="http://schemas.openxmlformats.org/officeDocument/2006/relationships/image" Target="media/image102.png"/><Relationship Id="rId203" Type="http://schemas.openxmlformats.org/officeDocument/2006/relationships/image" Target="media/image103.png"/><Relationship Id="rId204" Type="http://schemas.openxmlformats.org/officeDocument/2006/relationships/image" Target="media/image104.png"/><Relationship Id="rId205" Type="http://schemas.openxmlformats.org/officeDocument/2006/relationships/image" Target="media/image105.png"/><Relationship Id="rId206" Type="http://schemas.openxmlformats.org/officeDocument/2006/relationships/image" Target="media/image106.png"/><Relationship Id="rId207" Type="http://schemas.openxmlformats.org/officeDocument/2006/relationships/image" Target="media/image107.png"/><Relationship Id="rId208" Type="http://schemas.openxmlformats.org/officeDocument/2006/relationships/image" Target="media/image108.png"/><Relationship Id="rId209" Type="http://schemas.openxmlformats.org/officeDocument/2006/relationships/image" Target="media/image109.png"/><Relationship Id="rId210" Type="http://schemas.openxmlformats.org/officeDocument/2006/relationships/image" Target="media/image110.png"/><Relationship Id="rId211" Type="http://schemas.openxmlformats.org/officeDocument/2006/relationships/image" Target="media/image111.png"/><Relationship Id="rId212" Type="http://schemas.openxmlformats.org/officeDocument/2006/relationships/image" Target="media/image112.png"/><Relationship Id="rId213" Type="http://schemas.openxmlformats.org/officeDocument/2006/relationships/image" Target="media/image113.png"/><Relationship Id="rId214" Type="http://schemas.openxmlformats.org/officeDocument/2006/relationships/image" Target="media/image114.png"/><Relationship Id="rId215" Type="http://schemas.openxmlformats.org/officeDocument/2006/relationships/image" Target="media/image115.png"/><Relationship Id="rId216" Type="http://schemas.openxmlformats.org/officeDocument/2006/relationships/image" Target="media/image116.png"/><Relationship Id="rId217" Type="http://schemas.openxmlformats.org/officeDocument/2006/relationships/image" Target="media/image117.png"/><Relationship Id="rId218" Type="http://schemas.openxmlformats.org/officeDocument/2006/relationships/image" Target="media/image118.png"/><Relationship Id="rId219" Type="http://schemas.openxmlformats.org/officeDocument/2006/relationships/image" Target="media/image119.png"/><Relationship Id="rId220" Type="http://schemas.openxmlformats.org/officeDocument/2006/relationships/image" Target="media/image120.png"/><Relationship Id="rId221" Type="http://schemas.openxmlformats.org/officeDocument/2006/relationships/image" Target="media/image121.png"/><Relationship Id="rId222" Type="http://schemas.openxmlformats.org/officeDocument/2006/relationships/image" Target="media/image122.png"/><Relationship Id="rId223" Type="http://schemas.openxmlformats.org/officeDocument/2006/relationships/image" Target="media/image123.png"/><Relationship Id="rId224" Type="http://schemas.openxmlformats.org/officeDocument/2006/relationships/image" Target="media/image124.png"/><Relationship Id="rId225" Type="http://schemas.openxmlformats.org/officeDocument/2006/relationships/image" Target="media/image125.png"/><Relationship Id="rId226" Type="http://schemas.openxmlformats.org/officeDocument/2006/relationships/image" Target="media/image126.png"/><Relationship Id="rId227" Type="http://schemas.openxmlformats.org/officeDocument/2006/relationships/image" Target="media/image127.png"/><Relationship Id="rId228" Type="http://schemas.openxmlformats.org/officeDocument/2006/relationships/image" Target="media/image128.png"/><Relationship Id="rId229" Type="http://schemas.openxmlformats.org/officeDocument/2006/relationships/image" Target="media/image129.png"/><Relationship Id="rId230" Type="http://schemas.openxmlformats.org/officeDocument/2006/relationships/image" Target="media/image130.png"/><Relationship Id="rId231" Type="http://schemas.openxmlformats.org/officeDocument/2006/relationships/image" Target="media/image131.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5.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4.png"/><Relationship Id="rId5" Type="http://schemas.openxmlformats.org/officeDocument/2006/relationships/image" Target="../media/image33.jpg"/><Relationship Id="rId4" Type="http://schemas.openxmlformats.org/officeDocument/2006/relationships/image" Target="../media/image32.pn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HPE Graphik Cover 1"/>
        <w:style w:val="Normal"/>
        <w:category>
          <w:name w:val="General"/>
          <w:gallery w:val="coverPg"/>
        </w:category>
        <w:behaviors>
          <w:behavior w:val="pg"/>
        </w:behaviors>
        <w:guid w:val="{C7778A51-9032-4AF2-93A3-46417CB12A66}"/>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3240" w:after="360"/>
            <w:ind w:right="4320"/>
          </w:pPr>
          <w:r>
            <w:rPr>
              <w:noProof/>
              <w14:ligatures w14:val="standardContextual"/>
            </w:rPr>
            <w:drawing>
              <wp:anchor distT="0" distB="0" distL="114300" distR="114300" simplePos="0" relativeHeight="251659264" behindDoc="1" locked="0" layoutInCell="1" allowOverlap="1" wp14:anchorId="29684CA0" wp14:editId="21506F5E">
                <wp:simplePos x="0" y="0"/>
                <wp:positionH relativeFrom="margin">
                  <wp:align>center</wp:align>
                </wp:positionH>
                <wp:positionV relativeFrom="paragraph">
                  <wp:posOffset>513475</wp:posOffset>
                </wp:positionV>
                <wp:extent cx="7744460" cy="8994475"/>
                <wp:effectExtent l="0" t="0" r="8890" b="0"/>
                <wp:wrapNone/>
                <wp:docPr id="1890586740" name="Picture 3"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blue and green gradien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45182" cy="8995313"/>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
      <w:docPartPr>
        <w:name w:val="HPE Graphik Cover 2"/>
        <w:style w:val="Normal"/>
        <w:category>
          <w:name w:val="General"/>
          <w:gallery w:val="coverPg"/>
        </w:category>
        <w:behaviors>
          <w:behavior w:val="pg"/>
        </w:behaviors>
        <w:guid w:val="{1CA6386D-7ADF-4C5A-9F10-BE4F17C474A0}"/>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3000" w:after="360"/>
            <w:ind w:right="4320"/>
          </w:pPr>
          <w:r>
            <w:rPr>
              <w:noProof/>
              <w14:ligatures w14:val="standardContextual"/>
            </w:rPr>
            <w:drawing>
              <wp:anchor distT="0" distB="0" distL="114300" distR="114300" simplePos="0" relativeHeight="251661312" behindDoc="1" locked="0" layoutInCell="1" allowOverlap="1" wp14:anchorId="10ADE8E7" wp14:editId="3921DA82">
                <wp:simplePos x="0" y="0"/>
                <wp:positionH relativeFrom="page">
                  <wp:align>right</wp:align>
                </wp:positionH>
                <wp:positionV relativeFrom="paragraph">
                  <wp:posOffset>513979</wp:posOffset>
                </wp:positionV>
                <wp:extent cx="7769333" cy="8993282"/>
                <wp:effectExtent l="0" t="0" r="3175" b="0"/>
                <wp:wrapNone/>
                <wp:docPr id="1831491511" name="Picture 3" descr="A white squa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white square on a white surfa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769333" cy="8993282"/>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
      <w:docPartPr>
        <w:name w:val="HPE Graphik Cover 3"/>
        <w:style w:val="Normal"/>
        <w:category>
          <w:name w:val="General"/>
          <w:gallery w:val="coverPg"/>
        </w:category>
        <w:behaviors>
          <w:behavior w:val="pg"/>
        </w:behaviors>
        <w:guid w:val="{06BAE866-3CE6-4EC4-B463-D30620B7FF0C}"/>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7500" w:after="360"/>
            <w:ind w:right="4320"/>
          </w:pPr>
          <w:r>
            <w:rPr>
              <w:noProof/>
              <w14:ligatures w14:val="standardContextual"/>
            </w:rPr>
            <w:drawing>
              <wp:anchor distT="0" distB="0" distL="114300" distR="114300" simplePos="0" relativeHeight="251664384" behindDoc="0" locked="0" layoutInCell="1" allowOverlap="1" wp14:anchorId="31B76E96" wp14:editId="651A4A54">
                <wp:simplePos x="0" y="0"/>
                <wp:positionH relativeFrom="column">
                  <wp:posOffset>1401098</wp:posOffset>
                </wp:positionH>
                <wp:positionV relativeFrom="paragraph">
                  <wp:posOffset>1830295</wp:posOffset>
                </wp:positionV>
                <wp:extent cx="5263480" cy="2315210"/>
                <wp:effectExtent l="0" t="0" r="0" b="8890"/>
                <wp:wrapNone/>
                <wp:docPr id="1932145343" name="Picture 1" descr="A grey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5343" name="Picture 1" descr="A grey background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3256" cy="2323909"/>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3360" behindDoc="1" locked="0" layoutInCell="1" allowOverlap="1" wp14:anchorId="3CA2708D" wp14:editId="23AA0F16">
                <wp:simplePos x="0" y="0"/>
                <wp:positionH relativeFrom="page">
                  <wp:posOffset>11502</wp:posOffset>
                </wp:positionH>
                <wp:positionV relativeFrom="paragraph">
                  <wp:posOffset>399259</wp:posOffset>
                </wp:positionV>
                <wp:extent cx="7769333" cy="5312055"/>
                <wp:effectExtent l="0" t="0" r="3175" b="3175"/>
                <wp:wrapNone/>
                <wp:docPr id="749667729" name="Picture 3"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white rectangular object with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69333" cy="5312055"/>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panose1 w:val="020B0604020204020204"/>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HPE">
    <w:altName w:val="Calibri"/>
    <w:panose1 w:val="020B0503030202060203"/>
    <w:charset w:val="00"/>
    <w:family w:val="swiss"/>
    <w:notTrueType/>
    <w:pitch w:val="variable"/>
    <w:sig w:usb0="00000007" w:usb1="00000000" w:usb2="00000000" w:usb3="00000000" w:csb0="00000093" w:csb1="00000000"/>
  </w:font>
  <w:font w:name="MetricHPE-Light">
    <w:altName w:val="Cambria"/>
    <w:panose1 w:val="00000000000000000000"/>
    <w:charset w:val="00"/>
    <w:family w:val="roman"/>
    <w:notTrueType/>
    <w:pitch w:val="default"/>
  </w:font>
  <w:font w:name="MetricHPE Semibold">
    <w:altName w:val="Calibri"/>
    <w:panose1 w:val="020B0703030202060203"/>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38"/>
    <w:rsid w:val="00010B09"/>
    <w:rsid w:val="00067AC0"/>
    <w:rsid w:val="00191CC7"/>
    <w:rsid w:val="003B370D"/>
    <w:rsid w:val="006E7E96"/>
    <w:rsid w:val="00783938"/>
    <w:rsid w:val="008438ED"/>
    <w:rsid w:val="0085038E"/>
    <w:rsid w:val="008520E7"/>
    <w:rsid w:val="009254DE"/>
    <w:rsid w:val="0098774B"/>
    <w:rsid w:val="00A95346"/>
    <w:rsid w:val="00B013E2"/>
    <w:rsid w:val="00B12EEE"/>
    <w:rsid w:val="00BF1258"/>
    <w:rsid w:val="00DA31E1"/>
    <w:rsid w:val="00E46AAC"/>
    <w:rsid w:val="00F53FA9"/>
    <w:rsid w:val="00FD6A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93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Headline36ptstandard">
    <w:name w:val="Cover: Headline 36 pt standard"/>
    <w:basedOn w:val="Normal"/>
    <w:uiPriority w:val="99"/>
    <w:rsid w:val="00783938"/>
    <w:pPr>
      <w:spacing w:after="200" w:line="700" w:lineRule="exact"/>
      <w:ind w:right="720"/>
    </w:pPr>
    <w:rPr>
      <w:rFonts w:ascii="HPE Graphik Medium" w:eastAsia="Times" w:hAnsi="HPE Graphik Medium"/>
      <w:kern w:val="0"/>
      <w:sz w:val="72"/>
      <w:szCs w:val="64"/>
      <w:lang w:val="en-US" w:eastAsia="en-US"/>
      <w14:ligatures w14:val="none"/>
    </w:rPr>
  </w:style>
  <w:style w:type="paragraph" w:customStyle="1" w:styleId="CoverSubtitle">
    <w:name w:val="Cover: Subtitle"/>
    <w:uiPriority w:val="74"/>
    <w:rsid w:val="00783938"/>
    <w:pPr>
      <w:spacing w:line="360" w:lineRule="exact"/>
      <w:ind w:right="720"/>
    </w:pPr>
    <w:rPr>
      <w:rFonts w:ascii="HPE Graphik Medium" w:eastAsia="Times New Roman" w:hAnsi="HPE Graphik Medium" w:cs="Times New Roman"/>
      <w:color w:val="000000"/>
      <w:kern w:val="0"/>
      <w:sz w:val="30"/>
      <w:szCs w:val="18"/>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HPE_Graphik_A4.dotx</Template>
  <TotalTime>4</TotalTime>
  <Pages>16</Pages>
  <Words>4724</Words>
  <Characters>23480</Characters>
  <Application>Microsoft Office Word</Application>
  <DocSecurity>0</DocSecurity>
  <Lines>634</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Stephanie (she/her)</dc:creator>
  <cp:keywords/>
  <dc:description/>
  <cp:lastModifiedBy>Zudrak, Marcin</cp:lastModifiedBy>
  <cp:revision>4</cp:revision>
  <dcterms:created xsi:type="dcterms:W3CDTF">2025-11-04T16:50:00Z</dcterms:created>
  <dcterms:modified xsi:type="dcterms:W3CDTF">2026-04-15T10:06:00Z</dcterms:modified>
</cp:coreProperties>
</file>