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body>
    <w:p>
      <w:pPr>
        <w:pStyle w:val="Title"/>
      </w:pPr>
      <w:r>
        <w:t>Aruba Central NAC — EAP-TLS avec Jamf Pro</w:t>
      </w:r>
    </w:p>
    <w:p>
      <w:pPr>
        <w:pStyle w:val="Subtitle"/>
      </w:pPr>
      <w:r>
        <w:t>Onboarding complet : Aruba Central + Jamf Pro (UEM Onboarding, PKI SCEP, EAP-TLS)</w:t>
      </w:r>
    </w:p>
    <w:p>
      <w:pPr>
        <w:pStyle w:val="CoverSubtitle"/>
      </w:pPr>
      <w:r>
        <w:t>Technote interne — Nicolas Culetto, HPE Aruba Networking</w:t>
      </w:r>
    </w:p>
    <w:p>
      <w:pPr>
        <w:pStyle w:val="CoverSubtitle"/>
      </w:pPr>
      <w:r>
        <w:t>Septembre 2026</w:t>
      </w:r>
    </w:p>
    <w:p>
      <w:r>
        <w:br w:type="page"/>
      </w:r>
    </w:p>
    <w:p>
      <w:pPr>
        <w:pStyle w:val="TOCHeading"/>
      </w:pPr>
      <w:r>
        <w:t>Sommaire</w:t>
      </w:r>
    </w:p>
    <w:sdt>
      <w:sdtPr>
        <w:docPartObj>
          <w:docPartGallery w:val="Table of Contents"/>
          <w:docPartUnique/>
        </w:docPartObj>
      </w:sdtPr>
      <w:sdtContent>
        <w:p>
          <w:pPr>
            <w:pStyle w:val="TOC1"/>
          </w:pPr>
          <w:r>
            <w:fldChar w:fldCharType="begin" w:dirty="true"/>
          </w:r>
          <w:r>
            <w:instrText xml:space="preserve"> TOC \o "1-3" \h \z \u </w:instrText>
          </w:r>
          <w:r>
            <w:fldChar w:fldCharType="separate"/>
          </w:r>
          <w:r>
            <w:rPr>
              <w:i/>
              <w:color w:val="808080"/>
            </w:rPr>
            <w:t xml:space="preserve">Clic droit → Mettre à jour les champs pour générer le sommaire.</w:t>
          </w:r>
          <w:r>
            <w:fldChar w:fldCharType="end"/>
          </w:r>
        </w:p>
      </w:sdtContent>
    </w:sdt>
    <w:p>
      <w:r>
        <w:br w:type="page"/>
      </w:r>
    </w:p>
    <w:p>
      <w:pPr>
        <w:pStyle w:val="Heading1"/>
      </w:pPr>
      <w:r>
        <w:t xml:space="preserve">Overview</w:t>
      </w:r>
    </w:p>
    <w:p>
      <w:r>
        <w:t xml:space="preserve">Aruba Central NAC peut utiliser une plateforme UEM (Unified Endpoint Management) pour distribuer les profils nécessaires aux terminaux tout en conservant l'émission des certificats dans la PKI Central NAC. Ce document couvre l'intégration complète avec </w:t>
      </w:r>
      <w:r>
        <w:rPr>
          <w:b/>
        </w:rPr>
        <w:t xml:space="preserve">Jamf Pro</w:t>
      </w:r>
      <w:r>
        <w:t xml:space="preserve"> : configuration côté Aruba Central (extension Jamf, identity store, rôles, policies, SSID) et configuration côté Jamf Pro (PKI/SCEP, profils de configuration, enrôlement des terminaux Apple).</w:t>
      </w:r>
    </w:p>
    <w:p>
      <w:r>
        <w:t xml:space="preserve">Cette intégration n'est documentée nulle part ailleurs à ce jour, ni chez HPE ni chez Jamf. Ce document a vocation à combler ce vide — il est adapté de la technote HPE Aruba Networking officielle sur l'onboarding avec Microsoft Intune, appliquée et validée ici avec Jamf Pro.</w:t>
      </w:r>
    </w:p>
    <w:tbl>
      <w:tblPr>
        <w:tblStyle w:val="HPETable"/>
        <w:tblW w:w="10466" w:type="dxa"/>
        <w:tblLook w:val="04A0" w:firstRow="1" w:lastRow="0" w:firstColumn="0" w:lastColumn="0" w:noHBand="0" w:noVBand="1"/>
      </w:tblPr>
      <w:tblGrid>
        <w:gridCol w:w="5233"/>
        <w:gridCol w:w="5233"/>
      </w:tblGrid>
      <w:tr>
        <w:tc>
          <w:tcPr>
            <w:tcW w:w="5233" w:type="dxa"/>
          </w:tcPr>
          <w:p>
            <w:r>
              <w:rPr>
                <w:b/>
              </w:rPr>
              <w:t xml:space="preserve">Composant</w:t>
            </w:r>
          </w:p>
        </w:tc>
        <w:tc>
          <w:tcPr>
            <w:tcW w:w="5233" w:type="dxa"/>
          </w:tcPr>
          <w:p>
            <w:r>
              <w:rPr>
                <w:b/>
              </w:rPr>
              <w:t xml:space="preserve">Valeur</w:t>
            </w:r>
          </w:p>
        </w:tc>
      </w:tr>
      <w:tr>
        <w:tc>
          <w:tcPr>
            <w:tcW w:w="5233" w:type="dxa"/>
          </w:tcPr>
          <w:p>
            <w:r>
              <w:t xml:space="preserve">Souscription</w:t>
            </w:r>
          </w:p>
        </w:tc>
        <w:tc>
          <w:tcPr>
            <w:tcW w:w="5233" w:type="dxa"/>
          </w:tcPr>
          <w:p>
            <w:r>
              <w:t xml:space="preserve">Aruba Central NAC — Central Foundation</w:t>
            </w:r>
          </w:p>
        </w:tc>
      </w:tr>
      <w:tr>
        <w:tc>
          <w:tcPr>
            <w:tcW w:w="5233" w:type="dxa"/>
          </w:tcPr>
          <w:p>
            <w:r>
              <w:t xml:space="preserve">Identity store</w:t>
            </w:r>
          </w:p>
        </w:tc>
        <w:tc>
          <w:tcPr>
            <w:tcW w:w="5233" w:type="dxa"/>
          </w:tcPr>
          <w:p>
            <w:r>
              <w:t xml:space="preserve">Microsoft EntraID</w:t>
            </w:r>
          </w:p>
        </w:tc>
      </w:tr>
      <w:tr>
        <w:tc>
          <w:tcPr>
            <w:tcW w:w="5233" w:type="dxa"/>
          </w:tcPr>
          <w:p>
            <w:r>
              <w:t xml:space="preserve">UEM</w:t>
            </w:r>
          </w:p>
        </w:tc>
        <w:tc>
          <w:tcPr>
            <w:tcW w:w="5233" w:type="dxa"/>
          </w:tcPr>
          <w:p>
            <w:r>
              <w:t xml:space="preserve">Jamf Pro Cloud (&lt;tenant-jamf&gt;.jamfcloud.com), v11.32</w:t>
            </w:r>
          </w:p>
        </w:tc>
      </w:tr>
      <w:tr>
        <w:tc>
          <w:tcPr>
            <w:tcW w:w="5233" w:type="dxa"/>
          </w:tcPr>
          <w:p>
            <w:r>
              <w:t xml:space="preserve">Cloud IdP (côté Jamf)</w:t>
            </w:r>
          </w:p>
        </w:tc>
        <w:tc>
          <w:tcPr>
            <w:tcW w:w="5233" w:type="dxa"/>
          </w:tcPr>
          <w:p>
            <w:r>
              <w:t xml:space="preserve">Microsoft EntraID</w:t>
            </w:r>
          </w:p>
        </w:tc>
      </w:tr>
      <w:tr>
        <w:tc>
          <w:tcPr>
            <w:tcW w:w="5233" w:type="dxa"/>
          </w:tcPr>
          <w:p>
            <w:r>
              <w:t xml:space="preserve">SSID</w:t>
            </w:r>
          </w:p>
        </w:tc>
        <w:tc>
          <w:tcPr>
            <w:tcW w:w="5233" w:type="dxa"/>
          </w:tcPr>
          <w:p>
            <w:r>
              <w:t xml:space="preserve">luconik-jamf</w:t>
            </w:r>
          </w:p>
        </w:tc>
      </w:tr>
      <w:tr>
        <w:tc>
          <w:tcPr>
            <w:tcW w:w="5233" w:type="dxa"/>
          </w:tcPr>
          <w:p>
            <w:r>
              <w:t xml:space="preserve">Sécurité SSID</w:t>
            </w:r>
          </w:p>
        </w:tc>
        <w:tc>
          <w:tcPr>
            <w:tcW w:w="5233" w:type="dxa"/>
          </w:tcPr>
          <w:p>
            <w:r>
              <w:t xml:space="preserve">WPA3-Enterprise (CCMP-128), EAP-TLS</w:t>
            </w:r>
          </w:p>
        </w:tc>
      </w:tr>
      <w:tr>
        <w:tc>
          <w:tcPr>
            <w:tcW w:w="5233" w:type="dxa"/>
          </w:tcPr>
          <w:p>
            <w:r>
              <w:t xml:space="preserve">Server Group</w:t>
            </w:r>
          </w:p>
        </w:tc>
        <w:tc>
          <w:tcPr>
            <w:tcW w:w="5233" w:type="dxa"/>
          </w:tcPr>
          <w:p>
            <w:r>
              <w:t xml:space="preserve">Central NAC</w:t>
            </w:r>
          </w:p>
        </w:tc>
      </w:tr>
      <w:tr>
        <w:tc>
          <w:tcPr>
            <w:tcW w:w="5233" w:type="dxa"/>
          </w:tcPr>
          <w:p>
            <w:r>
              <w:t xml:space="preserve">Devices testés</w:t>
            </w:r>
          </w:p>
        </w:tc>
        <w:tc>
          <w:tcPr>
            <w:tcW w:w="5233" w:type="dxa"/>
          </w:tcPr>
          <w:p>
            <w:r>
              <w:t xml:space="preserve">MacBook Pro M1 (macOS 26.6.2), iPad Pro 11 (iPadOS 26.6.1)</w:t>
            </w:r>
          </w:p>
        </w:tc>
      </w:tr>
    </w:tbl>
    <w:p/>
    <w:p>
      <w:pPr>
        <w:pStyle w:val="IntenseQuote"/>
      </w:pPr>
      <w:r>
        <w:rPr>
          <w:b/>
        </w:rPr>
        <w:t xml:space="preserve">ℹ️ Note — niveau de souscription. </w:t>
      </w:r>
      <w:r>
        <w:t xml:space="preserve">L'intégration Jamf décrite ici est disponible avec la souscription Central Foundation. La licence Central (tier supérieur) n'est nécessaire que pour le multi-IdP ou le personal certificate — fonctionnalités non utilisées dans ce lab.</w:t>
      </w:r>
    </w:p>
    <w:p>
      <w:r>
        <w:t xml:space="preserve">Mécanisme du flux, de bout en bout :</w:t>
      </w:r>
    </w:p>
    <w:p>
      <w:pPr>
        <w:pStyle w:val="ListParagraph"/>
        <w:numPr>
          <w:ilvl w:val="0"/>
          <w:numId w:val="500"/>
        </w:numPr>
      </w:pPr>
      <w:r>
        <w:t xml:space="preserve">Le terminal Apple (Mac / iPad) s'enrôle dans Jamf Pro Cloud.</w:t>
      </w:r>
    </w:p>
    <w:p>
      <w:pPr>
        <w:pStyle w:val="ListParagraph"/>
        <w:numPr>
          <w:ilvl w:val="0"/>
          <w:numId w:val="500"/>
        </w:numPr>
      </w:pPr>
      <w:r>
        <w:t xml:space="preserve">Jamf Pro pousse le profil SCEP au terminal.</w:t>
      </w:r>
    </w:p>
    <w:p>
      <w:pPr>
        <w:pStyle w:val="ListParagraph"/>
        <w:numPr>
          <w:ilvl w:val="0"/>
          <w:numId w:val="500"/>
        </w:numPr>
      </w:pPr>
      <w:r>
        <w:t xml:space="preserve">Le terminal déclenche un événement SCEPChallenge auprès de Jamf.</w:t>
      </w:r>
    </w:p>
    <w:p>
      <w:pPr>
        <w:pStyle w:val="ListParagraph"/>
        <w:numPr>
          <w:ilvl w:val="0"/>
          <w:numId w:val="500"/>
        </w:numPr>
      </w:pPr>
      <w:r>
        <w:t xml:space="preserve">Jamf appelle le Webhook de l'extension Jamf de Central avec l'Authorization Header.</w:t>
      </w:r>
    </w:p>
    <w:p>
      <w:pPr>
        <w:pStyle w:val="ListParagraph"/>
        <w:numPr>
          <w:ilvl w:val="0"/>
          <w:numId w:val="500"/>
        </w:numPr>
      </w:pPr>
      <w:r>
        <w:t xml:space="preserve">Central renvoie un challenge à usage unique.</w:t>
      </w:r>
    </w:p>
    <w:p>
      <w:pPr>
        <w:pStyle w:val="ListParagraph"/>
        <w:numPr>
          <w:ilvl w:val="0"/>
          <w:numId w:val="500"/>
        </w:numPr>
      </w:pPr>
      <w:r>
        <w:t xml:space="preserve">Jamf transmet ce challenge au terminal.</w:t>
      </w:r>
    </w:p>
    <w:p>
      <w:pPr>
        <w:pStyle w:val="ListParagraph"/>
        <w:numPr>
          <w:ilvl w:val="0"/>
          <w:numId w:val="500"/>
        </w:numPr>
      </w:pPr>
      <w:r>
        <w:t xml:space="preserve">Le terminal envoie sa requête sur l'URL SCEP de Central.</w:t>
      </w:r>
    </w:p>
    <w:p>
      <w:pPr>
        <w:pStyle w:val="ListParagraph"/>
        <w:numPr>
          <w:ilvl w:val="0"/>
          <w:numId w:val="500"/>
        </w:numPr>
      </w:pPr>
      <w:r>
        <w:t xml:space="preserve">Central NAC émet le certificat client.</w:t>
      </w:r>
    </w:p>
    <w:p>
      <w:pPr>
        <w:pStyle w:val="ListParagraph"/>
        <w:numPr>
          <w:ilvl w:val="0"/>
          <w:numId w:val="500"/>
        </w:numPr>
      </w:pPr>
      <w:r>
        <w:t xml:space="preserve">Le terminal s'authentifie en EAP-TLS sur le SSID luconik-jamf.</w:t>
      </w:r>
    </w:p>
    <w:p>
      <w:pPr>
        <w:pStyle w:val="ListParagraph"/>
        <w:numPr>
          <w:ilvl w:val="0"/>
          <w:numId w:val="500"/>
        </w:numPr>
      </w:pPr>
      <w:r>
        <w:t xml:space="preserve">Central NAC attribue le rôle réseau à partir du groupe EntraID de l'identité.</w:t>
      </w:r>
    </w:p>
    <w:p>
      <w:pPr>
        <w:pStyle w:val="Heading1"/>
      </w:pPr>
      <w:r>
        <w:t xml:space="preserve">Prérequis</w:t>
      </w:r>
    </w:p>
    <w:p>
      <w:pPr>
        <w:pStyle w:val="ListParagraph"/>
        <w:numPr>
          <w:ilvl w:val="0"/>
          <w:numId w:val="21"/>
        </w:numPr>
      </w:pPr>
      <w:r>
        <w:t xml:space="preserve">Aruba Central NAC — souscription Central Foundation.</w:t>
      </w:r>
    </w:p>
    <w:p>
      <w:pPr>
        <w:pStyle w:val="ListParagraph"/>
        <w:numPr>
          <w:ilvl w:val="0"/>
          <w:numId w:val="21"/>
        </w:numPr>
      </w:pPr>
      <w:r>
        <w:t xml:space="preserve">Identity store EntraID déjà configuré dans Central (App Registration, permissions).</w:t>
      </w:r>
    </w:p>
    <w:p>
      <w:pPr>
        <w:pStyle w:val="ListParagraph"/>
        <w:numPr>
          <w:ilvl w:val="0"/>
          <w:numId w:val="21"/>
        </w:numPr>
      </w:pPr>
      <w:r>
        <w:t xml:space="preserve">Jamf Pro Cloud, version 10.32 ou supérieure (lab validé en 11.31.1-t1787060595569 / 11.32).</w:t>
      </w:r>
    </w:p>
    <w:p>
      <w:pPr>
        <w:pStyle w:val="ListParagraph"/>
        <w:numPr>
          <w:ilvl w:val="0"/>
          <w:numId w:val="21"/>
        </w:numPr>
      </w:pPr>
      <w:r>
        <w:t xml:space="preserve">Compte Jamf Pro avec droits d'administration pour créer un rôle/client API et des profils de configuration (payloads Certificate, SCEP, Network).</w:t>
      </w:r>
    </w:p>
    <w:p>
      <w:pPr>
        <w:pStyle w:val="ListParagraph"/>
        <w:numPr>
          <w:ilvl w:val="0"/>
          <w:numId w:val="21"/>
        </w:numPr>
      </w:pPr>
      <w:r>
        <w:t xml:space="preserve">Groupes EntraID existants pour le mapping des rôles NAC.</w:t>
      </w:r>
    </w:p>
    <w:p>
      <w:pPr>
        <w:pStyle w:val="IntenseQuote"/>
      </w:pPr>
      <w:r>
        <w:rPr>
          <w:b/>
        </w:rPr>
        <w:t xml:space="preserve">⚠️ Piège — secret Entra référencé à deux endroits. </w:t>
      </w:r>
      <w:r>
        <w:t xml:space="preserve">Le secret client Entra est utilisé à la fois dans l'extension MDM Jamf et dans l'identity store Central. Le régénérer dans Entra invalide les deux références simultanément — il faut le mettre à jour aux deux endroits après régénération.</w:t>
      </w:r>
    </w:p>
    <w:p>
      <w:pPr>
        <w:pStyle w:val="IntenseQuote"/>
      </w:pPr>
      <w:r>
        <w:rPr>
          <w:b/>
        </w:rPr>
        <w:t xml:space="preserve">⚠️ Piège — Value vs Secret ID. </w:t>
      </w:r>
      <w:r>
        <w:t xml:space="preserve">Côté Entra, lors de la création du secret, c'est la Value qu'il faut copier, pas le Secret ID. Une erreur fréquente qui casse silencieusement l'authentification de l'extension.</w:t>
      </w:r>
    </w:p>
    <w:p>
      <w:r>
        <w:t xml:space="preserve">Les valeurs spécifiques au tenant Jamf ne sont jamais reprises dans ce document. Utiliser &lt;tenant-jamf&gt;.jamfcloud.com dans les exemples et les captures publiques.</w:t>
      </w:r>
    </w:p>
    <w:p>
      <w:r>
        <w:br w:type="page"/>
      </w:r>
    </w:p>
    <w:p>
      <w:pPr>
        <w:pStyle w:val="Heading1"/>
      </w:pPr>
      <w:r>
        <w:t xml:space="preserve">Partie 1 — Aruba Central : extension Jamf</w:t>
      </w:r>
    </w:p>
    <w:p>
      <w:pPr>
        <w:pStyle w:val="Heading2"/>
      </w:pPr>
      <w:r>
        <w:t xml:space="preserve">1.1 Installer l'extension Jamf</w:t>
      </w:r>
    </w:p>
    <w:p>
      <w:pPr>
        <w:pStyle w:val="ListParagraph"/>
        <w:numPr>
          <w:ilvl w:val="0"/>
          <w:numId w:val="501"/>
        </w:numPr>
      </w:pPr>
      <w:r>
        <w:t xml:space="preserve">Dans Aruba Central, ouvrir Global → Maintenance → Extensions (onglet Available Extensions).</w:t>
      </w:r>
    </w:p>
    <w:p>
      <w:pPr>
        <w:pStyle w:val="ListParagraph"/>
        <w:numPr>
          <w:ilvl w:val="0"/>
          <w:numId w:val="501"/>
        </w:numPr>
      </w:pPr>
      <w:r>
        <w:t xml:space="preserve">Dans le catalogue, repérer l'extension Jamf — elle existe nativement, au même titre que l'extension Intune.</w:t>
      </w:r>
    </w:p>
    <w:p>
      <w:pPr>
        <w:jc w:val="center"/>
      </w:pPr>
      <w:r>
        <w:drawing>
          <wp:inline distT="0" distB="0" distL="0" distR="0">
            <wp:extent cx="5760720" cy="3590829"/>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200"/>
                    <a:stretch>
                      <a:fillRect/>
                    </a:stretch>
                  </pic:blipFill>
                  <pic:spPr>
                    <a:xfrm>
                      <a:off x="0" y="0"/>
                      <a:ext cx="5760720" cy="3590829"/>
                    </a:xfrm>
                    <a:prstGeom prst="rect">
                      <a:avLst/>
                    </a:prstGeom>
                  </pic:spPr>
                </pic:pic>
              </a:graphicData>
            </a:graphic>
          </wp:inline>
        </w:drawing>
      </w:r>
    </w:p>
    <w:p>
      <w:pPr>
        <w:pStyle w:val="Caption-Figure"/>
        <w:jc w:val="center"/>
      </w:pPr>
      <w:r>
        <w:t xml:space="preserve">Catalogue des extensions Central — Jamf</w:t>
      </w:r>
    </w:p>
    <w:p>
      <w:r>
        <w:t xml:space="preserve">Cliquer sur Install sur la carte Jamf.</w:t>
      </w:r>
    </w:p>
    <w:p>
      <w:pPr>
        <w:pStyle w:val="Heading2"/>
      </w:pPr>
      <w:r>
        <w:t xml:space="preserve">1.2 Configurer l'extension</w:t>
      </w:r>
    </w:p>
    <w:p>
      <w:r>
        <w:t xml:space="preserve">Le formulaire d'installation sert aussi de formulaire de configuration — il n'y a pas d'étape de nommage séparée de la configuration des identifiants.</w:t>
      </w:r>
    </w:p>
    <w:p>
      <w:pPr>
        <w:pStyle w:val="ListParagraph"/>
        <w:numPr>
          <w:ilvl w:val="0"/>
          <w:numId w:val="502"/>
        </w:numPr>
      </w:pPr>
      <w:r>
        <w:t xml:space="preserve">Donner un nom à l'instance (ex. &lt;nom-instance-jamf&gt;) et laisser le type sur Jamf Pro.</w:t>
      </w:r>
    </w:p>
    <w:p>
      <w:pPr>
        <w:pStyle w:val="ListParagraph"/>
        <w:numPr>
          <w:ilvl w:val="0"/>
          <w:numId w:val="502"/>
        </w:numPr>
      </w:pPr>
      <w:r>
        <w:t xml:space="preserve">Renseigner l'URL de l'instance Jamf Pro : &lt;tenant-jamf&gt;.jamfcloud.com.</w:t>
      </w:r>
    </w:p>
    <w:p>
      <w:pPr>
        <w:pStyle w:val="ListParagraph"/>
        <w:numPr>
          <w:ilvl w:val="0"/>
          <w:numId w:val="502"/>
        </w:numPr>
      </w:pPr>
      <w:r>
        <w:t xml:space="preserve">Dans Connect Using, sélectionner OAuth.</w:t>
      </w:r>
    </w:p>
    <w:p>
      <w:pPr>
        <w:pStyle w:val="ListParagraph"/>
        <w:numPr>
          <w:ilvl w:val="0"/>
          <w:numId w:val="502"/>
        </w:numPr>
      </w:pPr>
      <w:r>
        <w:t xml:space="preserve">Renseigner le Client ID et le Secret de l'App Registration Entra ID créée pour cette intégration, ainsi que le Token Server URL (https://&lt;tenant-jamf&gt;.jamfcloud.com/api/oauth/token).</w:t>
      </w:r>
    </w:p>
    <w:p>
      <w:pPr>
        <w:jc w:val="center"/>
      </w:pPr>
      <w:r>
        <w:drawing>
          <wp:inline distT="0" distB="0" distL="0" distR="0">
            <wp:extent cx="2564654" cy="6858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201"/>
                    <a:stretch>
                      <a:fillRect/>
                    </a:stretch>
                  </pic:blipFill>
                  <pic:spPr>
                    <a:xfrm>
                      <a:off x="0" y="0"/>
                      <a:ext cx="2564654" cy="6858000"/>
                    </a:xfrm>
                    <a:prstGeom prst="rect">
                      <a:avLst/>
                    </a:prstGeom>
                  </pic:spPr>
                </pic:pic>
              </a:graphicData>
            </a:graphic>
          </wp:inline>
        </w:drawing>
      </w:r>
    </w:p>
    <w:p>
      <w:pPr>
        <w:pStyle w:val="Caption-Figure"/>
        <w:jc w:val="center"/>
      </w:pPr>
      <w:r>
        <w:t xml:space="preserve">Installation et configuration de l'extension Jamf</w:t>
      </w:r>
    </w:p>
    <w:p>
      <w:r>
        <w:t xml:space="preserve">Cliquer sur Install — l'instance apparaît dans l'onglet Installed Extensions au statut Active.</w:t>
      </w:r>
    </w:p>
    <w:p>
      <w:pPr>
        <w:jc w:val="center"/>
      </w:pPr>
      <w:r>
        <w:drawing>
          <wp:inline distT="0" distB="0" distL="0" distR="0">
            <wp:extent cx="5760720" cy="261759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202"/>
                    <a:stretch>
                      <a:fillRect/>
                    </a:stretch>
                  </pic:blipFill>
                  <pic:spPr>
                    <a:xfrm>
                      <a:off x="0" y="0"/>
                      <a:ext cx="5760720" cy="2617590"/>
                    </a:xfrm>
                    <a:prstGeom prst="rect">
                      <a:avLst/>
                    </a:prstGeom>
                  </pic:spPr>
                </pic:pic>
              </a:graphicData>
            </a:graphic>
          </wp:inline>
        </w:drawing>
      </w:r>
    </w:p>
    <w:p>
      <w:pPr>
        <w:pStyle w:val="Caption-Figure"/>
        <w:jc w:val="center"/>
      </w:pPr>
      <w:r>
        <w:t xml:space="preserve">Extension Jamf installée et active</w:t>
      </w:r>
    </w:p>
    <w:p>
      <w:pPr>
        <w:pStyle w:val="IntenseQuote"/>
      </w:pPr>
      <w:r>
        <w:rPr>
          <w:b/>
        </w:rPr>
        <w:t xml:space="preserve">⚠️ Piège — pas de champ « Extension ». </w:t>
      </w:r>
      <w:r>
        <w:t xml:space="preserve">Contrairement à l'extension Intune, l'écran de configuration de l'instance UEM Jamf ne présente pas de champ Extension pour un lien applicatif direct. L'intégration repose entièrement sur le mécanisme SCEP URL + SCEP Challenge Webhook URL + Authorization Header décrit ci-dessous — c'est ce triptyque qu'il faut transmettre côté Jamf Pro.</w:t>
      </w:r>
    </w:p>
    <w:p>
      <w:pPr>
        <w:pStyle w:val="Heading2"/>
      </w:pPr>
      <w:r>
        <w:t xml:space="preserve">1.3 Récupérer SCEP URL, Webhook URL et Authorization Header</w:t>
      </w:r>
    </w:p>
    <w:p>
      <w:pPr>
        <w:pStyle w:val="ListParagraph"/>
        <w:numPr>
          <w:ilvl w:val="0"/>
          <w:numId w:val="503"/>
        </w:numPr>
      </w:pPr>
      <w:r>
        <w:t xml:space="preserve">Une fois l'instance connectée, ouvrir l'onglet exposant les informations SCEP de l'instance.</w:t>
      </w:r>
    </w:p>
    <w:p>
      <w:pPr>
        <w:pStyle w:val="ListParagraph"/>
        <w:numPr>
          <w:ilvl w:val="0"/>
          <w:numId w:val="503"/>
        </w:numPr>
      </w:pPr>
      <w:r>
        <w:t xml:space="preserve">Relever et copier les trois valeurs suivantes, à transmettre à la configuration PKI de Jamf Pro (voir Partie 4.1) : SCEP URL (endpoint sur lequel le device récupère son certificat), SCEP Challenge Webhook URL (endpoint que Jamf appelle sur l'événement SCEPChallenge), Authorization Header (header d'authentification à configurer côté Jamf pour l'appel webhook).</w:t>
      </w:r>
    </w:p>
    <w:p>
      <w:pPr>
        <w:jc w:val="center"/>
      </w:pPr>
      <w:r>
        <w:drawing>
          <wp:inline distT="0" distB="0" distL="0" distR="0">
            <wp:extent cx="2410850" cy="6858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203"/>
                    <a:stretch>
                      <a:fillRect/>
                    </a:stretch>
                  </pic:blipFill>
                  <pic:spPr>
                    <a:xfrm>
                      <a:off x="0" y="0"/>
                      <a:ext cx="2410850" cy="6858000"/>
                    </a:xfrm>
                    <a:prstGeom prst="rect">
                      <a:avLst/>
                    </a:prstGeom>
                  </pic:spPr>
                </pic:pic>
              </a:graphicData>
            </a:graphic>
          </wp:inline>
        </w:drawing>
      </w:r>
    </w:p>
    <w:p>
      <w:pPr>
        <w:pStyle w:val="Caption-Figure"/>
        <w:jc w:val="center"/>
      </w:pPr>
      <w:r>
        <w:t xml:space="preserve">Écran SCEP URL / Webhook URL / Authorization Header</w:t>
      </w:r>
    </w:p>
    <w:p>
      <w:r>
        <w:t xml:space="preserve">Conserver ces trois valeurs de côté.</w:t>
      </w:r>
    </w:p>
    <w:p>
      <w:pPr>
        <w:pStyle w:val="IntenseQuote"/>
      </w:pPr>
      <w:r>
        <w:rPr>
          <w:b/>
        </w:rPr>
        <w:t xml:space="preserve">ℹ️ Note. </w:t>
      </w:r>
      <w:r>
        <w:t xml:space="preserve">Ces trois valeurs sont saisies une seule fois côté Jamf Pro et l'Authorization Header n'est pas réaffiché en clair par la suite — le noter avant de quitter l'écran.</w:t>
      </w:r>
    </w:p>
    <w:p>
      <w:r>
        <w:br w:type="page"/>
      </w:r>
    </w:p>
    <w:p>
      <w:pPr>
        <w:pStyle w:val="Heading1"/>
      </w:pPr>
      <w:r>
        <w:t xml:space="preserve">Partie 2 — Aruba Central NAC : configuration</w:t>
      </w:r>
    </w:p>
    <w:p>
      <w:pPr>
        <w:pStyle w:val="Heading2"/>
      </w:pPr>
      <w:r>
        <w:t xml:space="preserve">2.1 Configurer l'identity store OAuth EntraID</w:t>
      </w:r>
    </w:p>
    <w:p>
      <w:pPr>
        <w:pStyle w:val="ListParagraph"/>
        <w:numPr>
          <w:ilvl w:val="0"/>
          <w:numId w:val="504"/>
        </w:numPr>
      </w:pPr>
      <w:r>
        <w:t xml:space="preserve">Ouvrir Central NAC → Configuration → Identity Management.</w:t>
      </w:r>
    </w:p>
    <w:p>
      <w:pPr>
        <w:pStyle w:val="ListParagraph"/>
        <w:numPr>
          <w:ilvl w:val="0"/>
          <w:numId w:val="504"/>
        </w:numPr>
      </w:pPr>
      <w:r>
        <w:t xml:space="preserve">La liste affiche les identity stores existants (ex. Luconik_EntraID, Luconik_Visitor, MAC Address Store, Wi-Fi Easy Connect Registration Store) avec, pour chacun, les Authentication Profiles et Authorization Policies qui le référencent.</w:t>
      </w:r>
    </w:p>
    <w:p>
      <w:pPr>
        <w:pStyle w:val="ListParagraph"/>
        <w:numPr>
          <w:ilvl w:val="0"/>
          <w:numId w:val="504"/>
        </w:numPr>
      </w:pPr>
      <w:r>
        <w:t xml:space="preserve">Sélectionner l'identity store OAuth 2.0 EntraID déjà configuré et utilisé pour l'extension Jamf (1.2) — un seul identity store sert les deux besoins.</w:t>
      </w:r>
    </w:p>
    <w:p>
      <w:pPr>
        <w:pStyle w:val="ListParagraph"/>
        <w:numPr>
          <w:ilvl w:val="0"/>
          <w:numId w:val="504"/>
        </w:numPr>
      </w:pPr>
      <w:r>
        <w:t xml:space="preserve">Vérifier que le Tenant ID et l'App Registration correspondent bien à ceux utilisés côté extension.</w:t>
      </w:r>
    </w:p>
    <w:p>
      <w:pPr>
        <w:jc w:val="center"/>
      </w:pPr>
      <w:r>
        <w:drawing>
          <wp:inline distT="0" distB="0" distL="0" distR="0">
            <wp:extent cx="5760720" cy="2111237"/>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204"/>
                    <a:stretch>
                      <a:fillRect/>
                    </a:stretch>
                  </pic:blipFill>
                  <pic:spPr>
                    <a:xfrm>
                      <a:off x="0" y="0"/>
                      <a:ext cx="5760720" cy="2111237"/>
                    </a:xfrm>
                    <a:prstGeom prst="rect">
                      <a:avLst/>
                    </a:prstGeom>
                  </pic:spPr>
                </pic:pic>
              </a:graphicData>
            </a:graphic>
          </wp:inline>
        </w:drawing>
      </w:r>
    </w:p>
    <w:p>
      <w:pPr>
        <w:pStyle w:val="Caption-Figure"/>
        <w:jc w:val="center"/>
      </w:pPr>
      <w:r>
        <w:t xml:space="preserve">Liste des identity stores Central NAC</w:t>
      </w:r>
    </w:p>
    <w:p>
      <w:pPr>
        <w:pStyle w:val="Heading2"/>
      </w:pPr>
      <w:r>
        <w:t xml:space="preserve">2.2 Créer les rôles NAC</w:t>
      </w:r>
    </w:p>
    <w:p>
      <w:pPr>
        <w:pStyle w:val="ListParagraph"/>
        <w:numPr>
          <w:ilvl w:val="0"/>
          <w:numId w:val="505"/>
        </w:numPr>
      </w:pPr>
      <w:r>
        <w:t xml:space="preserve">Ouvrir Global → Configuration Overview → Library → onglet Roles &amp; Policies → Roles. Ce référentiel de rôles est partagé par l'ensemble de Central (pas propre à Central NAC).</w:t>
      </w:r>
    </w:p>
    <w:p>
      <w:pPr>
        <w:pStyle w:val="ListParagraph"/>
        <w:numPr>
          <w:ilvl w:val="0"/>
          <w:numId w:val="505"/>
        </w:numPr>
      </w:pPr>
      <w:r>
        <w:t xml:space="preserve">Créer un rôle par population cible, ex. Luconik, destiné à être mappé sur un groupe EntraID (voir 2.5) — assigné aux device functions concernées (Campus Access Point, Access Switch, Mobility Gateway…) sur le scope du site (ex. Homelab).</w:t>
      </w:r>
    </w:p>
    <w:p>
      <w:pPr>
        <w:pStyle w:val="ListParagraph"/>
        <w:numPr>
          <w:ilvl w:val="0"/>
          <w:numId w:val="505"/>
        </w:numPr>
      </w:pPr>
      <w:r>
        <w:t xml:space="preserve">Définir les droits réseau associés (VLAN, ACL, etc.) selon la politique du site.</w:t>
      </w:r>
    </w:p>
    <w:p>
      <w:pPr>
        <w:jc w:val="center"/>
      </w:pPr>
      <w:r>
        <w:drawing>
          <wp:inline distT="0" distB="0" distL="0" distR="0">
            <wp:extent cx="5760720" cy="5335597"/>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205"/>
                    <a:stretch>
                      <a:fillRect/>
                    </a:stretch>
                  </pic:blipFill>
                  <pic:spPr>
                    <a:xfrm>
                      <a:off x="0" y="0"/>
                      <a:ext cx="5760720" cy="5335597"/>
                    </a:xfrm>
                    <a:prstGeom prst="rect">
                      <a:avLst/>
                    </a:prstGeom>
                  </pic:spPr>
                </pic:pic>
              </a:graphicData>
            </a:graphic>
          </wp:inline>
        </w:drawing>
      </w:r>
    </w:p>
    <w:p>
      <w:pPr>
        <w:pStyle w:val="Caption-Figure"/>
        <w:jc w:val="center"/>
      </w:pPr>
      <w:r>
        <w:t xml:space="preserve">Bibliothèque des rôles Central</w:t>
      </w:r>
    </w:p>
    <w:p>
      <w:pPr>
        <w:pStyle w:val="Heading2"/>
      </w:pPr>
      <w:r>
        <w:t xml:space="preserve">2.3 Configurer la policy NAC globale</w:t>
      </w:r>
    </w:p>
    <w:p>
      <w:pPr>
        <w:pStyle w:val="ListParagraph"/>
        <w:numPr>
          <w:ilvl w:val="0"/>
          <w:numId w:val="506"/>
        </w:numPr>
      </w:pPr>
      <w:r>
        <w:t xml:space="preserve">Ouvrir Global → Configuration Overview → Library → onglet Roles &amp; Policies → Security Policies → Role-based Policies. Comme pour les rôles (2.2), c'est un référentiel partagé par l'ensemble de Central, pas propre à Central NAC.</w:t>
      </w:r>
    </w:p>
    <w:p>
      <w:pPr>
        <w:pStyle w:val="ListParagraph"/>
        <w:numPr>
          <w:ilvl w:val="0"/>
          <w:numId w:val="506"/>
        </w:numPr>
      </w:pPr>
      <w:r>
        <w:t xml:space="preserve">Créer (ou éditer) une policy de type Role-based (ex. XYZ-policies), assignée aux device functions concernées sur le scope du site (ex. Homelab).</w:t>
      </w:r>
    </w:p>
    <w:p>
      <w:pPr>
        <w:pStyle w:val="ListParagraph"/>
        <w:numPr>
          <w:ilvl w:val="0"/>
          <w:numId w:val="506"/>
        </w:numPr>
      </w:pPr>
      <w:r>
        <w:t xml:space="preserve">Ajouter une règle par rôle créé en 2.2 : Source = Access Role → sélectionner le rôle (ex. admin-role), Destination = Any (ou plus restrictif selon la segmentation voulue), Service/Application = Any, Action = Allow.</w:t>
      </w:r>
    </w:p>
    <w:p>
      <w:pPr>
        <w:jc w:val="center"/>
      </w:pPr>
      <w:r>
        <w:drawing>
          <wp:inline distT="0" distB="0" distL="0" distR="0">
            <wp:extent cx="5760720" cy="3246201"/>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06"/>
                    <a:stretch>
                      <a:fillRect/>
                    </a:stretch>
                  </pic:blipFill>
                  <pic:spPr>
                    <a:xfrm>
                      <a:off x="0" y="0"/>
                      <a:ext cx="5760720" cy="3246201"/>
                    </a:xfrm>
                    <a:prstGeom prst="rect">
                      <a:avLst/>
                    </a:prstGeom>
                  </pic:spPr>
                </pic:pic>
              </a:graphicData>
            </a:graphic>
          </wp:inline>
        </w:drawing>
      </w:r>
    </w:p>
    <w:p>
      <w:pPr>
        <w:pStyle w:val="Caption-Figure"/>
        <w:jc w:val="center"/>
      </w:pPr>
      <w:r>
        <w:t xml:space="preserve">Policy de type Role-based — vue d'ensemble des règles</w:t>
      </w:r>
    </w:p>
    <w:p>
      <w:pPr>
        <w:jc w:val="center"/>
      </w:pPr>
      <w:r>
        <w:drawing>
          <wp:inline distT="0" distB="0" distL="0" distR="0">
            <wp:extent cx="5760720" cy="5191241"/>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207"/>
                    <a:stretch>
                      <a:fillRect/>
                    </a:stretch>
                  </pic:blipFill>
                  <pic:spPr>
                    <a:xfrm>
                      <a:off x="0" y="0"/>
                      <a:ext cx="5760720" cy="5191241"/>
                    </a:xfrm>
                    <a:prstGeom prst="rect">
                      <a:avLst/>
                    </a:prstGeom>
                  </pic:spPr>
                </pic:pic>
              </a:graphicData>
            </a:graphic>
          </wp:inline>
        </w:drawing>
      </w:r>
    </w:p>
    <w:p>
      <w:pPr>
        <w:pStyle w:val="Caption-Figure"/>
        <w:jc w:val="center"/>
      </w:pPr>
      <w:r>
        <w:t xml:space="preserve">Détail d'une règle — Source Access Role, Action Allow</w:t>
      </w:r>
    </w:p>
    <w:p>
      <w:r>
        <w:t xml:space="preserve">Répéter pour chaque rôle nécessitant un accès réseau (une règle = un rôle). C'est cette policy qui matérialise, au niveau réseau, les droits associés à chaque rôle NAC.</w:t>
      </w:r>
    </w:p>
    <w:p>
      <w:pPr>
        <w:pStyle w:val="IntenseQuote"/>
      </w:pPr>
      <w:r>
        <w:rPr>
          <w:b/>
        </w:rPr>
        <w:t xml:space="preserve">ℹ️ Policies système. </w:t>
      </w:r>
      <w:r>
        <w:t xml:space="preserve">Des policies système en lecture seule existent également (sys_central_nac, System Default GW Policy, sys_allow_all, scope Global) — ne pas les modifier, elles sont gérées par Central.</w:t>
      </w:r>
    </w:p>
    <w:p>
      <w:pPr>
        <w:pStyle w:val="Heading2"/>
      </w:pPr>
      <w:r>
        <w:t xml:space="preserve">2.4 Créer le profil SSID 802.1X</w:t>
      </w:r>
    </w:p>
    <w:p>
      <w:pPr>
        <w:pStyle w:val="ListParagraph"/>
        <w:numPr>
          <w:ilvl w:val="0"/>
          <w:numId w:val="507"/>
        </w:numPr>
      </w:pPr>
      <w:r>
        <w:t xml:space="preserve">Ouvrir le profil WLAN du SSID luconik-jamf (configuration du site/AP group concerné) → section Security.</w:t>
      </w:r>
    </w:p>
    <w:p>
      <w:pPr>
        <w:pStyle w:val="ListParagraph"/>
        <w:numPr>
          <w:ilvl w:val="0"/>
          <w:numId w:val="507"/>
        </w:numPr>
      </w:pPr>
      <w:r>
        <w:t xml:space="preserve">Security Level : Enterprise.</w:t>
      </w:r>
    </w:p>
    <w:p>
      <w:pPr>
        <w:pStyle w:val="ListParagraph"/>
        <w:numPr>
          <w:ilvl w:val="0"/>
          <w:numId w:val="507"/>
        </w:numPr>
      </w:pPr>
      <w:r>
        <w:t xml:space="preserve">Key Management : WPA3-Enterprise (CCM 128).</w:t>
      </w:r>
    </w:p>
    <w:p>
      <w:pPr>
        <w:pStyle w:val="ListParagraph"/>
        <w:numPr>
          <w:ilvl w:val="0"/>
          <w:numId w:val="507"/>
        </w:numPr>
      </w:pPr>
      <w:r>
        <w:t xml:space="preserve">Authentication → Server Group : Central NAC.</w:t>
      </w:r>
    </w:p>
    <w:p>
      <w:pPr>
        <w:jc w:val="center"/>
      </w:pPr>
      <w:r>
        <w:drawing>
          <wp:inline distT="0" distB="0" distL="0" distR="0">
            <wp:extent cx="5760720" cy="4868241"/>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208"/>
                    <a:stretch>
                      <a:fillRect/>
                    </a:stretch>
                  </pic:blipFill>
                  <pic:spPr>
                    <a:xfrm>
                      <a:off x="0" y="0"/>
                      <a:ext cx="5760720" cy="4868241"/>
                    </a:xfrm>
                    <a:prstGeom prst="rect">
                      <a:avLst/>
                    </a:prstGeom>
                  </pic:spPr>
                </pic:pic>
              </a:graphicData>
            </a:graphic>
          </wp:inline>
        </w:drawing>
      </w:r>
    </w:p>
    <w:p>
      <w:pPr>
        <w:pStyle w:val="Caption-Figure"/>
        <w:jc w:val="center"/>
      </w:pPr>
      <w:r>
        <w:t xml:space="preserve">Profil SSID luconik-jamf — section Security</w:t>
      </w:r>
    </w:p>
    <w:p>
      <w:r>
        <w:t xml:space="preserve">Déployer le profil sur le(s) AP group(s) concerné(s).</w:t>
      </w:r>
    </w:p>
    <w:p>
      <w:pPr>
        <w:pStyle w:val="Heading2"/>
      </w:pPr>
      <w:r>
        <w:t xml:space="preserve">2.5 Créer la policy d'autorisation</w:t>
      </w:r>
    </w:p>
    <w:p>
      <w:pPr>
        <w:pStyle w:val="ListParagraph"/>
        <w:numPr>
          <w:ilvl w:val="0"/>
          <w:numId w:val="508"/>
        </w:numPr>
      </w:pPr>
      <w:r>
        <w:t xml:space="preserve">Ouvrir Central NAC → Configuration → Authorization Policies.</w:t>
      </w:r>
    </w:p>
    <w:p>
      <w:pPr>
        <w:pStyle w:val="ListParagraph"/>
        <w:numPr>
          <w:ilvl w:val="0"/>
          <w:numId w:val="508"/>
        </w:numPr>
      </w:pPr>
      <w:r>
        <w:t xml:space="preserve">Une policy regroupe plusieurs règles ordonnées, chacune évaluée dans l'ordre (la première qui matche s'applique, la dernière étant un Deny All par défaut).</w:t>
      </w:r>
    </w:p>
    <w:p>
      <w:pPr>
        <w:pStyle w:val="ListParagraph"/>
        <w:numPr>
          <w:ilvl w:val="0"/>
          <w:numId w:val="508"/>
        </w:numPr>
      </w:pPr>
      <w:r>
        <w:t xml:space="preserve">Créer une règle dont la condition matche le groupe EntraID &lt;nom-du-groupe&gt;, avec pour action Allow et le rôle NAC créé en 2.2.</w:t>
      </w:r>
    </w:p>
    <w:p>
      <w:pPr>
        <w:pStyle w:val="ListParagraph"/>
        <w:numPr>
          <w:ilvl w:val="0"/>
          <w:numId w:val="508"/>
        </w:numPr>
      </w:pPr>
      <w:r>
        <w:t xml:space="preserve">Positionner la règle dans l'ordre voulu par rapport aux autres règles existantes.</w:t>
      </w:r>
    </w:p>
    <w:p>
      <w:pPr>
        <w:jc w:val="center"/>
      </w:pPr>
      <w:r>
        <w:drawing>
          <wp:inline distT="0" distB="0" distL="0" distR="0">
            <wp:extent cx="5760720" cy="2955321"/>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209"/>
                    <a:stretch>
                      <a:fillRect/>
                    </a:stretch>
                  </pic:blipFill>
                  <pic:spPr>
                    <a:xfrm>
                      <a:off x="0" y="0"/>
                      <a:ext cx="5760720" cy="2955321"/>
                    </a:xfrm>
                    <a:prstGeom prst="rect">
                      <a:avLst/>
                    </a:prstGeom>
                  </pic:spPr>
                </pic:pic>
              </a:graphicData>
            </a:graphic>
          </wp:inline>
        </w:drawing>
      </w:r>
    </w:p>
    <w:p>
      <w:pPr>
        <w:pStyle w:val="Caption-Figure"/>
        <w:jc w:val="center"/>
      </w:pPr>
      <w:r>
        <w:t xml:space="preserve">Règles de la policy d'autorisation</w:t>
      </w:r>
    </w:p>
    <w:p>
      <w:pPr>
        <w:pStyle w:val="Heading2"/>
      </w:pPr>
      <w:r>
        <w:t xml:space="preserve">2.6 Créer le profil d'authentification EAP-TLS</w:t>
      </w:r>
    </w:p>
    <w:p>
      <w:pPr>
        <w:pStyle w:val="ListParagraph"/>
        <w:numPr>
          <w:ilvl w:val="0"/>
          <w:numId w:val="509"/>
        </w:numPr>
      </w:pPr>
      <w:r>
        <w:t xml:space="preserve">Ouvrir Central NAC → Configuration → Authentication Profiles.</w:t>
      </w:r>
    </w:p>
    <w:p>
      <w:pPr>
        <w:pStyle w:val="ListParagraph"/>
        <w:numPr>
          <w:ilvl w:val="0"/>
          <w:numId w:val="509"/>
        </w:numPr>
      </w:pPr>
      <w:r>
        <w:t xml:space="preserve">Créer un profil de type EAP-TLS.</w:t>
      </w:r>
    </w:p>
    <w:p>
      <w:pPr>
        <w:pStyle w:val="ListParagraph"/>
        <w:numPr>
          <w:ilvl w:val="0"/>
          <w:numId w:val="509"/>
        </w:numPr>
      </w:pPr>
      <w:r>
        <w:t xml:space="preserve">Associer l'instance UEM Jamf (Partie 1) comme source de validation du certificat client.</w:t>
      </w:r>
    </w:p>
    <w:p>
      <w:pPr>
        <w:pStyle w:val="ListParagraph"/>
        <w:numPr>
          <w:ilvl w:val="0"/>
          <w:numId w:val="509"/>
        </w:numPr>
      </w:pPr>
      <w:r>
        <w:t xml:space="preserve">Associer ce profil au SSID luconik-jamf créé en 2.4.</w:t>
      </w:r>
    </w:p>
    <w:p>
      <w:pPr>
        <w:jc w:val="center"/>
      </w:pPr>
      <w:r>
        <w:drawing>
          <wp:inline distT="0" distB="0" distL="0" distR="0">
            <wp:extent cx="5760720" cy="5182254"/>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210"/>
                    <a:stretch>
                      <a:fillRect/>
                    </a:stretch>
                  </pic:blipFill>
                  <pic:spPr>
                    <a:xfrm>
                      <a:off x="0" y="0"/>
                      <a:ext cx="5760720" cy="5182254"/>
                    </a:xfrm>
                    <a:prstGeom prst="rect">
                      <a:avLst/>
                    </a:prstGeom>
                  </pic:spPr>
                </pic:pic>
              </a:graphicData>
            </a:graphic>
          </wp:inline>
        </w:drawing>
      </w:r>
    </w:p>
    <w:p>
      <w:pPr>
        <w:pStyle w:val="Caption-Figure"/>
        <w:jc w:val="center"/>
      </w:pPr>
      <w:r>
        <w:t xml:space="preserve">Profil d'authentification EAP-TLS</w:t>
      </w:r>
    </w:p>
    <w:p>
      <w:r>
        <w:br w:type="page"/>
      </w:r>
    </w:p>
    <w:p>
      <w:pPr>
        <w:pStyle w:val="Heading1"/>
      </w:pPr>
      <w:r>
        <w:t xml:space="preserve">Partie 3 — Jamf Pro : rôle API et rattachement Central</w:t>
      </w:r>
    </w:p>
    <w:p>
      <w:r>
        <w:t xml:space="preserve">Configuration se répartissant entre Aruba Central, qui fournit la PKI et les policies NAC, et Jamf Pro, qui distribue les profils Apple et vérifie le challenge SCEP.</w:t>
      </w:r>
    </w:p>
    <w:p>
      <w:pPr>
        <w:pStyle w:val="Heading2"/>
      </w:pPr>
      <w:r>
        <w:t xml:space="preserve">3.1 Créer le rôle et le client API Jamf</w:t>
      </w:r>
    </w:p>
    <w:p>
      <w:r>
        <w:t xml:space="preserve">L'extension Jamf consulte l'inventaire Jamf pour lier le terminal au flux UEM Onboarding. Utiliser un rôle dédié, en lecture seule, plutôt qu'un compte administrateur générique.</w:t>
      </w:r>
    </w:p>
    <w:p>
      <w:pPr>
        <w:pStyle w:val="ListParagraph"/>
        <w:numPr>
          <w:ilvl w:val="0"/>
          <w:numId w:val="510"/>
        </w:numPr>
      </w:pPr>
      <w:r>
        <w:t xml:space="preserve">Dans Jamf Pro, ouvrir Settings &gt; System &gt; API roles and clients &gt; API Roles.</w:t>
      </w:r>
    </w:p>
    <w:p>
      <w:pPr>
        <w:pStyle w:val="ListParagraph"/>
        <w:numPr>
          <w:ilvl w:val="0"/>
          <w:numId w:val="510"/>
        </w:numPr>
      </w:pPr>
      <w:r>
        <w:t xml:space="preserve">Créer le rôle &lt;central-nac-read-only&gt; avec uniquement les privilèges suivants.</w:t>
      </w:r>
    </w:p>
    <w:tbl>
      <w:tblPr>
        <w:tblStyle w:val="HPETable"/>
        <w:tblW w:w="10466" w:type="dxa"/>
        <w:tblLook w:val="04A0" w:firstRow="1" w:lastRow="0" w:firstColumn="0" w:lastColumn="0" w:noHBand="0" w:noVBand="1"/>
      </w:tblPr>
      <w:tblGrid>
        <w:gridCol w:w="5233"/>
        <w:gridCol w:w="5233"/>
      </w:tblGrid>
      <w:tr>
        <w:tc>
          <w:tcPr>
            <w:tcW w:w="5233" w:type="dxa"/>
          </w:tcPr>
          <w:p>
            <w:r>
              <w:rPr>
                <w:b/>
              </w:rPr>
              <w:t xml:space="preserve">Privilège</w:t>
            </w:r>
          </w:p>
        </w:tc>
        <w:tc>
          <w:tcPr>
            <w:tcW w:w="5233" w:type="dxa"/>
          </w:tcPr>
          <w:p>
            <w:r>
              <w:rPr>
                <w:b/>
              </w:rPr>
              <w:t xml:space="preserve">Usage</w:t>
            </w:r>
          </w:p>
        </w:tc>
      </w:tr>
      <w:tr>
        <w:tc>
          <w:tcPr>
            <w:tcW w:w="5233" w:type="dxa"/>
          </w:tcPr>
          <w:p>
            <w:r>
              <w:t xml:space="preserve">Read Computers</w:t>
            </w:r>
          </w:p>
        </w:tc>
        <w:tc>
          <w:tcPr>
            <w:tcW w:w="5233" w:type="dxa"/>
          </w:tcPr>
          <w:p>
            <w:r>
              <w:t xml:space="preserve">Lecture des Mac enrôlés</w:t>
            </w:r>
          </w:p>
        </w:tc>
      </w:tr>
      <w:tr>
        <w:tc>
          <w:tcPr>
            <w:tcW w:w="5233" w:type="dxa"/>
          </w:tcPr>
          <w:p>
            <w:r>
              <w:t xml:space="preserve">Read Mobile Devices</w:t>
            </w:r>
          </w:p>
        </w:tc>
        <w:tc>
          <w:tcPr>
            <w:tcW w:w="5233" w:type="dxa"/>
          </w:tcPr>
          <w:p>
            <w:r>
              <w:t xml:space="preserve">Lecture des iPad/iPhone enrôlés</w:t>
            </w:r>
          </w:p>
        </w:tc>
      </w:tr>
      <w:tr>
        <w:tc>
          <w:tcPr>
            <w:tcW w:w="5233" w:type="dxa"/>
          </w:tcPr>
          <w:p>
            <w:r>
              <w:t xml:space="preserve">Read Smart Computer Groups</w:t>
            </w:r>
          </w:p>
        </w:tc>
        <w:tc>
          <w:tcPr>
            <w:tcW w:w="5233" w:type="dxa"/>
          </w:tcPr>
          <w:p>
            <w:r>
              <w:t xml:space="preserve">Lecture des groupes dynamiques macOS</w:t>
            </w:r>
          </w:p>
        </w:tc>
      </w:tr>
      <w:tr>
        <w:tc>
          <w:tcPr>
            <w:tcW w:w="5233" w:type="dxa"/>
          </w:tcPr>
          <w:p>
            <w:r>
              <w:t xml:space="preserve">Read Smart Mobile Device Groups</w:t>
            </w:r>
          </w:p>
        </w:tc>
        <w:tc>
          <w:tcPr>
            <w:tcW w:w="5233" w:type="dxa"/>
          </w:tcPr>
          <w:p>
            <w:r>
              <w:t xml:space="preserve">Lecture des groupes dynamiques iOS/iPadOS</w:t>
            </w:r>
          </w:p>
        </w:tc>
      </w:tr>
    </w:tbl>
    <w:p/>
    <w:p>
      <w:pPr>
        <w:jc w:val="center"/>
      </w:pPr>
      <w:r>
        <w:drawing>
          <wp:inline distT="0" distB="0" distL="0" distR="0">
            <wp:extent cx="5760720" cy="1666642"/>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211"/>
                    <a:stretch>
                      <a:fillRect/>
                    </a:stretch>
                  </pic:blipFill>
                  <pic:spPr>
                    <a:xfrm>
                      <a:off x="0" y="0"/>
                      <a:ext cx="5760720" cy="1666642"/>
                    </a:xfrm>
                    <a:prstGeom prst="rect">
                      <a:avLst/>
                    </a:prstGeom>
                  </pic:spPr>
                </pic:pic>
              </a:graphicData>
            </a:graphic>
          </wp:inline>
        </w:drawing>
      </w:r>
    </w:p>
    <w:p>
      <w:pPr>
        <w:pStyle w:val="Caption-Figure"/>
        <w:jc w:val="center"/>
      </w:pPr>
      <w:r>
        <w:t xml:space="preserve">Privilèges du rôle API Jamf</w:t>
      </w:r>
    </w:p>
    <w:p>
      <w:pPr>
        <w:pStyle w:val="ListParagraph"/>
        <w:numPr>
          <w:ilvl w:val="0"/>
          <w:numId w:val="511"/>
        </w:numPr>
      </w:pPr>
      <w:r>
        <w:t xml:space="preserve">Dans API Clients, créer un client associé à ce rôle, l'activer et conserver son secret.</w:t>
      </w:r>
    </w:p>
    <w:p>
      <w:pPr>
        <w:pStyle w:val="ListParagraph"/>
        <w:numPr>
          <w:ilvl w:val="0"/>
          <w:numId w:val="511"/>
        </w:numPr>
      </w:pPr>
      <w:r>
        <w:t xml:space="preserve">Régler Access token lifetime sur 900 secondes.</w:t>
      </w:r>
    </w:p>
    <w:p>
      <w:pPr>
        <w:jc w:val="center"/>
      </w:pPr>
      <w:r>
        <w:drawing>
          <wp:inline distT="0" distB="0" distL="0" distR="0">
            <wp:extent cx="5760720" cy="2487111"/>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212"/>
                    <a:stretch>
                      <a:fillRect/>
                    </a:stretch>
                  </pic:blipFill>
                  <pic:spPr>
                    <a:xfrm>
                      <a:off x="0" y="0"/>
                      <a:ext cx="5760720" cy="2487111"/>
                    </a:xfrm>
                    <a:prstGeom prst="rect">
                      <a:avLst/>
                    </a:prstGeom>
                  </pic:spPr>
                </pic:pic>
              </a:graphicData>
            </a:graphic>
          </wp:inline>
        </w:drawing>
      </w:r>
    </w:p>
    <w:p>
      <w:pPr>
        <w:pStyle w:val="Caption-Figure"/>
        <w:jc w:val="center"/>
      </w:pPr>
      <w:r>
        <w:t xml:space="preserve">Durée de vie du jeton du client API Jamf</w:t>
      </w:r>
    </w:p>
    <w:p>
      <w:pPr>
        <w:pStyle w:val="IntenseQuote"/>
      </w:pPr>
      <w:r>
        <w:rPr>
          <w:b/>
        </w:rPr>
        <w:t xml:space="preserve">ℹ️ Note. </w:t>
      </w:r>
      <w:r>
        <w:t xml:space="preserve">La valeur par défaut de 60 secondes est trop courte pour un flux SCEP fiable. La création ou la rotation d'un secret doit être traitée comme une opération sensible : le secret n'est affiché qu'une seule fois.</w:t>
      </w:r>
    </w:p>
    <w:p>
      <w:r>
        <w:br w:type="page"/>
      </w:r>
    </w:p>
    <w:p>
      <w:pPr>
        <w:pStyle w:val="Heading1"/>
      </w:pPr>
      <w:r>
        <w:t xml:space="preserve">Partie 4 — Jamf Pro : enrôlement et profil de configuration</w:t>
      </w:r>
    </w:p>
    <w:p>
      <w:r>
        <w:t xml:space="preserve">Côté Jamf, tout tient dans un seul profil de configuration combinant trois payloads : Certificate (le certificat racine Central NAC, pour que le terminal fasse confiance au certificat qui sera émis), SCEP (pointant directement vers l'URL SCEP exposée par l'extension Jamf de Central) et Network (le Wi-Fi 802.1X, qui consomme l'identité émise par le payload SCEP).</w:t>
      </w:r>
    </w:p>
    <w:p>
      <w:pPr>
        <w:pStyle w:val="IntenseQuote"/>
      </w:pPr>
      <w:r>
        <w:rPr>
          <w:b/>
        </w:rPr>
        <w:t xml:space="preserve">ℹ️ Correction par rapport à la technote Intune. </w:t>
      </w:r>
      <w:r>
        <w:t xml:space="preserve">Il n'existe pas d'objet « PKI proxy server » séparé à créer dans Jamf Pro pour cette intégration — contrairement à ce que le nom pourrait laisser penser par analogie avec Intune. Le payload SCEP du profil de configuration pointe directement sur l'URL SCEP fournie par l'extension Jamf de Central, en Manual configuration.</w:t>
      </w:r>
    </w:p>
    <w:p>
      <w:pPr>
        <w:pStyle w:val="Heading2"/>
      </w:pPr>
      <w:r>
        <w:t xml:space="preserve">4.1 Pré-requis d'enrôlement — User-initiated enrollment</w:t>
      </w:r>
    </w:p>
    <w:p>
      <w:r>
        <w:t xml:space="preserve">Avant de pouvoir pousser le profil de configuration, les terminaux doivent déjà être enrôlés comme appareils gérés dans Jamf Pro. Configuration observée dans le lab, sous Settings &gt; Global &gt; User-initiated enrollment :</w:t>
      </w:r>
    </w:p>
    <w:p>
      <w:pPr>
        <w:pStyle w:val="ListParagraph"/>
        <w:numPr>
          <w:ilvl w:val="0"/>
          <w:numId w:val="21"/>
        </w:numPr>
      </w:pPr>
      <w:r>
        <w:t xml:space="preserve">General : « Skip certificate installation during enrollment » coché (un certificat SSL interne/tiers de confiance est déjà en place sur l'instance) ; « Restrict re-enrollment to authorized users only » et « Use a third-party signing certificate » décochés.</w:t>
      </w:r>
    </w:p>
    <w:p>
      <w:pPr>
        <w:pStyle w:val="ListParagraph"/>
        <w:numPr>
          <w:ilvl w:val="0"/>
          <w:numId w:val="21"/>
        </w:numPr>
      </w:pPr>
      <w:r>
        <w:t xml:space="preserve">Messaging : message d'enrôlement en anglais par défaut (Enroll Your Device) — à adapter/traduire si besoin.</w:t>
      </w:r>
    </w:p>
    <w:p>
      <w:pPr>
        <w:pStyle w:val="ListParagraph"/>
        <w:numPr>
          <w:ilvl w:val="0"/>
          <w:numId w:val="21"/>
        </w:numPr>
      </w:pPr>
      <w:r>
        <w:t xml:space="preserve">Computers : « Enable user-initiated enrollment for computers » coché (URL d'enrôlement https://&lt;tenant-jamf&gt;.jamfcloud.com/enroll). Compte admin managé, SSH forcé et lancement de Self Service laissés désactivés dans le lab.</w:t>
      </w:r>
    </w:p>
    <w:p>
      <w:pPr>
        <w:pStyle w:val="ListParagraph"/>
        <w:numPr>
          <w:ilvl w:val="0"/>
          <w:numId w:val="21"/>
        </w:numPr>
      </w:pPr>
      <w:r>
        <w:t xml:space="preserve">Devices : « Enable for institutionally owned devices » coché sous Profile-Driven Enrollment via URL. Les options Account-Driven (Managed Apple ID) ne sont pas utilisées dans ce lab.</w:t>
      </w:r>
    </w:p>
    <w:p>
      <w:pPr>
        <w:pStyle w:val="ListParagraph"/>
        <w:numPr>
          <w:ilvl w:val="0"/>
          <w:numId w:val="21"/>
        </w:numPr>
      </w:pPr>
      <w:r>
        <w:t xml:space="preserve">Access : la table Directory Service Groups restreint qui peut s'auto-enrôler, par groupe et par mode (Profile-Driven / Account-Driven).</w:t>
      </w:r>
    </w:p>
    <w:p>
      <w:pPr>
        <w:jc w:val="center"/>
      </w:pPr>
      <w:r>
        <w:drawing>
          <wp:inline distT="0" distB="0" distL="0" distR="0">
            <wp:extent cx="5760720" cy="5077077"/>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213"/>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General</w:t>
      </w:r>
    </w:p>
    <w:p>
      <w:pPr>
        <w:jc w:val="center"/>
      </w:pPr>
      <w:r>
        <w:drawing>
          <wp:inline distT="0" distB="0" distL="0" distR="0">
            <wp:extent cx="5760720" cy="5077077"/>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214"/>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Messaging</w:t>
      </w:r>
    </w:p>
    <w:p>
      <w:pPr>
        <w:jc w:val="center"/>
      </w:pPr>
      <w:r>
        <w:drawing>
          <wp:inline distT="0" distB="0" distL="0" distR="0">
            <wp:extent cx="5760720" cy="5077077"/>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215"/>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Computers</w:t>
      </w:r>
    </w:p>
    <w:p>
      <w:pPr>
        <w:jc w:val="center"/>
      </w:pPr>
      <w:r>
        <w:drawing>
          <wp:inline distT="0" distB="0" distL="0" distR="0">
            <wp:extent cx="5760720" cy="5077077"/>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216"/>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Devices</w:t>
      </w:r>
    </w:p>
    <w:p>
      <w:pPr>
        <w:jc w:val="center"/>
      </w:pPr>
      <w:r>
        <w:drawing>
          <wp:inline distT="0" distB="0" distL="0" distR="0">
            <wp:extent cx="5760720" cy="5077077"/>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217"/>
                    <a:stretch>
                      <a:fillRect/>
                    </a:stretch>
                  </pic:blipFill>
                  <pic:spPr>
                    <a:xfrm>
                      <a:off x="0" y="0"/>
                      <a:ext cx="5760720" cy="5077077"/>
                    </a:xfrm>
                    <a:prstGeom prst="rect">
                      <a:avLst/>
                    </a:prstGeom>
                  </pic:spPr>
                </pic:pic>
              </a:graphicData>
            </a:graphic>
          </wp:inline>
        </w:drawing>
      </w:r>
    </w:p>
    <w:p>
      <w:pPr>
        <w:pStyle w:val="Caption-Figure"/>
        <w:jc w:val="center"/>
      </w:pPr>
      <w:r>
        <w:t xml:space="preserve">User-initiated enrollment — Access, groupes Directory Service</w:t>
      </w:r>
    </w:p>
    <w:p>
      <w:pPr>
        <w:pStyle w:val="IntenseQuote"/>
      </w:pPr>
      <w:r>
        <w:rPr>
          <w:b/>
        </w:rPr>
        <w:t xml:space="preserve">ℹ️ Portée. </w:t>
      </w:r>
      <w:r>
        <w:t xml:space="preserve">Cette configuration ne concerne que l'enrôlement MDM initial (obtenir un Mac/iPad géré dans Jamf) — elle est indépendante du flux EAP-TLS, qui s'appuie sur le profil de configuration poussé une fois l'appareil déjà enrôlé.</w:t>
      </w:r>
    </w:p>
    <w:p>
      <w:pPr>
        <w:pStyle w:val="Heading2"/>
      </w:pPr>
      <w:r>
        <w:t xml:space="preserve">4.2 Créer le profil de configuration (Certificate + SCEP + Network)</w:t>
      </w:r>
    </w:p>
    <w:p>
      <w:r>
        <w:rPr>
          <w:b/>
        </w:rPr>
        <w:t xml:space="preserve">1.</w:t>
      </w:r>
      <w:r>
        <w:t xml:space="preserve"> Ouvrir Computers &gt; Configuration Profiles puis créer un profil. Lui donner un nom explicite, ex. Luconik-CentralNAC-EAPTLS.</w:t>
      </w:r>
    </w:p>
    <w:p>
      <w:pPr>
        <w:jc w:val="center"/>
      </w:pPr>
      <w:r>
        <w:drawing>
          <wp:inline distT="0" distB="0" distL="0" distR="0">
            <wp:extent cx="5760720" cy="5086928"/>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218"/>
                    <a:stretch>
                      <a:fillRect/>
                    </a:stretch>
                  </pic:blipFill>
                  <pic:spPr>
                    <a:xfrm>
                      <a:off x="0" y="0"/>
                      <a:ext cx="5760720" cy="5086928"/>
                    </a:xfrm>
                    <a:prstGeom prst="rect">
                      <a:avLst/>
                    </a:prstGeom>
                  </pic:spPr>
                </pic:pic>
              </a:graphicData>
            </a:graphic>
          </wp:inline>
        </w:drawing>
      </w:r>
    </w:p>
    <w:p>
      <w:pPr>
        <w:pStyle w:val="Caption-Figure"/>
        <w:jc w:val="center"/>
      </w:pPr>
      <w:r>
        <w:t xml:space="preserve">Profil de configuration — General</w:t>
      </w:r>
    </w:p>
    <w:p>
      <w:r>
        <w:rPr>
          <w:b/>
        </w:rPr>
        <w:t xml:space="preserve">2.</w:t>
      </w:r>
      <w:r>
        <w:t xml:space="preserve"> Ajouter le payload Certificate et y uploader le certificat racine de la PKI Central NAC (Cloud Authentication Private Root CA, powered by HPE Aruba — téléchargeable depuis Central NAC). Lui donner un nom identifiable, ex. CentralNAC_Certificate — il sera référencé par le payload Network à l'étape 4.</w:t>
      </w:r>
    </w:p>
    <w:p>
      <w:pPr>
        <w:jc w:val="center"/>
      </w:pPr>
      <w:r>
        <w:drawing>
          <wp:inline distT="0" distB="0" distL="0" distR="0">
            <wp:extent cx="5760720" cy="5086928"/>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219"/>
                    <a:stretch>
                      <a:fillRect/>
                    </a:stretch>
                  </pic:blipFill>
                  <pic:spPr>
                    <a:xfrm>
                      <a:off x="0" y="0"/>
                      <a:ext cx="5760720" cy="5086928"/>
                    </a:xfrm>
                    <a:prstGeom prst="rect">
                      <a:avLst/>
                    </a:prstGeom>
                  </pic:spPr>
                </pic:pic>
              </a:graphicData>
            </a:graphic>
          </wp:inline>
        </w:drawing>
      </w:r>
    </w:p>
    <w:p>
      <w:pPr>
        <w:pStyle w:val="Caption-Figure"/>
        <w:jc w:val="center"/>
      </w:pPr>
      <w:r>
        <w:t xml:space="preserve">Payload Certificate — certificat racine Central NAC</w:t>
      </w:r>
    </w:p>
    <w:p>
      <w:r>
        <w:rPr>
          <w:b/>
        </w:rPr>
        <w:t xml:space="preserve">3.</w:t>
      </w:r>
      <w:r>
        <w:t xml:space="preserve"> Ajouter le payload SCEP, avec Certificate authority type : Manual configuration, et renseigner :</w:t>
      </w:r>
    </w:p>
    <w:tbl>
      <w:tblPr>
        <w:tblStyle w:val="HPETable"/>
        <w:tblW w:w="10466" w:type="dxa"/>
        <w:tblLook w:val="04A0" w:firstRow="1" w:lastRow="0" w:firstColumn="0" w:lastColumn="0" w:noHBand="0" w:noVBand="1"/>
      </w:tblPr>
      <w:tblGrid>
        <w:gridCol w:w="5233"/>
        <w:gridCol w:w="5233"/>
      </w:tblGrid>
      <w:tr>
        <w:tc>
          <w:tcPr>
            <w:tcW w:w="5233" w:type="dxa"/>
          </w:tcPr>
          <w:p>
            <w:r>
              <w:rPr>
                <w:b/>
              </w:rPr>
              <w:t xml:space="preserve">Champ</w:t>
            </w:r>
          </w:p>
        </w:tc>
        <w:tc>
          <w:tcPr>
            <w:tcW w:w="5233" w:type="dxa"/>
          </w:tcPr>
          <w:p>
            <w:r>
              <w:rPr>
                <w:b/>
              </w:rPr>
              <w:t xml:space="preserve">Valeur</w:t>
            </w:r>
          </w:p>
        </w:tc>
      </w:tr>
      <w:tr>
        <w:tc>
          <w:tcPr>
            <w:tcW w:w="5233" w:type="dxa"/>
          </w:tcPr>
          <w:p>
            <w:r>
              <w:t xml:space="preserve">URL</w:t>
            </w:r>
          </w:p>
        </w:tc>
        <w:tc>
          <w:tcPr>
            <w:tcW w:w="5233" w:type="dxa"/>
          </w:tcPr>
          <w:p>
            <w:r>
              <w:t xml:space="preserve">URL SCEP fournie par l'extension Jamf de Central (Partie 1)</w:t>
            </w:r>
          </w:p>
        </w:tc>
      </w:tr>
      <w:tr>
        <w:tc>
          <w:tcPr>
            <w:tcW w:w="5233" w:type="dxa"/>
          </w:tcPr>
          <w:p>
            <w:r>
              <w:t xml:space="preserve">Name</w:t>
            </w:r>
          </w:p>
        </w:tc>
        <w:tc>
          <w:tcPr>
            <w:tcW w:w="5233" w:type="dxa"/>
          </w:tcPr>
          <w:p>
            <w:r>
              <w:t xml:space="preserve">identifiant de l'instance, ex. CentralNAC</w:t>
            </w:r>
          </w:p>
        </w:tc>
      </w:tr>
      <w:tr>
        <w:tc>
          <w:tcPr>
            <w:tcW w:w="5233" w:type="dxa"/>
          </w:tcPr>
          <w:p>
            <w:r>
              <w:t xml:space="preserve">Subject</w:t>
            </w:r>
          </w:p>
        </w:tc>
        <w:tc>
          <w:tcPr>
            <w:tcW w:w="5233" w:type="dxa"/>
          </w:tcPr>
          <w:p>
            <w:r>
              <w:t xml:space="preserve">CN=$USERNAME</w:t>
            </w:r>
          </w:p>
        </w:tc>
      </w:tr>
      <w:tr>
        <w:tc>
          <w:tcPr>
            <w:tcW w:w="5233" w:type="dxa"/>
          </w:tcPr>
          <w:p>
            <w:r>
              <w:t xml:space="preserve">SAN type</w:t>
            </w:r>
          </w:p>
        </w:tc>
        <w:tc>
          <w:tcPr>
            <w:tcW w:w="5233" w:type="dxa"/>
          </w:tcPr>
          <w:p>
            <w:r>
              <w:t xml:space="preserve">Uniform Resource Identifier</w:t>
            </w:r>
          </w:p>
        </w:tc>
      </w:tr>
      <w:tr>
        <w:tc>
          <w:tcPr>
            <w:tcW w:w="5233" w:type="dxa"/>
          </w:tcPr>
          <w:p>
            <w:r>
              <w:t xml:space="preserve">SAN value</w:t>
            </w:r>
          </w:p>
        </w:tc>
        <w:tc>
          <w:tcPr>
            <w:tcW w:w="5233" w:type="dxa"/>
          </w:tcPr>
          <w:p>
            <w:r>
              <w:t xml:space="preserve">cnac+jamf:///?DeviceId=$JSSID</w:t>
            </w:r>
          </w:p>
        </w:tc>
      </w:tr>
      <w:tr>
        <w:tc>
          <w:tcPr>
            <w:tcW w:w="5233" w:type="dxa"/>
          </w:tcPr>
          <w:p>
            <w:r>
              <w:t xml:space="preserve">Challenge Type</w:t>
            </w:r>
          </w:p>
        </w:tc>
        <w:tc>
          <w:tcPr>
            <w:tcW w:w="5233" w:type="dxa"/>
          </w:tcPr>
          <w:p>
            <w:r>
              <w:t xml:space="preserve">Dynamic</w:t>
            </w:r>
          </w:p>
        </w:tc>
      </w:tr>
      <w:tr>
        <w:tc>
          <w:tcPr>
            <w:tcW w:w="5233" w:type="dxa"/>
          </w:tcPr>
          <w:p>
            <w:r>
              <w:t xml:space="preserve">Key Size</w:t>
            </w:r>
          </w:p>
        </w:tc>
        <w:tc>
          <w:tcPr>
            <w:tcW w:w="5233" w:type="dxa"/>
          </w:tcPr>
          <w:p>
            <w:r>
              <w:t xml:space="preserve">2048</w:t>
            </w:r>
          </w:p>
        </w:tc>
      </w:tr>
    </w:tbl>
    <w:p/>
    <w:p>
      <w:pPr>
        <w:jc w:val="center"/>
      </w:pPr>
      <w:r>
        <w:drawing>
          <wp:inline distT="0" distB="0" distL="0" distR="0">
            <wp:extent cx="5760720" cy="5086928"/>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220"/>
                    <a:stretch>
                      <a:fillRect/>
                    </a:stretch>
                  </pic:blipFill>
                  <pic:spPr>
                    <a:xfrm>
                      <a:off x="0" y="0"/>
                      <a:ext cx="5760720" cy="5086928"/>
                    </a:xfrm>
                    <a:prstGeom prst="rect">
                      <a:avLst/>
                    </a:prstGeom>
                  </pic:spPr>
                </pic:pic>
              </a:graphicData>
            </a:graphic>
          </wp:inline>
        </w:drawing>
      </w:r>
    </w:p>
    <w:p>
      <w:pPr>
        <w:pStyle w:val="Caption-Figure"/>
        <w:jc w:val="center"/>
      </w:pPr>
      <w:r>
        <w:t xml:space="preserve">Payload SCEP : URL, subject et SAN</w:t>
      </w:r>
    </w:p>
    <w:p>
      <w:r>
        <w:t xml:space="preserve">Le schéma cnac+jamf:// est spécifique à l'intégration Jamf. Il remplace le schéma cnac+intune:// de la technote Intune. $JSSID est résolu par Jamf avec l'identifiant Jamf de l'appareil ; les séquences Computer et Mobile Device étant distinctes, un Mac et un iPad peuvent tous deux avoir DeviceId=1.</w:t>
      </w:r>
    </w:p>
    <w:p>
      <w:r>
        <w:t xml:space="preserve">Après émission, vérifier sur le terminal que le certificat contient le SAN suivant :</w:t>
      </w:r>
    </w:p>
    <w:p>
      <w:pPr>
        <w:shd w:val="clear" w:color="auto" w:fill="F2F2F2"/>
        <w:ind w:left="360"/>
      </w:pPr>
      <w:r>
        <w:rPr>
          <w:rFonts w:ascii="Consolas" w:hAnsi="Consolas"/>
          <w:sz w:val="20"/>
        </w:rPr>
        <w:t xml:space="preserve">URI:cnac+jamf:///?DeviceId=&lt;id-jamf&gt;</w:t>
      </w:r>
    </w:p>
    <w:p>
      <w:pPr>
        <w:jc w:val="center"/>
      </w:pPr>
      <w:r>
        <w:drawing>
          <wp:inline distT="0" distB="0" distL="0" distR="0">
            <wp:extent cx="5760720" cy="1538313"/>
            <wp:effectExtent l="0" t="0" r="0" b="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222"/>
                    <pic:cNvPicPr/>
                  </pic:nvPicPr>
                  <pic:blipFill>
                    <a:blip r:embed="rId221"/>
                    <a:stretch>
                      <a:fillRect/>
                    </a:stretch>
                  </pic:blipFill>
                  <pic:spPr>
                    <a:xfrm>
                      <a:off x="0" y="0"/>
                      <a:ext cx="5760720" cy="1538313"/>
                    </a:xfrm>
                    <a:prstGeom prst="rect">
                      <a:avLst/>
                    </a:prstGeom>
                  </pic:spPr>
                </pic:pic>
              </a:graphicData>
            </a:graphic>
          </wp:inline>
        </w:drawing>
      </w:r>
    </w:p>
    <w:p>
      <w:pPr>
        <w:pStyle w:val="Caption-Figure"/>
        <w:jc w:val="center"/>
      </w:pPr>
      <w:r>
        <w:t xml:space="preserve">SAN URI du certificat émis (vérification openssl)</w:t>
      </w:r>
    </w:p>
    <w:p>
      <w:r>
        <w:rPr>
          <w:b/>
        </w:rPr>
        <w:t xml:space="preserve">4.</w:t>
      </w:r>
      <w:r>
        <w:t xml:space="preserve"> Ajouter le payload Network : Network Interface = Wi-Fi ; Service Set Identifier (SSID) = luconik-jamf ; Security Type = WPA3 Enterprise.</w:t>
      </w:r>
    </w:p>
    <w:p>
      <w:pPr>
        <w:jc w:val="center"/>
      </w:pPr>
      <w:r>
        <w:drawing>
          <wp:inline distT="0" distB="0" distL="0" distR="0">
            <wp:extent cx="5760720" cy="5086928"/>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222"/>
                    <a:stretch>
                      <a:fillRect/>
                    </a:stretch>
                  </pic:blipFill>
                  <pic:spPr>
                    <a:xfrm>
                      <a:off x="0" y="0"/>
                      <a:ext cx="5760720" cy="5086928"/>
                    </a:xfrm>
                    <a:prstGeom prst="rect">
                      <a:avLst/>
                    </a:prstGeom>
                  </pic:spPr>
                </pic:pic>
              </a:graphicData>
            </a:graphic>
          </wp:inline>
        </w:drawing>
      </w:r>
    </w:p>
    <w:p>
      <w:pPr>
        <w:pStyle w:val="Caption-Figure"/>
        <w:jc w:val="center"/>
      </w:pPr>
      <w:r>
        <w:t xml:space="preserve">Payload Network — SSID et Security Type</w:t>
      </w:r>
    </w:p>
    <w:p>
      <w:r>
        <w:t xml:space="preserve">Dans l'onglet Protocols, cocher TLS dans Accepted EAP Types. Dans l'onglet Trust : Identity Certificate = le payload SCEP créé à l'étape 3 (il apparaît dans la liste sous la forme SCEP (&lt;Name&gt;)) ; Trusted Certificates = le certificat racine uploadé à l'étape 2 (CentralNAC_Certificate).</w:t>
      </w:r>
    </w:p>
    <w:p>
      <w:pPr>
        <w:jc w:val="center"/>
      </w:pPr>
      <w:r>
        <w:drawing>
          <wp:inline distT="0" distB="0" distL="0" distR="0">
            <wp:extent cx="5760720" cy="5086928"/>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224"/>
                    <pic:cNvPicPr/>
                  </pic:nvPicPr>
                  <pic:blipFill>
                    <a:blip r:embed="rId223"/>
                    <a:stretch>
                      <a:fillRect/>
                    </a:stretch>
                  </pic:blipFill>
                  <pic:spPr>
                    <a:xfrm>
                      <a:off x="0" y="0"/>
                      <a:ext cx="5760720" cy="5086928"/>
                    </a:xfrm>
                    <a:prstGeom prst="rect">
                      <a:avLst/>
                    </a:prstGeom>
                  </pic:spPr>
                </pic:pic>
              </a:graphicData>
            </a:graphic>
          </wp:inline>
        </w:drawing>
      </w:r>
    </w:p>
    <w:p>
      <w:pPr>
        <w:pStyle w:val="Caption-Figure"/>
        <w:jc w:val="center"/>
      </w:pPr>
      <w:r>
        <w:t xml:space="preserve">Payload Network — onglet Trust, Identity Certificate et Trusted Certificates</w:t>
      </w:r>
    </w:p>
    <w:p>
      <w:r>
        <w:rPr>
          <w:b/>
        </w:rPr>
        <w:t xml:space="preserve">5.</w:t>
      </w:r>
      <w:r>
        <w:t xml:space="preserve"> Enregistrer le profil.</w:t>
      </w:r>
    </w:p>
    <w:p>
      <w:pPr>
        <w:pStyle w:val="Heading2"/>
      </w:pPr>
      <w:r>
        <w:t xml:space="preserve">4.3 Déployer le profil</w:t>
      </w:r>
    </w:p>
    <w:p>
      <w:pPr>
        <w:pStyle w:val="ListParagraph"/>
        <w:numPr>
          <w:ilvl w:val="0"/>
          <w:numId w:val="512"/>
        </w:numPr>
      </w:pPr>
      <w:r>
        <w:t xml:space="preserve">Dans l'onglet Scope du profil, affecter les appareils cibles. Un Smart Computer Group / Smart Mobile Device Group est recommandé en production pour un déploiement à l'échelle ; en lab, un ciblage direct sur les appareils spécifiques (Specific Computers / Specific Mobile Devices) suffit.</w:t>
      </w:r>
    </w:p>
    <w:p>
      <w:pPr>
        <w:pStyle w:val="ListParagraph"/>
        <w:numPr>
          <w:ilvl w:val="0"/>
          <w:numId w:val="512"/>
        </w:numPr>
      </w:pPr>
      <w:r>
        <w:t xml:space="preserve">Enregistrer et attendre le prochain check-in des appareils.</w:t>
      </w:r>
    </w:p>
    <w:p>
      <w:pPr>
        <w:jc w:val="center"/>
      </w:pPr>
      <w:r>
        <w:drawing>
          <wp:inline distT="0" distB="0" distL="0" distR="0">
            <wp:extent cx="5760720" cy="5086928"/>
            <wp:effectExtent l="0" t="0" r="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225"/>
                    <pic:cNvPicPr/>
                  </pic:nvPicPr>
                  <pic:blipFill>
                    <a:blip r:embed="rId224"/>
                    <a:stretch>
                      <a:fillRect/>
                    </a:stretch>
                  </pic:blipFill>
                  <pic:spPr>
                    <a:xfrm>
                      <a:off x="0" y="0"/>
                      <a:ext cx="5760720" cy="5086928"/>
                    </a:xfrm>
                    <a:prstGeom prst="rect">
                      <a:avLst/>
                    </a:prstGeom>
                  </pic:spPr>
                </pic:pic>
              </a:graphicData>
            </a:graphic>
          </wp:inline>
        </w:drawing>
      </w:r>
    </w:p>
    <w:p>
      <w:pPr>
        <w:pStyle w:val="Caption-Figure"/>
        <w:jc w:val="center"/>
      </w:pPr>
      <w:r>
        <w:t xml:space="preserve">Scope du profil macOS — Target Computers</w:t>
      </w:r>
    </w:p>
    <w:p>
      <w:pPr>
        <w:pStyle w:val="IntenseQuote"/>
      </w:pPr>
      <w:r>
        <w:rPr>
          <w:b/>
        </w:rPr>
        <w:t xml:space="preserve">ℹ️ Note. </w:t>
      </w:r>
      <w:r>
        <w:t xml:space="preserve">Un appareil Apple ne peut être enrôlé que dans un seul MDM à la fois. Désenrôler l'appareil d'un MDM précédent avant de l'enrôler dans Jamf Pro.</w:t>
      </w:r>
    </w:p>
    <w:p>
      <w:pPr>
        <w:pStyle w:val="Heading2"/>
      </w:pPr>
      <w:r>
        <w:t xml:space="preserve">4.4 iOS/iPadOS : un profil dédié</w:t>
      </w:r>
    </w:p>
    <w:p>
      <w:r>
        <w:t xml:space="preserve">Le même principe (Certificate + SCEP + Network/Wi-Fi) s'applique à iOS/iPadOS, mais dans un profil de configuration mobile distinct — Jamf Pro sépare les profils Computers et Mobile Devices. Dupliquer la convention de nommage avec un suffixe, ex. Luconik-CentralNAC-EAPTLS-iOS.</w:t>
      </w:r>
    </w:p>
    <w:p>
      <w:pPr>
        <w:jc w:val="center"/>
      </w:pPr>
      <w:r>
        <w:drawing>
          <wp:inline distT="0" distB="0" distL="0" distR="0">
            <wp:extent cx="5760720" cy="5086928"/>
            <wp:effectExtent l="0" t="0" r="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225"/>
                    <a:stretch>
                      <a:fillRect/>
                    </a:stretch>
                  </pic:blipFill>
                  <pic:spPr>
                    <a:xfrm>
                      <a:off x="0" y="0"/>
                      <a:ext cx="5760720" cy="5086928"/>
                    </a:xfrm>
                    <a:prstGeom prst="rect">
                      <a:avLst/>
                    </a:prstGeom>
                  </pic:spPr>
                </pic:pic>
              </a:graphicData>
            </a:graphic>
          </wp:inline>
        </w:drawing>
      </w:r>
    </w:p>
    <w:p>
      <w:pPr>
        <w:pStyle w:val="Caption-Figure"/>
        <w:jc w:val="center"/>
      </w:pPr>
      <w:r>
        <w:t xml:space="preserve">Profil de configuration iOS — General</w:t>
      </w:r>
    </w:p>
    <w:p>
      <w:r>
        <w:t xml:space="preserve">Les payloads Certificate et SCEP sont identiques à la version macOS. Seul le payload Network change de nom : sur mobile, il s'agit du payload Wi-Fi, avec un Security Type libellé WPA3 Enterprise (iOS 13 or later). Le fonctionnement des onglets Protocols / Trust reste identique.</w:t>
      </w:r>
    </w:p>
    <w:p>
      <w:pPr>
        <w:jc w:val="center"/>
      </w:pPr>
      <w:r>
        <w:drawing>
          <wp:inline distT="0" distB="0" distL="0" distR="0">
            <wp:extent cx="5760720" cy="5086928"/>
            <wp:effectExtent l="0" t="0" r="0"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227"/>
                    <pic:cNvPicPr/>
                  </pic:nvPicPr>
                  <pic:blipFill>
                    <a:blip r:embed="rId226"/>
                    <a:stretch>
                      <a:fillRect/>
                    </a:stretch>
                  </pic:blipFill>
                  <pic:spPr>
                    <a:xfrm>
                      <a:off x="0" y="0"/>
                      <a:ext cx="5760720" cy="5086928"/>
                    </a:xfrm>
                    <a:prstGeom prst="rect">
                      <a:avLst/>
                    </a:prstGeom>
                  </pic:spPr>
                </pic:pic>
              </a:graphicData>
            </a:graphic>
          </wp:inline>
        </w:drawing>
      </w:r>
    </w:p>
    <w:p>
      <w:pPr>
        <w:pStyle w:val="Caption-Figure"/>
        <w:jc w:val="center"/>
      </w:pPr>
      <w:r>
        <w:t xml:space="preserve">Payload Wi-Fi iOS — onglet Trust</w:t>
      </w:r>
    </w:p>
    <w:p>
      <w:r>
        <w:br w:type="page"/>
      </w:r>
    </w:p>
    <w:p>
      <w:pPr>
        <w:pStyle w:val="Heading1"/>
      </w:pPr>
      <w:r>
        <w:t xml:space="preserve">Partie 5 — Validation</w:t>
      </w:r>
    </w:p>
    <w:p>
      <w:pPr>
        <w:pStyle w:val="ListParagraph"/>
        <w:numPr>
          <w:ilvl w:val="0"/>
          <w:numId w:val="513"/>
        </w:numPr>
      </w:pPr>
      <w:r>
        <w:t xml:space="preserve">Dans Jamf Pro, vérifier que le Mac et l'iPad sont gérés et que les profils SCEP et Wi-Fi sont installés. Côté Mac, la vérification peut aussi se faire directement dans Réglages Système &gt; Général &gt; Gestion des appareils : le profil Luconik-CentralNAC-EAPTLS doit apparaître avec ses 3 payloads (Certificate + SCEP + Network).</w:t>
      </w:r>
    </w:p>
    <w:p>
      <w:pPr>
        <w:jc w:val="center"/>
      </w:pPr>
      <w:r>
        <w:drawing>
          <wp:inline distT="0" distB="0" distL="0" distR="0">
            <wp:extent cx="5760720" cy="5136642"/>
            <wp:effectExtent l="0" t="0" r="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227"/>
                    <a:stretch>
                      <a:fillRect/>
                    </a:stretch>
                  </pic:blipFill>
                  <pic:spPr>
                    <a:xfrm>
                      <a:off x="0" y="0"/>
                      <a:ext cx="5760720" cy="5136642"/>
                    </a:xfrm>
                    <a:prstGeom prst="rect">
                      <a:avLst/>
                    </a:prstGeom>
                  </pic:spPr>
                </pic:pic>
              </a:graphicData>
            </a:graphic>
          </wp:inline>
        </w:drawing>
      </w:r>
    </w:p>
    <w:p>
      <w:pPr>
        <w:pStyle w:val="Caption-Figure"/>
        <w:jc w:val="center"/>
      </w:pPr>
      <w:r>
        <w:t xml:space="preserve">Gestion des appareils macOS — profil Luconik-CentralNAC-EAPTLS installé</w:t>
      </w:r>
    </w:p>
    <w:p>
      <w:r>
        <w:t xml:space="preserve">Sur le terminal, vérifier le SAN du certificat puis la connexion automatique au SSID luconik-jamf.</w:t>
      </w:r>
    </w:p>
    <w:p>
      <w:pPr>
        <w:pStyle w:val="IntenseQuote"/>
      </w:pPr>
      <w:r>
        <w:rPr>
          <w:b/>
        </w:rPr>
        <w:t xml:space="preserve">⚠️ Sélecteur de certificat côté macOS. </w:t>
      </w:r>
      <w:r>
        <w:t xml:space="preserve">Si plusieurs identités client sont présentes sur le terminal (ex. une identité d'enrôlement liée à un Managed Apple ID), macOS peut demander de choisir manuellement le certificat à utiliser pour le SSID au lieu de retenir automatiquement celui du payload SCEP. Sélectionner le certificat émis par la PKI Central NAC (SAN cnac+jamf://...), pas une identité d'enrôlement Apple ID.</w:t>
      </w:r>
    </w:p>
    <w:p>
      <w:pPr>
        <w:jc w:val="center"/>
      </w:pPr>
      <w:r>
        <w:drawing>
          <wp:inline distT="0" distB="0" distL="0" distR="0">
            <wp:extent cx="5760720" cy="3565582"/>
            <wp:effectExtent l="0" t="0" r="0" b="0"/>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228"/>
                    <a:stretch>
                      <a:fillRect/>
                    </a:stretch>
                  </pic:blipFill>
                  <pic:spPr>
                    <a:xfrm>
                      <a:off x="0" y="0"/>
                      <a:ext cx="5760720" cy="3565582"/>
                    </a:xfrm>
                    <a:prstGeom prst="rect">
                      <a:avLst/>
                    </a:prstGeom>
                  </pic:spPr>
                </pic:pic>
              </a:graphicData>
            </a:graphic>
          </wp:inline>
        </w:drawing>
      </w:r>
    </w:p>
    <w:p>
      <w:pPr>
        <w:pStyle w:val="Caption-Figure"/>
        <w:jc w:val="center"/>
      </w:pPr>
      <w:r>
        <w:t xml:space="preserve">Sélecteur de certificat macOS pour le SSID luconik-jamf</w:t>
      </w:r>
    </w:p>
    <w:p>
      <w:pPr>
        <w:pStyle w:val="ListParagraph"/>
        <w:numPr>
          <w:ilvl w:val="0"/>
          <w:numId w:val="514"/>
        </w:numPr>
      </w:pPr>
      <w:r>
        <w:t xml:space="preserve">Dans Central, ouvrir Menu &gt; Central NAC &gt; Clients et sélectionner la période contenant le test.</w:t>
      </w:r>
    </w:p>
    <w:p>
      <w:pPr>
        <w:pStyle w:val="ListParagraph"/>
        <w:numPr>
          <w:ilvl w:val="0"/>
          <w:numId w:val="514"/>
        </w:numPr>
      </w:pPr>
      <w:r>
        <w:t xml:space="preserve">Vérifier que la session est Accepted, que le WLAN est luconik-jamf et que le rôle correspond au groupe EntraID.</w:t>
      </w:r>
    </w:p>
    <w:p>
      <w:pPr>
        <w:jc w:val="center"/>
      </w:pPr>
      <w:r>
        <w:drawing>
          <wp:inline distT="0" distB="0" distL="0" distR="0">
            <wp:extent cx="5760720" cy="4084186"/>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230"/>
                    <pic:cNvPicPr/>
                  </pic:nvPicPr>
                  <pic:blipFill>
                    <a:blip r:embed="rId229"/>
                    <a:stretch>
                      <a:fillRect/>
                    </a:stretch>
                  </pic:blipFill>
                  <pic:spPr>
                    <a:xfrm>
                      <a:off x="0" y="0"/>
                      <a:ext cx="5760720" cy="4084186"/>
                    </a:xfrm>
                    <a:prstGeom prst="rect">
                      <a:avLst/>
                    </a:prstGeom>
                  </pic:spPr>
                </pic:pic>
              </a:graphicData>
            </a:graphic>
          </wp:inline>
        </w:drawing>
      </w:r>
    </w:p>
    <w:p>
      <w:pPr>
        <w:pStyle w:val="Caption-Figure"/>
        <w:jc w:val="center"/>
      </w:pPr>
      <w:r>
        <w:t xml:space="preserve">Session NAC du Mac</w:t>
      </w:r>
    </w:p>
    <w:p>
      <w:pPr>
        <w:jc w:val="center"/>
      </w:pPr>
      <w:r>
        <w:drawing>
          <wp:inline distT="0" distB="0" distL="0" distR="0">
            <wp:extent cx="5760720" cy="4739405"/>
            <wp:effectExtent l="0" t="0" r="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230"/>
                    <a:stretch>
                      <a:fillRect/>
                    </a:stretch>
                  </pic:blipFill>
                  <pic:spPr>
                    <a:xfrm>
                      <a:off x="0" y="0"/>
                      <a:ext cx="5760720" cy="4739405"/>
                    </a:xfrm>
                    <a:prstGeom prst="rect">
                      <a:avLst/>
                    </a:prstGeom>
                  </pic:spPr>
                </pic:pic>
              </a:graphicData>
            </a:graphic>
          </wp:inline>
        </w:drawing>
      </w:r>
    </w:p>
    <w:p>
      <w:pPr>
        <w:pStyle w:val="Caption-Figure"/>
        <w:jc w:val="center"/>
      </w:pPr>
      <w:r>
        <w:t xml:space="preserve">Session NAC de l'iPad</w:t>
      </w:r>
    </w:p>
    <w:p>
      <w:pPr>
        <w:pStyle w:val="IntenseQuote"/>
      </w:pPr>
      <w:r>
        <w:rPr>
          <w:b/>
        </w:rPr>
        <w:t xml:space="preserve">🔍 Anomalie observée (à remonter à HPE). </w:t>
      </w:r>
      <w:r>
        <w:t xml:space="preserve">Le champ User Groups de la vue NAC Client reste vide avec le profil Jamf, alors qu'il est correctement renseigné avec le profil Intune — même compte, même identity store, profils d'authentification identiques champ par champ. La règle d'autorisation matche néanmoins correctement et le rôle attendu est bien attribué : l'anomalie est d'affichage, pas fonctionnelle. Non bloquant, mais à signaler pour investigation.</w:t>
      </w:r>
    </w:p>
    <w:p>
      <w:pPr>
        <w:jc w:val="center"/>
      </w:pPr>
      <w:r>
        <w:drawing>
          <wp:inline distT="0" distB="0" distL="0" distR="0">
            <wp:extent cx="3905249" cy="2095499"/>
            <wp:effectExtent l="0" t="0" r="0" b="0"/>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231"/>
                    <a:stretch>
                      <a:fillRect/>
                    </a:stretch>
                  </pic:blipFill>
                  <pic:spPr>
                    <a:xfrm>
                      <a:off x="0" y="0"/>
                      <a:ext cx="3905249" cy="2095499"/>
                    </a:xfrm>
                    <a:prstGeom prst="rect">
                      <a:avLst/>
                    </a:prstGeom>
                  </pic:spPr>
                </pic:pic>
              </a:graphicData>
            </a:graphic>
          </wp:inline>
        </w:drawing>
      </w:r>
    </w:p>
    <w:p>
      <w:pPr>
        <w:pStyle w:val="Caption-Figure"/>
        <w:jc w:val="center"/>
      </w:pPr>
      <w:r>
        <w:t xml:space="preserve">Anomalie — champ User Groups vide (profil Jamf)</w:t>
      </w:r>
    </w:p>
    <w:p>
      <w:r>
        <w:br w:type="page"/>
      </w:r>
    </w:p>
    <w:p>
      <w:pPr>
        <w:pStyle w:val="Heading1"/>
      </w:pPr>
      <w:r>
        <w:t xml:space="preserve">Références</w:t>
      </w:r>
    </w:p>
    <w:p>
      <w:pPr>
        <w:pStyle w:val="ListParagraph"/>
        <w:numPr>
          <w:ilvl w:val="0"/>
          <w:numId w:val="21"/>
        </w:numPr>
      </w:pPr>
      <w:r>
        <w:t xml:space="preserve">Technote HPE TechDocs — Central NAC + Microsoft Intune (référence pour la structure de ce document) : arubanetworking.hpe.com/techdocs/NAC/central-nac/central-nac-uem-onboarding-intune/</w:t>
      </w:r>
    </w:p>
    <w:p>
      <w:pPr>
        <w:pStyle w:val="ListParagraph"/>
        <w:numPr>
          <w:ilvl w:val="0"/>
          <w:numId w:val="21"/>
        </w:numPr>
      </w:pPr>
      <w:r>
        <w:t xml:space="preserve">Central NAC — Authentication and Authorization : arubanetworking.hpe.com/techdocs/NAC/central-nac/central-nac-authorization/</w:t>
      </w:r>
    </w:p>
    <w:p>
      <w:pPr>
        <w:pStyle w:val="ListParagraph"/>
        <w:numPr>
          <w:ilvl w:val="0"/>
          <w:numId w:val="21"/>
        </w:numPr>
      </w:pPr>
      <w:r>
        <w:t xml:space="preserve">Central NAC — Configuring EAP-TLS Profile : arubanetworking.hpe.com/techdocs/new-central/content/nac/config-eap.htm</w:t>
      </w:r>
    </w:p>
    <w:p>
      <w:pPr>
        <w:pStyle w:val="Heading1"/>
      </w:pPr>
      <w:r>
        <w:t xml:space="preserve">Historique des révisions</w:t>
      </w:r>
    </w:p>
    <w:tbl>
      <w:tblPr>
        <w:tblStyle w:val="HPETable"/>
        <w:tblW w:w="10466" w:type="dxa"/>
        <w:tblLook w:val="04A0" w:firstRow="1" w:lastRow="0" w:firstColumn="0" w:lastColumn="0" w:noHBand="0" w:noVBand="1"/>
      </w:tblPr>
      <w:tblGrid>
        <w:gridCol w:w="2616"/>
        <w:gridCol w:w="2616"/>
        <w:gridCol w:w="2616"/>
        <w:gridCol w:w="2618"/>
      </w:tblGrid>
      <w:tr>
        <w:tc>
          <w:tcPr>
            <w:tcW w:w="2616" w:type="dxa"/>
          </w:tcPr>
          <w:p>
            <w:r>
              <w:rPr>
                <w:b/>
              </w:rPr>
              <w:t xml:space="preserve">Date</w:t>
            </w:r>
          </w:p>
        </w:tc>
        <w:tc>
          <w:tcPr>
            <w:tcW w:w="2616" w:type="dxa"/>
          </w:tcPr>
          <w:p>
            <w:r>
              <w:rPr>
                <w:b/>
              </w:rPr>
              <w:t xml:space="preserve">Version</w:t>
            </w:r>
          </w:p>
        </w:tc>
        <w:tc>
          <w:tcPr>
            <w:tcW w:w="2616" w:type="dxa"/>
          </w:tcPr>
          <w:p>
            <w:r>
              <w:rPr>
                <w:b/>
              </w:rPr>
              <w:t xml:space="preserve">Auteur</w:t>
            </w:r>
          </w:p>
        </w:tc>
        <w:tc>
          <w:tcPr>
            <w:tcW w:w="2618" w:type="dxa"/>
          </w:tcPr>
          <w:p>
            <w:r>
              <w:rPr>
                <w:b/>
              </w:rPr>
              <w:t xml:space="preserve">Modifications</w:t>
            </w:r>
          </w:p>
        </w:tc>
      </w:tr>
      <w:tr>
        <w:tc>
          <w:tcPr>
            <w:tcW w:w="2616" w:type="dxa"/>
          </w:tcPr>
          <w:p>
            <w:r>
              <w:t xml:space="preserve">Septembre 2026</w:t>
            </w:r>
          </w:p>
        </w:tc>
        <w:tc>
          <w:tcPr>
            <w:tcW w:w="2616" w:type="dxa"/>
          </w:tcPr>
          <w:p>
            <w:r>
              <w:t xml:space="preserve">1.0</w:t>
            </w:r>
          </w:p>
        </w:tc>
        <w:tc>
          <w:tcPr>
            <w:tcW w:w="2616" w:type="dxa"/>
          </w:tcPr>
          <w:p>
            <w:r>
              <w:t xml:space="preserve">Nicolas Culetto</w:t>
            </w:r>
          </w:p>
        </w:tc>
        <w:tc>
          <w:tcPr>
            <w:tcW w:w="2618" w:type="dxa"/>
          </w:tcPr>
          <w:p>
            <w:r>
              <w:t xml:space="preserve">Version initiale — intégration validée en lab (Central Foundation + Jamf Pro Cloud 11.32)</w:t>
            </w:r>
          </w:p>
        </w:tc>
      </w:tr>
    </w:tbl>
    <w:p/>
    <w:sectPr w:rsidR="004D6BEB" w:rsidRPr="00FD36E8" w:rsidSect="00927C58">
      <w:footerReference w:type="default" r:id="rId42"/>
      <w:headerReference w:type="first" r:id="rId43"/>
      <w:footerReference w:type="first" r:id="rId44"/>
      <w:pgSz w:w="11906" w:h="16838" w:code="9"/>
      <w:pgMar w:top="720" w:right="720" w:bottom="720" w:left="720"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66608" w14:textId="77777777" w:rsidR="002D0BA0" w:rsidRDefault="002D0BA0" w:rsidP="00640F09">
      <w:pPr>
        <w:spacing w:after="0"/>
      </w:pPr>
      <w:r>
        <w:separator/>
      </w:r>
    </w:p>
  </w:endnote>
  <w:endnote w:type="continuationSeparator" w:id="0">
    <w:p w14:paraId="2EF8721E" w14:textId="77777777" w:rsidR="002D0BA0" w:rsidRDefault="002D0BA0" w:rsidP="00640F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PE Graphik">
    <w:panose1 w:val="00000000000000000000"/>
    <w:charset w:val="00"/>
    <w:family w:val="modern"/>
    <w:notTrueType/>
    <w:pitch w:val="variable"/>
    <w:sig w:usb0="A100007F" w:usb1="5000267B" w:usb2="00000000" w:usb3="00000000" w:csb0="00000193" w:csb1="00000000"/>
  </w:font>
  <w:font w:name="Aptos">
    <w:charset w:val="00"/>
    <w:family w:val="swiss"/>
    <w:pitch w:val="variable"/>
    <w:sig w:usb0="20000287" w:usb1="00000003" w:usb2="00000000" w:usb3="00000000" w:csb0="0000019F" w:csb1="00000000"/>
  </w:font>
  <w:font w:name="HPE Graphik Semibold">
    <w:panose1 w:val="00000000000000000000"/>
    <w:charset w:val="00"/>
    <w:family w:val="modern"/>
    <w:notTrueType/>
    <w:pitch w:val="variable"/>
    <w:sig w:usb0="A100007F" w:usb1="5000267B" w:usb2="00000000" w:usb3="00000000" w:csb0="00000193" w:csb1="00000000"/>
  </w:font>
  <w:font w:name="HPE Graphik Medium">
    <w:panose1 w:val="00000000000000000000"/>
    <w:charset w:val="00"/>
    <w:family w:val="modern"/>
    <w:notTrueType/>
    <w:pitch w:val="variable"/>
    <w:sig w:usb0="A100007F" w:usb1="5000267B" w:usb2="00000000" w:usb3="00000000" w:csb0="00000193" w:csb1="00000000"/>
  </w:font>
  <w:font w:name="HP Simplified">
    <w:altName w:val="Arial"/>
    <w:panose1 w:val="020B0604020204020204"/>
    <w:charset w:val="00"/>
    <w:family w:val="swiss"/>
    <w:pitch w:val="variable"/>
    <w:sig w:usb0="A00000AF" w:usb1="5000205B" w:usb2="00000000" w:usb3="00000000" w:csb0="00000093" w:csb1="00000000"/>
  </w:font>
  <w:font w:name="Arial Bold">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PE Graphik Light">
    <w:panose1 w:val="00000000000000000000"/>
    <w:charset w:val="00"/>
    <w:family w:val="modern"/>
    <w:notTrueType/>
    <w:pitch w:val="variable"/>
    <w:sig w:usb0="A100007F" w:usb1="5000267B" w:usb2="00000000" w:usb3="00000000" w:csb0="00000193"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tricHPE">
    <w:altName w:val="Calibri"/>
    <w:panose1 w:val="020B0503030202060203"/>
    <w:charset w:val="00"/>
    <w:family w:val="swiss"/>
    <w:notTrueType/>
    <w:pitch w:val="variable"/>
    <w:sig w:usb0="00000007" w:usb1="00000000" w:usb2="00000000" w:usb3="00000000" w:csb0="00000093" w:csb1="00000000"/>
  </w:font>
  <w:font w:name="MetricHPE-Light">
    <w:altName w:val="Cambria"/>
    <w:panose1 w:val="00000000000000000000"/>
    <w:charset w:val="00"/>
    <w:family w:val="roman"/>
    <w:notTrueType/>
    <w:pitch w:val="default"/>
  </w:font>
  <w:font w:name="MetricHPE Semibold">
    <w:altName w:val="Calibri"/>
    <w:panose1 w:val="020B0703030202060203"/>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C1A54" w14:textId="77777777" w:rsidR="000F40FA" w:rsidRDefault="000F40FA" w:rsidP="000F40FA">
    <w:pPr>
      <w:pStyle w:val="Footer"/>
      <w:ind w:right="180"/>
      <w:jc w:val="right"/>
    </w:pPr>
    <w:r w:rsidRPr="003D6A05">
      <w:t/>
    </w:r>
    <w:r>
      <w:t>Diffusion restreinte — usage interne HPE / partenaires</w:t>
    </w:r>
  </w:p>
  <w:p w14:paraId="5F57147E" w14:textId="1F5CEC26" w:rsidR="003F3702" w:rsidRPr="000F40FA" w:rsidRDefault="000F40F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Pr>
        <w:lang w:val="en-US"/>
      </w:rPr>
      <w:t>1</w:t>
    </w:r>
    <w:r w:rsidRPr="00DB44F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2B90C" w14:textId="23D5FD0F" w:rsidR="0061189E" w:rsidRPr="000F40FA" w:rsidRDefault="003B313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sidRPr="00DB44FD">
      <w:rPr>
        <w:lang w:val="en-US"/>
      </w:rPr>
      <w:t>1</w:t>
    </w:r>
    <w:r w:rsidRPr="00DB44F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22BB" w14:textId="77777777" w:rsidR="002D0BA0" w:rsidRDefault="002D0BA0" w:rsidP="00640F09">
      <w:pPr>
        <w:spacing w:after="0"/>
      </w:pPr>
      <w:r>
        <w:separator/>
      </w:r>
    </w:p>
  </w:footnote>
  <w:footnote w:type="continuationSeparator" w:id="0">
    <w:p w14:paraId="41288DFF" w14:textId="77777777" w:rsidR="002D0BA0" w:rsidRDefault="002D0BA0" w:rsidP="00640F09">
      <w:pPr>
        <w:spacing w:after="0"/>
      </w:pPr>
      <w:r>
        <w:continuationSeparator/>
      </w:r>
    </w:p>
  </w:footnote>
  <w:footnote w:id="1">
    <w:p w14:paraId="3D8E7A84" w14:textId="67FDC07E" w:rsidR="0061189E" w:rsidRPr="0070572E" w:rsidRDefault="0061189E" w:rsidP="0061189E">
      <w:pPr>
        <w:pStyle w:val="FootnoteText"/>
      </w:pPr>
      <w:r>
        <w:rPr>
          <w:rStyle w:val="FootnoteReference"/>
        </w:rPr>
        <w:footnoteRef/>
      </w:r>
      <w:r>
        <w:t xml:space="preserve"> If you pin a template and later want to remove it, it needs to be removed from the Registry Editor.  Go to </w:t>
      </w:r>
      <w:hyperlink w:anchor="_Appendix_A_–_1" w:history="1">
        <w:r w:rsidRPr="00D94975">
          <w:rPr>
            <w:rStyle w:val="Hyperlink"/>
          </w:rPr>
          <w:t>Appendix A</w:t>
        </w:r>
      </w:hyperlink>
      <w:r>
        <w:t xml:space="preserve"> for instructions.</w:t>
      </w:r>
    </w:p>
  </w:footnote>
  <w:footnote w:id="2">
    <w:p w14:paraId="04A83620" w14:textId="77777777" w:rsidR="00E4204F" w:rsidRPr="006F1D0F" w:rsidRDefault="00E4204F" w:rsidP="00E4204F">
      <w:pPr>
        <w:pStyle w:val="FootnoteText"/>
      </w:pPr>
      <w:r>
        <w:rPr>
          <w:rStyle w:val="FootnoteReference"/>
        </w:rPr>
        <w:footnoteRef/>
      </w:r>
      <w:r>
        <w:t xml:space="preserve"> </w:t>
      </w:r>
      <w:r w:rsidRPr="006F1D0F">
        <w:t>Sentence case is a capitalization style in which only the first word of a sentence and proper nouns are capitalized, with the rest of the words in lowercase.  It is frequently called “mixed case”.</w:t>
      </w:r>
    </w:p>
  </w:footnote>
  <w:footnote w:id="3">
    <w:p w14:paraId="443126FE" w14:textId="77777777" w:rsidR="00E4204F" w:rsidRPr="006F1D0F" w:rsidRDefault="00E4204F" w:rsidP="00E4204F">
      <w:pPr>
        <w:pStyle w:val="FootnoteText"/>
      </w:pPr>
      <w:r>
        <w:rPr>
          <w:rStyle w:val="FootnoteReference"/>
        </w:rPr>
        <w:footnoteRef/>
      </w:r>
      <w:r>
        <w:t xml:space="preserve"> </w:t>
      </w:r>
      <w:r w:rsidRPr="006F1D0F">
        <w:t>Title case has major words in uppercase and minor words in lowercase (unless they are the first or last word of a title).  Major words include nouns, adjectives, and verbs, while minor words include short prepositions and articles.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569F9" w14:textId="77777777" w:rsidR="002C13A0" w:rsidRPr="001056A2" w:rsidRDefault="002C13A0" w:rsidP="002C13A0">
    <w:pPr>
      <w:tabs>
        <w:tab w:val="right" w:pos="10800"/>
      </w:tabs>
      <w:spacing w:after="0"/>
      <w:rPr>
        <w:rStyle w:val="HPESemibold"/>
        <w:rFonts w:ascii="HPE Graphik Medium" w:hAnsi="HPE Graphik Medium"/>
      </w:rPr>
    </w:pPr>
    <w:bookmarkStart w:id="87" w:name="_Hlk110724510"/>
    <w:r w:rsidRPr="00801196">
      <w:rPr>
        <w:rStyle w:val="HPESemibold"/>
        <w:noProof/>
      </w:rPr>
      <w:drawing>
        <wp:anchor distT="0" distB="0" distL="114300" distR="114300" simplePos="0" relativeHeight="251659264" behindDoc="0" locked="0" layoutInCell="1" allowOverlap="1" wp14:anchorId="09025A43" wp14:editId="3A4D6CBF">
          <wp:simplePos x="0" y="0"/>
          <wp:positionH relativeFrom="margin">
            <wp:align>left</wp:align>
          </wp:positionH>
          <wp:positionV relativeFrom="page">
            <wp:posOffset>430998</wp:posOffset>
          </wp:positionV>
          <wp:extent cx="1115060" cy="315595"/>
          <wp:effectExtent l="0" t="0" r="8890" b="8255"/>
          <wp:wrapSquare wrapText="bothSides"/>
          <wp:docPr id="1791442862" name="Picture 179144286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5864" name="Picture 1673725864" descr="A black background with a black squar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15060" cy="31559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PESemibold"/>
        <w:noProof/>
      </w:rPr>
      <w:tab/>
    </w:r>
    <w:r w:rsidRPr="001056A2">
      <w:rPr>
        <w:rStyle w:val="HPESemibold"/>
        <w:rFonts w:ascii="HPE Graphik Medium" w:hAnsi="HPE Graphik Medium"/>
      </w:rPr>
      <w:t>Technote interne</w:t>
    </w:r>
  </w:p>
  <w:p w14:paraId="11FF44E2" w14:textId="77777777" w:rsidR="002C13A0" w:rsidRPr="00676180" w:rsidRDefault="002C13A0" w:rsidP="002C13A0">
    <w:pPr>
      <w:tabs>
        <w:tab w:val="right" w:pos="10800"/>
      </w:tabs>
      <w:spacing w:after="0"/>
      <w:rPr>
        <w:sz w:val="16"/>
        <w:szCs w:val="16"/>
      </w:rPr>
    </w:pPr>
    <w:r w:rsidRPr="00676180">
      <w:rPr>
        <w:sz w:val="16"/>
        <w:szCs w:val="16"/>
      </w:rPr>
      <w:tab/>
      <w:t>Ne pas diffuser en dehors de HPE / partenaires autorisés</w:t>
    </w:r>
    <w:bookmarkEnd w:id="87"/>
  </w:p>
  <w:p w14:paraId="4D912968" w14:textId="77777777" w:rsidR="002C13A0" w:rsidRDefault="002C1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D406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AADA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83839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D04E8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9E5036"/>
    <w:lvl w:ilvl="0">
      <w:start w:val="1"/>
      <w:numFmt w:val="bullet"/>
      <w:pStyle w:val="ListBullet5"/>
      <w:lvlText w:val="-"/>
      <w:lvlJc w:val="left"/>
      <w:pPr>
        <w:ind w:left="1800" w:hanging="360"/>
      </w:pPr>
      <w:rPr>
        <w:rFonts w:ascii="Arial" w:hAnsi="Arial" w:hint="default"/>
      </w:rPr>
    </w:lvl>
  </w:abstractNum>
  <w:abstractNum w:abstractNumId="5" w15:restartNumberingAfterBreak="0">
    <w:nsid w:val="FFFFFF81"/>
    <w:multiLevelType w:val="singleLevel"/>
    <w:tmpl w:val="2EF0072C"/>
    <w:lvl w:ilvl="0">
      <w:start w:val="1"/>
      <w:numFmt w:val="bullet"/>
      <w:pStyle w:val="ListBullet4"/>
      <w:lvlText w:val=""/>
      <w:lvlJc w:val="left"/>
      <w:pPr>
        <w:ind w:left="1440" w:hanging="360"/>
      </w:pPr>
      <w:rPr>
        <w:rFonts w:ascii="Symbol" w:hAnsi="Symbol" w:hint="default"/>
      </w:rPr>
    </w:lvl>
  </w:abstractNum>
  <w:abstractNum w:abstractNumId="6" w15:restartNumberingAfterBreak="0">
    <w:nsid w:val="FFFFFF82"/>
    <w:multiLevelType w:val="singleLevel"/>
    <w:tmpl w:val="9E0CD66A"/>
    <w:lvl w:ilvl="0">
      <w:start w:val="1"/>
      <w:numFmt w:val="bullet"/>
      <w:pStyle w:val="ListBullet3"/>
      <w:lvlText w:val=""/>
      <w:lvlJc w:val="left"/>
      <w:pPr>
        <w:ind w:left="1080" w:hanging="360"/>
      </w:pPr>
      <w:rPr>
        <w:rFonts w:ascii="Wingdings" w:hAnsi="Wingdings" w:hint="default"/>
      </w:rPr>
    </w:lvl>
  </w:abstractNum>
  <w:abstractNum w:abstractNumId="7" w15:restartNumberingAfterBreak="0">
    <w:nsid w:val="FFFFFF83"/>
    <w:multiLevelType w:val="singleLevel"/>
    <w:tmpl w:val="15800C34"/>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7DC0BD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245B3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04F2C"/>
    <w:multiLevelType w:val="multilevel"/>
    <w:tmpl w:val="C3DC43C6"/>
    <w:styleLink w:val="ListSSBullet"/>
    <w:lvl w:ilvl="0">
      <w:start w:val="1"/>
      <w:numFmt w:val="bullet"/>
      <w:lvlText w:val="●"/>
      <w:lvlJc w:val="left"/>
      <w:pPr>
        <w:ind w:left="432" w:hanging="432"/>
      </w:pPr>
      <w:rPr>
        <w:rFonts w:ascii="Arial" w:hAnsi="Arial" w:hint="default"/>
      </w:rPr>
    </w:lvl>
    <w:lvl w:ilvl="1">
      <w:start w:val="1"/>
      <w:numFmt w:val="bullet"/>
      <w:lvlText w:val="o"/>
      <w:lvlJc w:val="left"/>
      <w:pPr>
        <w:ind w:left="864" w:hanging="439"/>
      </w:pPr>
      <w:rPr>
        <w:rFonts w:ascii="Courier New" w:hAnsi="Courier New" w:hint="default"/>
      </w:rPr>
    </w:lvl>
    <w:lvl w:ilvl="2">
      <w:start w:val="1"/>
      <w:numFmt w:val="bullet"/>
      <w:lvlText w:val="■"/>
      <w:lvlJc w:val="left"/>
      <w:pPr>
        <w:tabs>
          <w:tab w:val="num" w:pos="1296"/>
        </w:tabs>
        <w:ind w:left="1296" w:hanging="432"/>
      </w:pPr>
      <w:rPr>
        <w:rFonts w:ascii="Arial" w:hAnsi="Arial" w:hint="default"/>
      </w:rPr>
    </w:lvl>
    <w:lvl w:ilvl="3">
      <w:start w:val="1"/>
      <w:numFmt w:val="bullet"/>
      <w:lvlText w:val="□"/>
      <w:lvlJc w:val="left"/>
      <w:pPr>
        <w:ind w:left="1728" w:hanging="432"/>
      </w:pPr>
      <w:rPr>
        <w:rFonts w:ascii="Arial" w:hAnsi="Arial" w:hint="default"/>
      </w:rPr>
    </w:lvl>
    <w:lvl w:ilvl="4">
      <w:start w:val="1"/>
      <w:numFmt w:val="bullet"/>
      <w:lvlText w:val=""/>
      <w:lvlJc w:val="left"/>
      <w:pPr>
        <w:tabs>
          <w:tab w:val="num" w:pos="2160"/>
        </w:tabs>
        <w:ind w:left="2088" w:hanging="360"/>
      </w:pPr>
      <w:rPr>
        <w:rFonts w:ascii="Symbol" w:hAnsi="Symbol" w:hint="default"/>
      </w:rPr>
    </w:lvl>
    <w:lvl w:ilvl="5">
      <w:start w:val="1"/>
      <w:numFmt w:val="bullet"/>
      <w:lvlText w:val="◊"/>
      <w:lvlJc w:val="left"/>
      <w:pPr>
        <w:tabs>
          <w:tab w:val="num" w:pos="2592"/>
        </w:tabs>
        <w:ind w:left="2592" w:hanging="432"/>
      </w:pPr>
      <w:rPr>
        <w:rFonts w:ascii="Arial" w:hAnsi="Arial" w:hint="default"/>
      </w:rPr>
    </w:lvl>
    <w:lvl w:ilvl="6">
      <w:start w:val="1"/>
      <w:numFmt w:val="bullet"/>
      <w:lvlText w:val="−"/>
      <w:lvlJc w:val="left"/>
      <w:pPr>
        <w:tabs>
          <w:tab w:val="num" w:pos="2592"/>
        </w:tabs>
        <w:ind w:left="3024" w:hanging="432"/>
      </w:pPr>
      <w:rPr>
        <w:rFonts w:ascii="Arial" w:hAnsi="Arial" w:hint="default"/>
        <w:b/>
        <w:i w:val="0"/>
      </w:rPr>
    </w:lvl>
    <w:lvl w:ilvl="7">
      <w:start w:val="1"/>
      <w:numFmt w:val="bullet"/>
      <w:lvlText w:val=""/>
      <w:lvlJc w:val="left"/>
      <w:pPr>
        <w:tabs>
          <w:tab w:val="num" w:pos="3024"/>
        </w:tabs>
        <w:ind w:left="3456" w:hanging="432"/>
      </w:pPr>
      <w:rPr>
        <w:rFonts w:ascii="Wingdings" w:hAnsi="Wingdings" w:hint="default"/>
      </w:rPr>
    </w:lvl>
    <w:lvl w:ilvl="8">
      <w:start w:val="1"/>
      <w:numFmt w:val="bullet"/>
      <w:lvlText w:val="►"/>
      <w:lvlJc w:val="left"/>
      <w:pPr>
        <w:tabs>
          <w:tab w:val="num" w:pos="3456"/>
        </w:tabs>
        <w:ind w:left="3888" w:hanging="432"/>
      </w:pPr>
      <w:rPr>
        <w:rFonts w:ascii="Arial" w:hAnsi="Arial" w:hint="default"/>
      </w:rPr>
    </w:lvl>
  </w:abstractNum>
  <w:abstractNum w:abstractNumId="11" w15:restartNumberingAfterBreak="0">
    <w:nsid w:val="02C57478"/>
    <w:multiLevelType w:val="multilevel"/>
    <w:tmpl w:val="CC60011A"/>
    <w:numStyleLink w:val="ListHPEBullet"/>
  </w:abstractNum>
  <w:abstractNum w:abstractNumId="12" w15:restartNumberingAfterBreak="0">
    <w:nsid w:val="02DB37FC"/>
    <w:multiLevelType w:val="multilevel"/>
    <w:tmpl w:val="D5221EE8"/>
    <w:numStyleLink w:val="HPEBulletList"/>
  </w:abstractNum>
  <w:abstractNum w:abstractNumId="13" w15:restartNumberingAfterBreak="0">
    <w:nsid w:val="0D9F522C"/>
    <w:multiLevelType w:val="multilevel"/>
    <w:tmpl w:val="D5221EE8"/>
    <w:numStyleLink w:val="HPEBulletList"/>
  </w:abstractNum>
  <w:abstractNum w:abstractNumId="14" w15:restartNumberingAfterBreak="0">
    <w:nsid w:val="0E8A7DFB"/>
    <w:multiLevelType w:val="hybridMultilevel"/>
    <w:tmpl w:val="EB70B0F6"/>
    <w:lvl w:ilvl="0" w:tplc="4F6C451C">
      <w:numFmt w:val="bullet"/>
      <w:lvlText w:val="•"/>
      <w:lvlJc w:val="left"/>
      <w:pPr>
        <w:ind w:left="360" w:hanging="360"/>
      </w:pPr>
      <w:rPr>
        <w:rFonts w:ascii="Arial" w:hAnsi="Arial" w:cs="Arial" w:hint="default"/>
        <w:b w:val="0"/>
        <w:i w:val="0"/>
        <w:color w:val="auto"/>
        <w:spacing w:val="0"/>
        <w:w w:val="100"/>
        <w:kern w:val="20"/>
        <w:position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F9C154A"/>
    <w:multiLevelType w:val="multilevel"/>
    <w:tmpl w:val="D5221EE8"/>
    <w:numStyleLink w:val="HPEBulletList"/>
  </w:abstractNum>
  <w:abstractNum w:abstractNumId="16" w15:restartNumberingAfterBreak="0">
    <w:nsid w:val="123E7ED3"/>
    <w:multiLevelType w:val="multilevel"/>
    <w:tmpl w:val="A2729054"/>
    <w:numStyleLink w:val="ListHPENumber"/>
  </w:abstractNum>
  <w:abstractNum w:abstractNumId="17" w15:restartNumberingAfterBreak="0">
    <w:nsid w:val="19D37653"/>
    <w:multiLevelType w:val="multilevel"/>
    <w:tmpl w:val="D5221EE8"/>
    <w:lvl w:ilvl="0">
      <w:start w:val="1"/>
      <w:numFmt w:val="bullet"/>
      <w:lvlText w:val="—"/>
      <w:lvlJc w:val="left"/>
      <w:pPr>
        <w:ind w:left="504" w:hanging="216"/>
      </w:pPr>
      <w:rPr>
        <w:rFonts w:ascii="Calibri" w:hAnsi="Calibri" w:hint="default"/>
        <w:sz w:val="18"/>
      </w:rPr>
    </w:lvl>
    <w:lvl w:ilvl="1">
      <w:start w:val="1"/>
      <w:numFmt w:val="bullet"/>
      <w:lvlText w:val=""/>
      <w:lvlJc w:val="left"/>
      <w:pPr>
        <w:ind w:left="720" w:hanging="144"/>
      </w:pPr>
      <w:rPr>
        <w:rFonts w:ascii="Symbol" w:hAnsi="Symbol" w:hint="default"/>
        <w:color w:val="auto"/>
      </w:rPr>
    </w:lvl>
    <w:lvl w:ilvl="2">
      <w:start w:val="1"/>
      <w:numFmt w:val="bullet"/>
      <w:lvlText w:val="°"/>
      <w:lvlJc w:val="left"/>
      <w:pPr>
        <w:ind w:left="936" w:hanging="216"/>
      </w:pPr>
      <w:rPr>
        <w:rFonts w:ascii="Calibri" w:hAnsi="Calibri" w:hint="default"/>
      </w:rPr>
    </w:lvl>
    <w:lvl w:ilvl="3">
      <w:start w:val="1"/>
      <w:numFmt w:val="bullet"/>
      <w:lvlText w:val="&gt;"/>
      <w:lvlJc w:val="left"/>
      <w:pPr>
        <w:ind w:left="1152" w:hanging="216"/>
      </w:pPr>
      <w:rPr>
        <w:rFonts w:ascii="Calibri" w:hAnsi="Calibri" w:hint="default"/>
        <w:color w:val="auto"/>
      </w:rPr>
    </w:lvl>
    <w:lvl w:ilvl="4">
      <w:start w:val="1"/>
      <w:numFmt w:val="bullet"/>
      <w:lvlText w:val="&gt;"/>
      <w:lvlJc w:val="left"/>
      <w:pPr>
        <w:ind w:left="1368" w:hanging="144"/>
      </w:pPr>
      <w:rPr>
        <w:rFonts w:ascii="Calibri" w:hAnsi="Calibri" w:hint="default"/>
        <w:color w:val="auto"/>
      </w:rPr>
    </w:lvl>
    <w:lvl w:ilvl="5">
      <w:start w:val="1"/>
      <w:numFmt w:val="bullet"/>
      <w:lvlText w:val="&gt;"/>
      <w:lvlJc w:val="left"/>
      <w:pPr>
        <w:ind w:left="1584" w:hanging="216"/>
      </w:pPr>
      <w:rPr>
        <w:rFonts w:ascii="Calibri" w:hAnsi="Calibri" w:hint="default"/>
        <w:color w:val="auto"/>
      </w:rPr>
    </w:lvl>
    <w:lvl w:ilvl="6">
      <w:start w:val="1"/>
      <w:numFmt w:val="bullet"/>
      <w:lvlText w:val="&gt;"/>
      <w:lvlJc w:val="left"/>
      <w:pPr>
        <w:ind w:left="1800" w:hanging="216"/>
      </w:pPr>
      <w:rPr>
        <w:rFonts w:ascii="Calibri" w:hAnsi="Calibri" w:hint="default"/>
        <w:color w:val="auto"/>
      </w:rPr>
    </w:lvl>
    <w:lvl w:ilvl="7">
      <w:start w:val="1"/>
      <w:numFmt w:val="bullet"/>
      <w:lvlText w:val="&gt;"/>
      <w:lvlJc w:val="left"/>
      <w:pPr>
        <w:ind w:left="2016" w:hanging="144"/>
      </w:pPr>
      <w:rPr>
        <w:rFonts w:ascii="Calibri" w:hAnsi="Calibri" w:hint="default"/>
        <w:color w:val="auto"/>
      </w:rPr>
    </w:lvl>
    <w:lvl w:ilvl="8">
      <w:start w:val="1"/>
      <w:numFmt w:val="bullet"/>
      <w:lvlText w:val="&gt;"/>
      <w:lvlJc w:val="left"/>
      <w:pPr>
        <w:ind w:left="2232" w:hanging="216"/>
      </w:pPr>
      <w:rPr>
        <w:rFonts w:ascii="Calibri" w:hAnsi="Calibri" w:hint="default"/>
        <w:color w:val="auto"/>
      </w:rPr>
    </w:lvl>
  </w:abstractNum>
  <w:abstractNum w:abstractNumId="18" w15:restartNumberingAfterBreak="0">
    <w:nsid w:val="1C76182A"/>
    <w:multiLevelType w:val="multilevel"/>
    <w:tmpl w:val="D5221EE8"/>
    <w:numStyleLink w:val="HPEBulletList"/>
  </w:abstractNum>
  <w:abstractNum w:abstractNumId="19" w15:restartNumberingAfterBreak="0">
    <w:nsid w:val="1EB074E7"/>
    <w:multiLevelType w:val="multilevel"/>
    <w:tmpl w:val="D5221EE8"/>
    <w:numStyleLink w:val="HPEBulletList"/>
  </w:abstractNum>
  <w:abstractNum w:abstractNumId="20" w15:restartNumberingAfterBreak="0">
    <w:nsid w:val="1EC2414E"/>
    <w:multiLevelType w:val="multilevel"/>
    <w:tmpl w:val="D5221EE8"/>
    <w:numStyleLink w:val="HPEBulletList"/>
  </w:abstractNum>
  <w:abstractNum w:abstractNumId="21" w15:restartNumberingAfterBreak="0">
    <w:nsid w:val="21CA743F"/>
    <w:multiLevelType w:val="multilevel"/>
    <w:tmpl w:val="A2729054"/>
    <w:numStyleLink w:val="ListHPENumber"/>
  </w:abstractNum>
  <w:abstractNum w:abstractNumId="22" w15:restartNumberingAfterBreak="0">
    <w:nsid w:val="269A29F6"/>
    <w:multiLevelType w:val="multilevel"/>
    <w:tmpl w:val="A2729054"/>
    <w:numStyleLink w:val="ListHPENumber"/>
  </w:abstractNum>
  <w:abstractNum w:abstractNumId="23" w15:restartNumberingAfterBreak="0">
    <w:nsid w:val="2D56668B"/>
    <w:multiLevelType w:val="multilevel"/>
    <w:tmpl w:val="A2729054"/>
    <w:numStyleLink w:val="ListHPENumber"/>
  </w:abstractNum>
  <w:abstractNum w:abstractNumId="24" w15:restartNumberingAfterBreak="0">
    <w:nsid w:val="30E16D66"/>
    <w:multiLevelType w:val="multilevel"/>
    <w:tmpl w:val="A2729054"/>
    <w:numStyleLink w:val="ListHPENumber"/>
  </w:abstractNum>
  <w:abstractNum w:abstractNumId="25" w15:restartNumberingAfterBreak="0">
    <w:nsid w:val="33B44B61"/>
    <w:multiLevelType w:val="multilevel"/>
    <w:tmpl w:val="A2729054"/>
    <w:numStyleLink w:val="ListHPENumber"/>
  </w:abstractNum>
  <w:abstractNum w:abstractNumId="26" w15:restartNumberingAfterBreak="0">
    <w:nsid w:val="33F912FA"/>
    <w:multiLevelType w:val="multilevel"/>
    <w:tmpl w:val="A2729054"/>
    <w:styleLink w:val="ListHPENumber"/>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27" w15:restartNumberingAfterBreak="0">
    <w:nsid w:val="36CA17CD"/>
    <w:multiLevelType w:val="multilevel"/>
    <w:tmpl w:val="D5221EE8"/>
    <w:numStyleLink w:val="HPEBulletList"/>
  </w:abstractNum>
  <w:abstractNum w:abstractNumId="28" w15:restartNumberingAfterBreak="0">
    <w:nsid w:val="3A4A55F5"/>
    <w:multiLevelType w:val="multilevel"/>
    <w:tmpl w:val="D5221EE8"/>
    <w:numStyleLink w:val="HPEBulletList"/>
  </w:abstractNum>
  <w:abstractNum w:abstractNumId="29" w15:restartNumberingAfterBreak="0">
    <w:nsid w:val="3E0E6162"/>
    <w:multiLevelType w:val="multilevel"/>
    <w:tmpl w:val="B3F0A26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30" w15:restartNumberingAfterBreak="0">
    <w:nsid w:val="43A261C5"/>
    <w:multiLevelType w:val="multilevel"/>
    <w:tmpl w:val="A2729054"/>
    <w:numStyleLink w:val="ListHPENumber"/>
  </w:abstractNum>
  <w:abstractNum w:abstractNumId="31" w15:restartNumberingAfterBreak="0">
    <w:nsid w:val="46736AB2"/>
    <w:multiLevelType w:val="multilevel"/>
    <w:tmpl w:val="53D0B9FA"/>
    <w:styleLink w:val="ListSSFancy"/>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b/>
        <w:i w:val="0"/>
      </w:rPr>
    </w:lvl>
    <w:lvl w:ilvl="2">
      <w:start w:val="1"/>
      <w:numFmt w:val="bullet"/>
      <w:lvlText w:val=""/>
      <w:lvlJc w:val="left"/>
      <w:pPr>
        <w:ind w:left="1080" w:hanging="360"/>
      </w:pPr>
      <w:rPr>
        <w:rFonts w:ascii="Wingdings" w:hAnsi="Wingdings" w:hint="default"/>
        <w:b/>
        <w:i w:val="0"/>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Wingdings" w:hAnsi="Wingdings" w:hint="default"/>
        <w:b/>
        <w:i w:val="0"/>
      </w:rPr>
    </w:lvl>
    <w:lvl w:ilvl="6">
      <w:start w:val="1"/>
      <w:numFmt w:val="bullet"/>
      <w:lvlText w:val="&gt;"/>
      <w:lvlJc w:val="left"/>
      <w:pPr>
        <w:ind w:left="2520" w:hanging="360"/>
      </w:pPr>
      <w:rPr>
        <w:rFonts w:ascii="Arial" w:hAnsi="Arial" w:hint="default"/>
        <w:b/>
        <w:i w:val="0"/>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Arial" w:hAnsi="Arial" w:hint="default"/>
        <w:b/>
        <w:i w:val="0"/>
      </w:rPr>
    </w:lvl>
  </w:abstractNum>
  <w:abstractNum w:abstractNumId="32" w15:restartNumberingAfterBreak="0">
    <w:nsid w:val="471C4D8D"/>
    <w:multiLevelType w:val="multilevel"/>
    <w:tmpl w:val="F76CA0E0"/>
    <w:styleLink w:val="ListSSNumber"/>
    <w:lvl w:ilvl="0">
      <w:start w:val="1"/>
      <w:numFmt w:val="decimal"/>
      <w:lvlText w:val="%1)"/>
      <w:lvlJc w:val="left"/>
      <w:pPr>
        <w:tabs>
          <w:tab w:val="num" w:pos="648"/>
        </w:tabs>
        <w:ind w:left="648" w:hanging="648"/>
      </w:pPr>
      <w:rPr>
        <w:rFonts w:hint="default"/>
      </w:rPr>
    </w:lvl>
    <w:lvl w:ilvl="1">
      <w:start w:val="1"/>
      <w:numFmt w:val="upperLetter"/>
      <w:lvlText w:val="%2)"/>
      <w:lvlJc w:val="left"/>
      <w:pPr>
        <w:tabs>
          <w:tab w:val="num" w:pos="1440"/>
        </w:tabs>
        <w:ind w:left="1440" w:hanging="792"/>
      </w:pPr>
      <w:rPr>
        <w:rFonts w:hint="default"/>
      </w:rPr>
    </w:lvl>
    <w:lvl w:ilvl="2">
      <w:start w:val="1"/>
      <w:numFmt w:val="upperRoman"/>
      <w:lvlText w:val="%3)"/>
      <w:lvlJc w:val="left"/>
      <w:pPr>
        <w:tabs>
          <w:tab w:val="num" w:pos="2088"/>
        </w:tabs>
        <w:ind w:left="2088" w:hanging="720"/>
      </w:pPr>
      <w:rPr>
        <w:rFonts w:hint="default"/>
      </w:rPr>
    </w:lvl>
    <w:lvl w:ilvl="3">
      <w:start w:val="1"/>
      <w:numFmt w:val="lowerLetter"/>
      <w:lvlText w:val="%4)"/>
      <w:lvlJc w:val="left"/>
      <w:pPr>
        <w:tabs>
          <w:tab w:val="num" w:pos="2808"/>
        </w:tabs>
        <w:ind w:left="2808" w:hanging="720"/>
      </w:pPr>
      <w:rPr>
        <w:rFonts w:ascii="Arial" w:hAnsi="Arial" w:hint="default"/>
        <w:caps w:val="0"/>
        <w:strike w:val="0"/>
        <w:dstrike w:val="0"/>
        <w:vanish w:val="0"/>
        <w:sz w:val="18"/>
        <w:vertAlign w:val="baseline"/>
      </w:rPr>
    </w:lvl>
    <w:lvl w:ilvl="4">
      <w:start w:val="1"/>
      <w:numFmt w:val="lowerRoman"/>
      <w:lvlText w:val="%5)"/>
      <w:lvlJc w:val="left"/>
      <w:pPr>
        <w:tabs>
          <w:tab w:val="num" w:pos="3600"/>
        </w:tabs>
        <w:ind w:left="3600" w:hanging="792"/>
      </w:pPr>
      <w:rPr>
        <w:rFonts w:hint="default"/>
      </w:rPr>
    </w:lvl>
    <w:lvl w:ilvl="5">
      <w:start w:val="1"/>
      <w:numFmt w:val="bullet"/>
      <w:lvlText w:val="●"/>
      <w:lvlJc w:val="left"/>
      <w:pPr>
        <w:tabs>
          <w:tab w:val="num" w:pos="3960"/>
        </w:tabs>
        <w:ind w:left="3960" w:hanging="360"/>
      </w:pPr>
      <w:rPr>
        <w:rFonts w:ascii="Arial" w:hAnsi="Arial" w:hint="default"/>
      </w:rPr>
    </w:lvl>
    <w:lvl w:ilvl="6">
      <w:start w:val="1"/>
      <w:numFmt w:val="bullet"/>
      <w:lvlText w:val="o"/>
      <w:lvlJc w:val="left"/>
      <w:pPr>
        <w:tabs>
          <w:tab w:val="num" w:pos="4464"/>
        </w:tabs>
        <w:ind w:left="4464" w:hanging="504"/>
      </w:pPr>
      <w:rPr>
        <w:rFonts w:ascii="Courier New" w:hAnsi="Courier New" w:hint="default"/>
      </w:rPr>
    </w:lvl>
    <w:lvl w:ilvl="7">
      <w:start w:val="1"/>
      <w:numFmt w:val="bullet"/>
      <w:lvlText w:val="■"/>
      <w:lvlJc w:val="left"/>
      <w:pPr>
        <w:tabs>
          <w:tab w:val="num" w:pos="4824"/>
        </w:tabs>
        <w:ind w:left="4824" w:hanging="360"/>
      </w:pPr>
      <w:rPr>
        <w:rFonts w:ascii="Arial" w:hAnsi="Arial" w:hint="default"/>
        <w:b/>
        <w:i w:val="0"/>
      </w:rPr>
    </w:lvl>
    <w:lvl w:ilvl="8">
      <w:start w:val="1"/>
      <w:numFmt w:val="bullet"/>
      <w:lvlText w:val="□"/>
      <w:lvlJc w:val="left"/>
      <w:pPr>
        <w:tabs>
          <w:tab w:val="num" w:pos="5256"/>
        </w:tabs>
        <w:ind w:left="5256" w:hanging="432"/>
      </w:pPr>
      <w:rPr>
        <w:rFonts w:ascii="Arial" w:hAnsi="Arial" w:hint="default"/>
      </w:rPr>
    </w:lvl>
  </w:abstractNum>
  <w:abstractNum w:abstractNumId="33" w15:restartNumberingAfterBreak="0">
    <w:nsid w:val="47746DB6"/>
    <w:multiLevelType w:val="multilevel"/>
    <w:tmpl w:val="D5221EE8"/>
    <w:numStyleLink w:val="HPEBulletList"/>
  </w:abstractNum>
  <w:abstractNum w:abstractNumId="34" w15:restartNumberingAfterBreak="0">
    <w:nsid w:val="48C60A7B"/>
    <w:multiLevelType w:val="multilevel"/>
    <w:tmpl w:val="CC60011A"/>
    <w:styleLink w:val="ListHPEBullet"/>
    <w:lvl w:ilvl="0">
      <w:start w:val="1"/>
      <w:numFmt w:val="bullet"/>
      <w:lvlText w:val="•"/>
      <w:lvlJc w:val="left"/>
      <w:pPr>
        <w:ind w:left="216" w:hanging="216"/>
      </w:pPr>
      <w:rPr>
        <w:rFonts w:ascii="Calibri" w:hAnsi="Calibri" w:hint="default"/>
        <w:sz w:val="18"/>
      </w:rPr>
    </w:lvl>
    <w:lvl w:ilvl="1">
      <w:start w:val="1"/>
      <w:numFmt w:val="bullet"/>
      <w:lvlText w:val="̶"/>
      <w:lvlJc w:val="left"/>
      <w:pPr>
        <w:ind w:left="432" w:hanging="144"/>
      </w:pPr>
      <w:rPr>
        <w:rFonts w:ascii="Calibri" w:hAnsi="Calibri" w:hint="default"/>
      </w:rPr>
    </w:lvl>
    <w:lvl w:ilvl="2">
      <w:start w:val="1"/>
      <w:numFmt w:val="bullet"/>
      <w:lvlText w:val="▫"/>
      <w:lvlJc w:val="left"/>
      <w:pPr>
        <w:ind w:left="648" w:hanging="216"/>
      </w:pPr>
      <w:rPr>
        <w:rFonts w:ascii="Calibri" w:hAnsi="Calibri" w:hint="default"/>
      </w:rPr>
    </w:lvl>
    <w:lvl w:ilvl="3">
      <w:start w:val="1"/>
      <w:numFmt w:val="bullet"/>
      <w:lvlText w:val="•"/>
      <w:lvlJc w:val="left"/>
      <w:pPr>
        <w:ind w:left="864" w:hanging="216"/>
      </w:pPr>
      <w:rPr>
        <w:rFonts w:ascii="Calibri" w:hAnsi="Calibri" w:hint="default"/>
        <w:color w:val="auto"/>
      </w:rPr>
    </w:lvl>
    <w:lvl w:ilvl="4">
      <w:start w:val="1"/>
      <w:numFmt w:val="bullet"/>
      <w:lvlText w:val="̶"/>
      <w:lvlJc w:val="left"/>
      <w:pPr>
        <w:ind w:left="1080" w:hanging="144"/>
      </w:pPr>
      <w:rPr>
        <w:rFonts w:ascii="Calibri" w:hAnsi="Calibri" w:hint="default"/>
      </w:rPr>
    </w:lvl>
    <w:lvl w:ilvl="5">
      <w:start w:val="1"/>
      <w:numFmt w:val="bullet"/>
      <w:lvlText w:val="▫"/>
      <w:lvlJc w:val="left"/>
      <w:pPr>
        <w:ind w:left="1296" w:hanging="216"/>
      </w:pPr>
      <w:rPr>
        <w:rFonts w:ascii="Arial" w:hAnsi="Arial" w:hint="default"/>
      </w:rPr>
    </w:lvl>
    <w:lvl w:ilvl="6">
      <w:start w:val="1"/>
      <w:numFmt w:val="bullet"/>
      <w:lvlText w:val="•"/>
      <w:lvlJc w:val="left"/>
      <w:pPr>
        <w:ind w:left="1512" w:hanging="216"/>
      </w:pPr>
      <w:rPr>
        <w:rFonts w:ascii="Calibri" w:hAnsi="Calibri" w:hint="default"/>
        <w:color w:val="auto"/>
      </w:rPr>
    </w:lvl>
    <w:lvl w:ilvl="7">
      <w:start w:val="1"/>
      <w:numFmt w:val="bullet"/>
      <w:lvlText w:val="̶"/>
      <w:lvlJc w:val="left"/>
      <w:pPr>
        <w:ind w:left="1728" w:hanging="144"/>
      </w:pPr>
      <w:rPr>
        <w:rFonts w:ascii="Calibri" w:hAnsi="Calibri" w:hint="default"/>
      </w:rPr>
    </w:lvl>
    <w:lvl w:ilvl="8">
      <w:start w:val="1"/>
      <w:numFmt w:val="bullet"/>
      <w:lvlText w:val="▫"/>
      <w:lvlJc w:val="left"/>
      <w:pPr>
        <w:ind w:left="1944" w:hanging="216"/>
      </w:pPr>
      <w:rPr>
        <w:rFonts w:ascii="Arial" w:hAnsi="Arial" w:hint="default"/>
      </w:rPr>
    </w:lvl>
  </w:abstractNum>
  <w:abstractNum w:abstractNumId="35" w15:restartNumberingAfterBreak="0">
    <w:nsid w:val="491B42A1"/>
    <w:multiLevelType w:val="multilevel"/>
    <w:tmpl w:val="D5221EE8"/>
    <w:numStyleLink w:val="HPEBulletList"/>
  </w:abstractNum>
  <w:abstractNum w:abstractNumId="36" w15:restartNumberingAfterBreak="0">
    <w:nsid w:val="494E6745"/>
    <w:multiLevelType w:val="multilevel"/>
    <w:tmpl w:val="27A44376"/>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37" w15:restartNumberingAfterBreak="0">
    <w:nsid w:val="4E6071F2"/>
    <w:multiLevelType w:val="multilevel"/>
    <w:tmpl w:val="D5221EE8"/>
    <w:numStyleLink w:val="HPEBulletList"/>
  </w:abstractNum>
  <w:abstractNum w:abstractNumId="38" w15:restartNumberingAfterBreak="0">
    <w:nsid w:val="4F041BC3"/>
    <w:multiLevelType w:val="multilevel"/>
    <w:tmpl w:val="D5221EE8"/>
    <w:styleLink w:val="HPEBulletList"/>
    <w:lvl w:ilvl="0">
      <w:start w:val="1"/>
      <w:numFmt w:val="bullet"/>
      <w:lvlText w:val="—"/>
      <w:lvlJc w:val="left"/>
      <w:pPr>
        <w:ind w:left="216" w:hanging="216"/>
      </w:pPr>
      <w:rPr>
        <w:rFonts w:ascii="HPE Graphik" w:hAnsi="HPE Graphik" w:hint="default"/>
        <w:b w:val="0"/>
        <w:i w:val="0"/>
        <w:sz w:val="20"/>
      </w:rPr>
    </w:lvl>
    <w:lvl w:ilvl="1">
      <w:start w:val="1"/>
      <w:numFmt w:val="bullet"/>
      <w:lvlText w:val=""/>
      <w:lvlJc w:val="left"/>
      <w:pPr>
        <w:ind w:left="432" w:hanging="144"/>
      </w:pPr>
      <w:rPr>
        <w:rFonts w:ascii="Symbol" w:hAnsi="Symbol" w:hint="default"/>
        <w:color w:val="auto"/>
      </w:rPr>
    </w:lvl>
    <w:lvl w:ilvl="2">
      <w:start w:val="1"/>
      <w:numFmt w:val="bullet"/>
      <w:lvlText w:val="°"/>
      <w:lvlJc w:val="left"/>
      <w:pPr>
        <w:ind w:left="648" w:hanging="216"/>
      </w:pPr>
      <w:rPr>
        <w:rFonts w:ascii="Calibri" w:hAnsi="Calibri" w:hint="default"/>
      </w:rPr>
    </w:lvl>
    <w:lvl w:ilvl="3">
      <w:start w:val="1"/>
      <w:numFmt w:val="bullet"/>
      <w:lvlText w:val="&gt;"/>
      <w:lvlJc w:val="left"/>
      <w:pPr>
        <w:ind w:left="864" w:hanging="216"/>
      </w:pPr>
      <w:rPr>
        <w:rFonts w:ascii="Calibri" w:hAnsi="Calibri" w:hint="default"/>
        <w:color w:val="auto"/>
      </w:rPr>
    </w:lvl>
    <w:lvl w:ilvl="4">
      <w:start w:val="1"/>
      <w:numFmt w:val="bullet"/>
      <w:lvlText w:val="&gt;"/>
      <w:lvlJc w:val="left"/>
      <w:pPr>
        <w:ind w:left="1080" w:hanging="144"/>
      </w:pPr>
      <w:rPr>
        <w:rFonts w:ascii="Calibri" w:hAnsi="Calibri" w:hint="default"/>
        <w:color w:val="auto"/>
      </w:rPr>
    </w:lvl>
    <w:lvl w:ilvl="5">
      <w:start w:val="1"/>
      <w:numFmt w:val="bullet"/>
      <w:lvlText w:val="&gt;"/>
      <w:lvlJc w:val="left"/>
      <w:pPr>
        <w:ind w:left="1296" w:hanging="216"/>
      </w:pPr>
      <w:rPr>
        <w:rFonts w:ascii="Calibri" w:hAnsi="Calibri" w:hint="default"/>
        <w:color w:val="auto"/>
      </w:rPr>
    </w:lvl>
    <w:lvl w:ilvl="6">
      <w:start w:val="1"/>
      <w:numFmt w:val="bullet"/>
      <w:lvlText w:val="&gt;"/>
      <w:lvlJc w:val="left"/>
      <w:pPr>
        <w:ind w:left="1512" w:hanging="216"/>
      </w:pPr>
      <w:rPr>
        <w:rFonts w:ascii="Calibri" w:hAnsi="Calibri" w:hint="default"/>
        <w:color w:val="auto"/>
      </w:rPr>
    </w:lvl>
    <w:lvl w:ilvl="7">
      <w:start w:val="1"/>
      <w:numFmt w:val="bullet"/>
      <w:lvlText w:val="&gt;"/>
      <w:lvlJc w:val="left"/>
      <w:pPr>
        <w:ind w:left="1728" w:hanging="144"/>
      </w:pPr>
      <w:rPr>
        <w:rFonts w:ascii="Calibri" w:hAnsi="Calibri" w:hint="default"/>
        <w:color w:val="auto"/>
      </w:rPr>
    </w:lvl>
    <w:lvl w:ilvl="8">
      <w:start w:val="1"/>
      <w:numFmt w:val="bullet"/>
      <w:lvlText w:val="&gt;"/>
      <w:lvlJc w:val="left"/>
      <w:pPr>
        <w:ind w:left="1944" w:hanging="216"/>
      </w:pPr>
      <w:rPr>
        <w:rFonts w:ascii="Calibri" w:hAnsi="Calibri" w:hint="default"/>
        <w:color w:val="auto"/>
      </w:rPr>
    </w:lvl>
  </w:abstractNum>
  <w:abstractNum w:abstractNumId="39" w15:restartNumberingAfterBreak="0">
    <w:nsid w:val="557D6795"/>
    <w:multiLevelType w:val="multilevel"/>
    <w:tmpl w:val="D5221EE8"/>
    <w:numStyleLink w:val="HPEBulletList"/>
  </w:abstractNum>
  <w:abstractNum w:abstractNumId="40" w15:restartNumberingAfterBreak="0">
    <w:nsid w:val="57772D39"/>
    <w:multiLevelType w:val="multilevel"/>
    <w:tmpl w:val="CC60011A"/>
    <w:numStyleLink w:val="ListHPEBullet"/>
  </w:abstractNum>
  <w:abstractNum w:abstractNumId="41" w15:restartNumberingAfterBreak="0">
    <w:nsid w:val="65F11D00"/>
    <w:multiLevelType w:val="multilevel"/>
    <w:tmpl w:val="A2729054"/>
    <w:numStyleLink w:val="ListHPENumber"/>
  </w:abstractNum>
  <w:abstractNum w:abstractNumId="42" w15:restartNumberingAfterBreak="0">
    <w:nsid w:val="68D02E2C"/>
    <w:multiLevelType w:val="multilevel"/>
    <w:tmpl w:val="D5221EE8"/>
    <w:numStyleLink w:val="HPEBulletList"/>
  </w:abstractNum>
  <w:abstractNum w:abstractNumId="43" w15:restartNumberingAfterBreak="0">
    <w:nsid w:val="69455210"/>
    <w:multiLevelType w:val="multilevel"/>
    <w:tmpl w:val="D604F27A"/>
    <w:styleLink w:val="ListSSHybred"/>
    <w:lvl w:ilvl="0">
      <w:start w:val="1"/>
      <w:numFmt w:val="decimal"/>
      <w:lvlText w:val="%1)"/>
      <w:lvlJc w:val="left"/>
      <w:pPr>
        <w:tabs>
          <w:tab w:val="num" w:pos="504"/>
        </w:tabs>
        <w:ind w:left="504" w:hanging="504"/>
      </w:pPr>
      <w:rPr>
        <w:rFonts w:hint="default"/>
      </w:rPr>
    </w:lvl>
    <w:lvl w:ilvl="1">
      <w:start w:val="1"/>
      <w:numFmt w:val="bullet"/>
      <w:lvlText w:val="●"/>
      <w:lvlJc w:val="left"/>
      <w:pPr>
        <w:ind w:left="864" w:hanging="360"/>
      </w:pPr>
      <w:rPr>
        <w:rFonts w:ascii="Arial" w:hAnsi="Arial" w:hint="default"/>
      </w:rPr>
    </w:lvl>
    <w:lvl w:ilvl="2">
      <w:start w:val="1"/>
      <w:numFmt w:val="bullet"/>
      <w:lvlText w:val="o"/>
      <w:lvlJc w:val="left"/>
      <w:pPr>
        <w:ind w:left="1224" w:hanging="360"/>
      </w:pPr>
      <w:rPr>
        <w:rFonts w:ascii="Courier New" w:hAnsi="Courier New" w:hint="default"/>
      </w:rPr>
    </w:lvl>
    <w:lvl w:ilvl="3">
      <w:start w:val="1"/>
      <w:numFmt w:val="bullet"/>
      <w:lvlText w:val="■"/>
      <w:lvlJc w:val="left"/>
      <w:pPr>
        <w:ind w:left="1584" w:hanging="360"/>
      </w:pPr>
      <w:rPr>
        <w:rFonts w:ascii="Arial" w:hAnsi="Arial" w:hint="default"/>
      </w:rPr>
    </w:lvl>
    <w:lvl w:ilvl="4">
      <w:start w:val="1"/>
      <w:numFmt w:val="bullet"/>
      <w:lvlText w:val="□"/>
      <w:lvlJc w:val="left"/>
      <w:pPr>
        <w:ind w:left="1944" w:hanging="360"/>
      </w:pPr>
      <w:rPr>
        <w:rFonts w:ascii="Arial" w:hAnsi="Arial" w:hint="default"/>
      </w:rPr>
    </w:lvl>
    <w:lvl w:ilvl="5">
      <w:start w:val="1"/>
      <w:numFmt w:val="bullet"/>
      <w:lvlText w:val=""/>
      <w:lvlJc w:val="left"/>
      <w:pPr>
        <w:ind w:left="2304" w:hanging="360"/>
      </w:pPr>
      <w:rPr>
        <w:rFonts w:ascii="Symbol" w:hAnsi="Symbol" w:hint="default"/>
      </w:rPr>
    </w:lvl>
    <w:lvl w:ilvl="6">
      <w:start w:val="1"/>
      <w:numFmt w:val="bullet"/>
      <w:lvlText w:val="◊"/>
      <w:lvlJc w:val="left"/>
      <w:pPr>
        <w:ind w:left="2664" w:hanging="360"/>
      </w:pPr>
      <w:rPr>
        <w:rFonts w:ascii="Arial" w:hAnsi="Arial" w:hint="default"/>
      </w:rPr>
    </w:lvl>
    <w:lvl w:ilvl="7">
      <w:start w:val="1"/>
      <w:numFmt w:val="bullet"/>
      <w:lvlText w:val="−"/>
      <w:lvlJc w:val="left"/>
      <w:pPr>
        <w:ind w:left="3024" w:hanging="360"/>
      </w:pPr>
      <w:rPr>
        <w:rFonts w:ascii="Arial" w:hAnsi="Arial" w:hint="default"/>
        <w:b/>
        <w:i w:val="0"/>
      </w:rPr>
    </w:lvl>
    <w:lvl w:ilvl="8">
      <w:start w:val="1"/>
      <w:numFmt w:val="bullet"/>
      <w:lvlText w:val=""/>
      <w:lvlJc w:val="left"/>
      <w:pPr>
        <w:ind w:left="3384" w:hanging="360"/>
      </w:pPr>
      <w:rPr>
        <w:rFonts w:ascii="Symbol" w:hAnsi="Symbol" w:hint="default"/>
      </w:rPr>
    </w:lvl>
  </w:abstractNum>
  <w:abstractNum w:abstractNumId="44" w15:restartNumberingAfterBreak="0">
    <w:nsid w:val="6A9D59B8"/>
    <w:multiLevelType w:val="multilevel"/>
    <w:tmpl w:val="D5221EE8"/>
    <w:numStyleLink w:val="HPEBulletList"/>
  </w:abstractNum>
  <w:abstractNum w:abstractNumId="45" w15:restartNumberingAfterBreak="0">
    <w:nsid w:val="70372D52"/>
    <w:multiLevelType w:val="multilevel"/>
    <w:tmpl w:val="A2729054"/>
    <w:numStyleLink w:val="ListHPENumber"/>
  </w:abstractNum>
  <w:abstractNum w:abstractNumId="46" w15:restartNumberingAfterBreak="0">
    <w:nsid w:val="708C79CF"/>
    <w:multiLevelType w:val="multilevel"/>
    <w:tmpl w:val="D5221EE8"/>
    <w:numStyleLink w:val="HPEBulletList"/>
  </w:abstractNum>
  <w:abstractNum w:abstractNumId="47" w15:restartNumberingAfterBreak="0">
    <w:nsid w:val="7C2E470C"/>
    <w:multiLevelType w:val="multilevel"/>
    <w:tmpl w:val="D5221EE8"/>
    <w:numStyleLink w:val="HPEBulletList"/>
  </w:abstractNum>
  <w:abstractNum w:abstractNumId="48" w15:restartNumberingAfterBreak="0">
    <w:nsid w:val="7DC95B54"/>
    <w:multiLevelType w:val="hybridMultilevel"/>
    <w:tmpl w:val="02D2993A"/>
    <w:lvl w:ilvl="0" w:tplc="74008210">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69406086">
    <w:abstractNumId w:val="10"/>
  </w:num>
  <w:num w:numId="2" w16cid:durableId="1996301185">
    <w:abstractNumId w:val="31"/>
  </w:num>
  <w:num w:numId="3" w16cid:durableId="737436594">
    <w:abstractNumId w:val="43"/>
  </w:num>
  <w:num w:numId="4" w16cid:durableId="442961258">
    <w:abstractNumId w:val="29"/>
  </w:num>
  <w:num w:numId="5" w16cid:durableId="1151483158">
    <w:abstractNumId w:val="32"/>
  </w:num>
  <w:num w:numId="6" w16cid:durableId="1495219619">
    <w:abstractNumId w:val="9"/>
  </w:num>
  <w:num w:numId="7" w16cid:durableId="960847249">
    <w:abstractNumId w:val="7"/>
  </w:num>
  <w:num w:numId="8" w16cid:durableId="121654379">
    <w:abstractNumId w:val="6"/>
  </w:num>
  <w:num w:numId="9" w16cid:durableId="1901818096">
    <w:abstractNumId w:val="5"/>
  </w:num>
  <w:num w:numId="10" w16cid:durableId="1623727265">
    <w:abstractNumId w:val="4"/>
  </w:num>
  <w:num w:numId="11" w16cid:durableId="1895847364">
    <w:abstractNumId w:val="14"/>
  </w:num>
  <w:num w:numId="12" w16cid:durableId="2097053353">
    <w:abstractNumId w:val="34"/>
  </w:num>
  <w:num w:numId="13" w16cid:durableId="1830319191">
    <w:abstractNumId w:val="40"/>
  </w:num>
  <w:num w:numId="14" w16cid:durableId="870070192">
    <w:abstractNumId w:val="26"/>
  </w:num>
  <w:num w:numId="15" w16cid:durableId="1441757309">
    <w:abstractNumId w:val="22"/>
  </w:num>
  <w:num w:numId="16" w16cid:durableId="972445940">
    <w:abstractNumId w:val="8"/>
  </w:num>
  <w:num w:numId="17" w16cid:durableId="1417168694">
    <w:abstractNumId w:val="3"/>
  </w:num>
  <w:num w:numId="18" w16cid:durableId="934634270">
    <w:abstractNumId w:val="2"/>
  </w:num>
  <w:num w:numId="19" w16cid:durableId="1804158564">
    <w:abstractNumId w:val="1"/>
  </w:num>
  <w:num w:numId="20" w16cid:durableId="1973559698">
    <w:abstractNumId w:val="0"/>
  </w:num>
  <w:num w:numId="21" w16cid:durableId="1116101072">
    <w:abstractNumId w:val="38"/>
  </w:num>
  <w:num w:numId="22" w16cid:durableId="2072730556">
    <w:abstractNumId w:val="47"/>
  </w:num>
  <w:num w:numId="23" w16cid:durableId="857353657">
    <w:abstractNumId w:val="37"/>
  </w:num>
  <w:num w:numId="24" w16cid:durableId="1736245682">
    <w:abstractNumId w:val="20"/>
  </w:num>
  <w:num w:numId="25" w16cid:durableId="1799640835">
    <w:abstractNumId w:val="46"/>
  </w:num>
  <w:num w:numId="26" w16cid:durableId="1003585481">
    <w:abstractNumId w:val="13"/>
  </w:num>
  <w:num w:numId="27" w16cid:durableId="482280454">
    <w:abstractNumId w:val="35"/>
  </w:num>
  <w:num w:numId="28" w16cid:durableId="612982457">
    <w:abstractNumId w:val="23"/>
  </w:num>
  <w:num w:numId="29" w16cid:durableId="367681098">
    <w:abstractNumId w:val="17"/>
  </w:num>
  <w:num w:numId="30" w16cid:durableId="51461933">
    <w:abstractNumId w:val="42"/>
  </w:num>
  <w:num w:numId="31" w16cid:durableId="825826644">
    <w:abstractNumId w:val="39"/>
  </w:num>
  <w:num w:numId="32" w16cid:durableId="381754864">
    <w:abstractNumId w:val="25"/>
  </w:num>
  <w:num w:numId="33" w16cid:durableId="514421979">
    <w:abstractNumId w:val="28"/>
  </w:num>
  <w:num w:numId="34" w16cid:durableId="1174950282">
    <w:abstractNumId w:val="41"/>
  </w:num>
  <w:num w:numId="35" w16cid:durableId="486871447">
    <w:abstractNumId w:val="11"/>
  </w:num>
  <w:num w:numId="36" w16cid:durableId="1386686422">
    <w:abstractNumId w:val="45"/>
  </w:num>
  <w:num w:numId="37" w16cid:durableId="470709903">
    <w:abstractNumId w:val="19"/>
  </w:num>
  <w:num w:numId="38" w16cid:durableId="242760652">
    <w:abstractNumId w:val="27"/>
  </w:num>
  <w:num w:numId="39" w16cid:durableId="1196581735">
    <w:abstractNumId w:val="44"/>
  </w:num>
  <w:num w:numId="40" w16cid:durableId="298994621">
    <w:abstractNumId w:val="12"/>
  </w:num>
  <w:num w:numId="41" w16cid:durableId="1999573579">
    <w:abstractNumId w:val="18"/>
  </w:num>
  <w:num w:numId="42" w16cid:durableId="1949580251">
    <w:abstractNumId w:val="15"/>
  </w:num>
  <w:num w:numId="43" w16cid:durableId="2012103704">
    <w:abstractNumId w:val="24"/>
  </w:num>
  <w:num w:numId="44" w16cid:durableId="1385371262">
    <w:abstractNumId w:val="16"/>
  </w:num>
  <w:num w:numId="45" w16cid:durableId="2106026795">
    <w:abstractNumId w:val="36"/>
  </w:num>
  <w:num w:numId="46" w16cid:durableId="1056851536">
    <w:abstractNumId w:val="21"/>
  </w:num>
  <w:num w:numId="47" w16cid:durableId="2072803330">
    <w:abstractNumId w:val="30"/>
  </w:num>
  <w:num w:numId="48" w16cid:durableId="659622883">
    <w:abstractNumId w:val="33"/>
  </w:num>
  <w:num w:numId="49" w16cid:durableId="1018970007">
    <w:abstractNumId w:val="48"/>
  </w:num>
  <w:num w:numId="500">
    <w:abstractNumId w:val="26"/>
    <w:lvlOverride w:ilvl="0">
      <w:startOverride w:val="1"/>
    </w:lvlOverride>
  </w:num>
  <w:num w:numId="501">
    <w:abstractNumId w:val="26"/>
    <w:lvlOverride w:ilvl="0">
      <w:startOverride w:val="1"/>
    </w:lvlOverride>
  </w:num>
  <w:num w:numId="502">
    <w:abstractNumId w:val="26"/>
    <w:lvlOverride w:ilvl="0">
      <w:startOverride w:val="1"/>
    </w:lvlOverride>
  </w:num>
  <w:num w:numId="503">
    <w:abstractNumId w:val="26"/>
    <w:lvlOverride w:ilvl="0">
      <w:startOverride w:val="1"/>
    </w:lvlOverride>
  </w:num>
  <w:num w:numId="504">
    <w:abstractNumId w:val="26"/>
    <w:lvlOverride w:ilvl="0">
      <w:startOverride w:val="1"/>
    </w:lvlOverride>
  </w:num>
  <w:num w:numId="505">
    <w:abstractNumId w:val="26"/>
    <w:lvlOverride w:ilvl="0">
      <w:startOverride w:val="1"/>
    </w:lvlOverride>
  </w:num>
  <w:num w:numId="506">
    <w:abstractNumId w:val="26"/>
    <w:lvlOverride w:ilvl="0">
      <w:startOverride w:val="1"/>
    </w:lvlOverride>
  </w:num>
  <w:num w:numId="507">
    <w:abstractNumId w:val="26"/>
    <w:lvlOverride w:ilvl="0">
      <w:startOverride w:val="1"/>
    </w:lvlOverride>
  </w:num>
  <w:num w:numId="508">
    <w:abstractNumId w:val="26"/>
    <w:lvlOverride w:ilvl="0">
      <w:startOverride w:val="1"/>
    </w:lvlOverride>
  </w:num>
  <w:num w:numId="509">
    <w:abstractNumId w:val="26"/>
    <w:lvlOverride w:ilvl="0">
      <w:startOverride w:val="1"/>
    </w:lvlOverride>
  </w:num>
  <w:num w:numId="510">
    <w:abstractNumId w:val="26"/>
    <w:lvlOverride w:ilvl="0">
      <w:startOverride w:val="1"/>
    </w:lvlOverride>
  </w:num>
  <w:num w:numId="511">
    <w:abstractNumId w:val="26"/>
    <w:lvlOverride w:ilvl="0">
      <w:startOverride w:val="1"/>
    </w:lvlOverride>
  </w:num>
  <w:num w:numId="512">
    <w:abstractNumId w:val="26"/>
    <w:lvlOverride w:ilvl="0">
      <w:startOverride w:val="1"/>
    </w:lvlOverride>
  </w:num>
  <w:num w:numId="513">
    <w:abstractNumId w:val="26"/>
    <w:lvlOverride w:ilvl="0">
      <w:startOverride w:val="1"/>
    </w:lvlOverride>
  </w:num>
  <w:num w:numId="514">
    <w:abstractNumId w:val="26"/>
    <w:lvlOverride w:ilvl="0">
      <w:startOverride w:val="1"/>
    </w:lvlOverride>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A2"/>
    <w:rsid w:val="00006801"/>
    <w:rsid w:val="00010B09"/>
    <w:rsid w:val="000152F1"/>
    <w:rsid w:val="00023D60"/>
    <w:rsid w:val="00072F4A"/>
    <w:rsid w:val="00080802"/>
    <w:rsid w:val="000A7798"/>
    <w:rsid w:val="000D7B30"/>
    <w:rsid w:val="000F40FA"/>
    <w:rsid w:val="001056A2"/>
    <w:rsid w:val="0011546D"/>
    <w:rsid w:val="001216B2"/>
    <w:rsid w:val="0012292D"/>
    <w:rsid w:val="00124281"/>
    <w:rsid w:val="001243AA"/>
    <w:rsid w:val="00133BEC"/>
    <w:rsid w:val="001453B1"/>
    <w:rsid w:val="001A3EF3"/>
    <w:rsid w:val="001B1425"/>
    <w:rsid w:val="001B27B4"/>
    <w:rsid w:val="001B64F1"/>
    <w:rsid w:val="001C3243"/>
    <w:rsid w:val="001D6FF3"/>
    <w:rsid w:val="001F4F8B"/>
    <w:rsid w:val="00253073"/>
    <w:rsid w:val="0025327E"/>
    <w:rsid w:val="00265EA3"/>
    <w:rsid w:val="0027419E"/>
    <w:rsid w:val="00275DCA"/>
    <w:rsid w:val="00281A14"/>
    <w:rsid w:val="002C13A0"/>
    <w:rsid w:val="002D0BA0"/>
    <w:rsid w:val="002D3278"/>
    <w:rsid w:val="002F3382"/>
    <w:rsid w:val="002F7113"/>
    <w:rsid w:val="0032754E"/>
    <w:rsid w:val="00353CE7"/>
    <w:rsid w:val="00363B15"/>
    <w:rsid w:val="003B313A"/>
    <w:rsid w:val="003C2D47"/>
    <w:rsid w:val="003C3329"/>
    <w:rsid w:val="003C6FE4"/>
    <w:rsid w:val="003D68E6"/>
    <w:rsid w:val="003F0357"/>
    <w:rsid w:val="003F3702"/>
    <w:rsid w:val="004014BC"/>
    <w:rsid w:val="004076A6"/>
    <w:rsid w:val="00413159"/>
    <w:rsid w:val="004338F9"/>
    <w:rsid w:val="00451D52"/>
    <w:rsid w:val="00466393"/>
    <w:rsid w:val="00472638"/>
    <w:rsid w:val="004A2E58"/>
    <w:rsid w:val="004A43A6"/>
    <w:rsid w:val="004B1EBC"/>
    <w:rsid w:val="004C3560"/>
    <w:rsid w:val="004C4F2C"/>
    <w:rsid w:val="004D6BEB"/>
    <w:rsid w:val="004E0297"/>
    <w:rsid w:val="004E41B4"/>
    <w:rsid w:val="004F09B6"/>
    <w:rsid w:val="004F1232"/>
    <w:rsid w:val="00517856"/>
    <w:rsid w:val="005179BB"/>
    <w:rsid w:val="005179EB"/>
    <w:rsid w:val="00577146"/>
    <w:rsid w:val="00580425"/>
    <w:rsid w:val="005A77A3"/>
    <w:rsid w:val="005D713E"/>
    <w:rsid w:val="005D72C7"/>
    <w:rsid w:val="005E207B"/>
    <w:rsid w:val="005E61DD"/>
    <w:rsid w:val="0061189E"/>
    <w:rsid w:val="00620C10"/>
    <w:rsid w:val="00640F09"/>
    <w:rsid w:val="006500BD"/>
    <w:rsid w:val="00676180"/>
    <w:rsid w:val="006C0668"/>
    <w:rsid w:val="006D1CEB"/>
    <w:rsid w:val="006D2D27"/>
    <w:rsid w:val="006D7F21"/>
    <w:rsid w:val="006E7E96"/>
    <w:rsid w:val="006F38BB"/>
    <w:rsid w:val="007241CD"/>
    <w:rsid w:val="00724F8B"/>
    <w:rsid w:val="0075174D"/>
    <w:rsid w:val="00755576"/>
    <w:rsid w:val="00755D8F"/>
    <w:rsid w:val="00757DB7"/>
    <w:rsid w:val="00761C86"/>
    <w:rsid w:val="0077437D"/>
    <w:rsid w:val="007B317B"/>
    <w:rsid w:val="007B478B"/>
    <w:rsid w:val="007E2F85"/>
    <w:rsid w:val="00841F99"/>
    <w:rsid w:val="008520E7"/>
    <w:rsid w:val="00856FFD"/>
    <w:rsid w:val="008605FC"/>
    <w:rsid w:val="0086246B"/>
    <w:rsid w:val="008759DA"/>
    <w:rsid w:val="00881BFD"/>
    <w:rsid w:val="008E2D53"/>
    <w:rsid w:val="00917B3D"/>
    <w:rsid w:val="00927C58"/>
    <w:rsid w:val="00933301"/>
    <w:rsid w:val="00936EA7"/>
    <w:rsid w:val="0098774B"/>
    <w:rsid w:val="00991BC9"/>
    <w:rsid w:val="00994FA2"/>
    <w:rsid w:val="009A4446"/>
    <w:rsid w:val="009B097F"/>
    <w:rsid w:val="009B5D0F"/>
    <w:rsid w:val="009C22E5"/>
    <w:rsid w:val="009E18B9"/>
    <w:rsid w:val="00A326CF"/>
    <w:rsid w:val="00A463B1"/>
    <w:rsid w:val="00A63A6D"/>
    <w:rsid w:val="00AC076B"/>
    <w:rsid w:val="00AE05D4"/>
    <w:rsid w:val="00B12C5B"/>
    <w:rsid w:val="00B12EEE"/>
    <w:rsid w:val="00B23BE9"/>
    <w:rsid w:val="00B32E49"/>
    <w:rsid w:val="00B417B1"/>
    <w:rsid w:val="00B454CC"/>
    <w:rsid w:val="00B62F11"/>
    <w:rsid w:val="00B6553B"/>
    <w:rsid w:val="00B670DC"/>
    <w:rsid w:val="00B7742E"/>
    <w:rsid w:val="00B81C33"/>
    <w:rsid w:val="00B85CDD"/>
    <w:rsid w:val="00B86047"/>
    <w:rsid w:val="00B878E0"/>
    <w:rsid w:val="00B94639"/>
    <w:rsid w:val="00BB542F"/>
    <w:rsid w:val="00BC147E"/>
    <w:rsid w:val="00BE37E9"/>
    <w:rsid w:val="00BF1258"/>
    <w:rsid w:val="00BF54E6"/>
    <w:rsid w:val="00C32295"/>
    <w:rsid w:val="00C34219"/>
    <w:rsid w:val="00C35BC6"/>
    <w:rsid w:val="00CA06B1"/>
    <w:rsid w:val="00CA3264"/>
    <w:rsid w:val="00CF3E72"/>
    <w:rsid w:val="00D12A4F"/>
    <w:rsid w:val="00D22A7C"/>
    <w:rsid w:val="00D22DCD"/>
    <w:rsid w:val="00D24451"/>
    <w:rsid w:val="00D3148B"/>
    <w:rsid w:val="00D458AF"/>
    <w:rsid w:val="00D54DDD"/>
    <w:rsid w:val="00D65E6F"/>
    <w:rsid w:val="00D76C53"/>
    <w:rsid w:val="00D82229"/>
    <w:rsid w:val="00DE3CA7"/>
    <w:rsid w:val="00DF11A3"/>
    <w:rsid w:val="00E01659"/>
    <w:rsid w:val="00E06ACF"/>
    <w:rsid w:val="00E10D0C"/>
    <w:rsid w:val="00E15C4B"/>
    <w:rsid w:val="00E16321"/>
    <w:rsid w:val="00E4204F"/>
    <w:rsid w:val="00E702D7"/>
    <w:rsid w:val="00E85F37"/>
    <w:rsid w:val="00E87DA9"/>
    <w:rsid w:val="00E87F33"/>
    <w:rsid w:val="00E92EB9"/>
    <w:rsid w:val="00EA4E11"/>
    <w:rsid w:val="00EC51D8"/>
    <w:rsid w:val="00ED3C3A"/>
    <w:rsid w:val="00ED56E6"/>
    <w:rsid w:val="00EF11B5"/>
    <w:rsid w:val="00F0505E"/>
    <w:rsid w:val="00F25CE8"/>
    <w:rsid w:val="00F26C29"/>
    <w:rsid w:val="00F530BF"/>
    <w:rsid w:val="00F531B5"/>
    <w:rsid w:val="00F6090F"/>
    <w:rsid w:val="00F60A7F"/>
    <w:rsid w:val="00FA11BC"/>
    <w:rsid w:val="00FA3646"/>
    <w:rsid w:val="00FA7C46"/>
    <w:rsid w:val="00FA7D93"/>
    <w:rsid w:val="00FB060E"/>
    <w:rsid w:val="00FD36E8"/>
    <w:rsid w:val="00FD5A30"/>
    <w:rsid w:val="00FD6A9E"/>
    <w:rsid w:val="00FE405F"/>
    <w:rsid w:val="00FF6A9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366DD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BC6"/>
    <w:pPr>
      <w:spacing w:after="120" w:line="240" w:lineRule="auto"/>
    </w:pPr>
    <w:rPr>
      <w:rFonts w:ascii="HPE Graphik" w:hAnsi="HPE Graphik" w:cs="Aptos"/>
      <w:kern w:val="0"/>
      <w:sz w:val="20"/>
      <w:lang w:eastAsia="en-CA"/>
    </w:rPr>
  </w:style>
  <w:style w:type="paragraph" w:styleId="Heading1">
    <w:name w:val="heading 1"/>
    <w:basedOn w:val="Normal"/>
    <w:next w:val="Normal"/>
    <w:link w:val="Heading1Char"/>
    <w:uiPriority w:val="9"/>
    <w:qFormat/>
    <w:rsid w:val="00676180"/>
    <w:pPr>
      <w:keepNext/>
      <w:keepLines/>
      <w:tabs>
        <w:tab w:val="left" w:pos="360"/>
        <w:tab w:val="left" w:pos="720"/>
        <w:tab w:val="right" w:pos="10800"/>
      </w:tabs>
      <w:spacing w:before="360"/>
      <w:outlineLvl w:val="0"/>
    </w:pPr>
    <w:rPr>
      <w:rFonts w:ascii="HPE Graphik Semibold" w:eastAsiaTheme="majorEastAsia" w:hAnsi="HPE Graphik Semibold" w:cstheme="majorBidi"/>
      <w:color w:val="000000" w:themeColor="text1"/>
      <w:sz w:val="40"/>
      <w:szCs w:val="32"/>
    </w:rPr>
  </w:style>
  <w:style w:type="paragraph" w:styleId="Heading2">
    <w:name w:val="heading 2"/>
    <w:basedOn w:val="Normal"/>
    <w:next w:val="Normal"/>
    <w:link w:val="Heading2Char"/>
    <w:uiPriority w:val="9"/>
    <w:unhideWhenUsed/>
    <w:qFormat/>
    <w:rsid w:val="00676180"/>
    <w:pPr>
      <w:keepNext/>
      <w:keepLines/>
      <w:tabs>
        <w:tab w:val="left" w:pos="360"/>
        <w:tab w:val="left" w:pos="720"/>
        <w:tab w:val="right" w:pos="10800"/>
      </w:tabs>
      <w:spacing w:before="240"/>
      <w:outlineLvl w:val="1"/>
    </w:pPr>
    <w:rPr>
      <w:rFonts w:ascii="HPE Graphik Semibold" w:eastAsiaTheme="majorEastAsia" w:hAnsi="HPE Graphik Semibold" w:cstheme="majorBidi"/>
      <w:color w:val="000000" w:themeColor="text1"/>
      <w:sz w:val="30"/>
      <w:szCs w:val="26"/>
    </w:rPr>
  </w:style>
  <w:style w:type="paragraph" w:styleId="Heading3">
    <w:name w:val="heading 3"/>
    <w:basedOn w:val="Normal"/>
    <w:next w:val="Normal"/>
    <w:link w:val="Heading3Char"/>
    <w:uiPriority w:val="9"/>
    <w:unhideWhenUsed/>
    <w:qFormat/>
    <w:rsid w:val="00676180"/>
    <w:pPr>
      <w:keepNext/>
      <w:keepLines/>
      <w:tabs>
        <w:tab w:val="left" w:pos="360"/>
        <w:tab w:val="left" w:pos="720"/>
        <w:tab w:val="right" w:pos="10800"/>
      </w:tabs>
      <w:spacing w:before="120"/>
      <w:outlineLvl w:val="2"/>
    </w:pPr>
    <w:rPr>
      <w:rFonts w:ascii="HPE Graphik Semibold" w:eastAsiaTheme="majorEastAsia" w:hAnsi="HPE Graphik Semibold" w:cstheme="majorBidi"/>
      <w:color w:val="000000" w:themeColor="text1"/>
      <w:szCs w:val="24"/>
    </w:rPr>
  </w:style>
  <w:style w:type="paragraph" w:styleId="Heading4">
    <w:name w:val="heading 4"/>
    <w:basedOn w:val="Normal"/>
    <w:next w:val="Normal"/>
    <w:link w:val="Heading4Char"/>
    <w:uiPriority w:val="9"/>
    <w:unhideWhenUsed/>
    <w:qFormat/>
    <w:rsid w:val="00676180"/>
    <w:pPr>
      <w:keepNext/>
      <w:keepLines/>
      <w:tabs>
        <w:tab w:val="left" w:pos="360"/>
        <w:tab w:val="left" w:pos="720"/>
        <w:tab w:val="right" w:pos="10800"/>
      </w:tabs>
      <w:spacing w:before="120"/>
      <w:outlineLvl w:val="3"/>
    </w:pPr>
    <w:rPr>
      <w:rFonts w:eastAsiaTheme="majorEastAsia" w:cstheme="majorBidi"/>
      <w:iCs/>
      <w:color w:val="000000" w:themeColor="text1"/>
    </w:rPr>
  </w:style>
  <w:style w:type="paragraph" w:styleId="Heading5">
    <w:name w:val="heading 5"/>
    <w:basedOn w:val="Normal"/>
    <w:next w:val="Normal"/>
    <w:link w:val="Heading5Char"/>
    <w:uiPriority w:val="9"/>
    <w:unhideWhenUsed/>
    <w:rsid w:val="00D76C53"/>
    <w:pPr>
      <w:keepNext/>
      <w:keepLines/>
      <w:tabs>
        <w:tab w:val="left" w:pos="360"/>
        <w:tab w:val="left" w:pos="720"/>
        <w:tab w:val="right" w:pos="10800"/>
      </w:tabs>
      <w:spacing w:before="120" w:after="60"/>
      <w:outlineLvl w:val="4"/>
    </w:pPr>
    <w:rPr>
      <w:rFonts w:eastAsiaTheme="majorEastAsia" w:cstheme="majorBidi"/>
      <w:color w:val="000000" w:themeColor="text1"/>
      <w:u w:val="single"/>
    </w:rPr>
  </w:style>
  <w:style w:type="paragraph" w:styleId="Heading6">
    <w:name w:val="heading 6"/>
    <w:basedOn w:val="Normal"/>
    <w:next w:val="Normal"/>
    <w:link w:val="Heading6Char"/>
    <w:uiPriority w:val="9"/>
    <w:unhideWhenUsed/>
    <w:rsid w:val="00D76C53"/>
    <w:pPr>
      <w:keepNext/>
      <w:keepLines/>
      <w:spacing w:before="120" w:after="60"/>
      <w:outlineLvl w:val="5"/>
    </w:pPr>
    <w:rPr>
      <w:rFonts w:eastAsiaTheme="majorEastAsia" w:cstheme="majorBidi"/>
      <w:color w:val="000000" w:themeColor="text1"/>
    </w:rPr>
  </w:style>
  <w:style w:type="paragraph" w:styleId="Heading7">
    <w:name w:val="heading 7"/>
    <w:basedOn w:val="Normal"/>
    <w:next w:val="Normal"/>
    <w:link w:val="Heading7Char"/>
    <w:uiPriority w:val="9"/>
    <w:unhideWhenUsed/>
    <w:rsid w:val="00D76C53"/>
    <w:pPr>
      <w:keepNext/>
      <w:keepLines/>
      <w:spacing w:before="40"/>
      <w:outlineLvl w:val="6"/>
    </w:pPr>
    <w:rPr>
      <w:rFonts w:eastAsiaTheme="majorEastAsia" w:cstheme="majorBidi"/>
      <w:i/>
      <w:iCs/>
      <w:color w:val="000000" w:themeColor="text1"/>
      <w:u w:val="single"/>
    </w:rPr>
  </w:style>
  <w:style w:type="paragraph" w:styleId="Heading8">
    <w:name w:val="heading 8"/>
    <w:basedOn w:val="Normal"/>
    <w:next w:val="Normal"/>
    <w:link w:val="Heading8Char"/>
    <w:uiPriority w:val="9"/>
    <w:semiHidden/>
    <w:unhideWhenUsed/>
    <w:rsid w:val="00D76C53"/>
    <w:pPr>
      <w:keepNext/>
      <w:keepLines/>
      <w:spacing w:before="40" w:after="0"/>
      <w:outlineLvl w:val="7"/>
    </w:pPr>
    <w:rPr>
      <w:rFonts w:eastAsiaTheme="majorEastAsia" w:cstheme="majorBidi"/>
      <w:i/>
      <w:color w:val="000000" w:themeColor="text1"/>
      <w:szCs w:val="21"/>
    </w:rPr>
  </w:style>
  <w:style w:type="paragraph" w:styleId="Heading9">
    <w:name w:val="heading 9"/>
    <w:basedOn w:val="Normal"/>
    <w:next w:val="Normal"/>
    <w:link w:val="Heading9Char"/>
    <w:uiPriority w:val="9"/>
    <w:semiHidden/>
    <w:unhideWhenUsed/>
    <w:qFormat/>
    <w:rsid w:val="007241CD"/>
    <w:pPr>
      <w:keepNext/>
      <w:keepLines/>
      <w:spacing w:before="40" w:after="0"/>
      <w:outlineLvl w:val="8"/>
    </w:pPr>
    <w:rPr>
      <w:rFonts w:eastAsiaTheme="majorEastAsia" w:cstheme="majorBid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761C86"/>
    <w:rPr>
      <w:b w:val="0"/>
      <w:i w:val="0"/>
      <w:color w:val="000000" w:themeColor="text1"/>
      <w:u w:val="single" w:color="7630EA"/>
    </w:rPr>
  </w:style>
  <w:style w:type="paragraph" w:styleId="Footer">
    <w:name w:val="footer"/>
    <w:basedOn w:val="Normal"/>
    <w:link w:val="FooterChar"/>
    <w:uiPriority w:val="99"/>
    <w:unhideWhenUsed/>
    <w:rsid w:val="000F40FA"/>
    <w:pPr>
      <w:tabs>
        <w:tab w:val="right" w:pos="9360"/>
      </w:tabs>
      <w:spacing w:after="0"/>
    </w:pPr>
    <w:rPr>
      <w:sz w:val="16"/>
    </w:rPr>
  </w:style>
  <w:style w:type="character" w:customStyle="1" w:styleId="FooterChar">
    <w:name w:val="Footer Char"/>
    <w:basedOn w:val="DefaultParagraphFont"/>
    <w:link w:val="Footer"/>
    <w:uiPriority w:val="99"/>
    <w:rsid w:val="000F40FA"/>
    <w:rPr>
      <w:rFonts w:ascii="HPE Graphik" w:hAnsi="HPE Graphik" w:cs="Aptos"/>
      <w:kern w:val="0"/>
      <w:sz w:val="16"/>
      <w:lang w:eastAsia="en-CA"/>
    </w:rPr>
  </w:style>
  <w:style w:type="character" w:styleId="CommentReference">
    <w:name w:val="annotation reference"/>
    <w:basedOn w:val="DefaultParagraphFont"/>
    <w:uiPriority w:val="99"/>
    <w:semiHidden/>
    <w:unhideWhenUsed/>
    <w:rsid w:val="00023D60"/>
    <w:rPr>
      <w:sz w:val="16"/>
      <w:szCs w:val="16"/>
    </w:rPr>
  </w:style>
  <w:style w:type="paragraph" w:styleId="CommentText">
    <w:name w:val="annotation text"/>
    <w:basedOn w:val="Normal"/>
    <w:link w:val="CommentTextChar"/>
    <w:uiPriority w:val="99"/>
    <w:semiHidden/>
    <w:unhideWhenUsed/>
    <w:rsid w:val="00023D60"/>
    <w:rPr>
      <w:szCs w:val="20"/>
    </w:rPr>
  </w:style>
  <w:style w:type="character" w:customStyle="1" w:styleId="CommentTextChar">
    <w:name w:val="Comment Text Char"/>
    <w:basedOn w:val="DefaultParagraphFont"/>
    <w:link w:val="CommentText"/>
    <w:uiPriority w:val="99"/>
    <w:semiHidden/>
    <w:rsid w:val="00023D60"/>
    <w:rPr>
      <w:rFonts w:ascii="Arial" w:hAnsi="Arial"/>
      <w:szCs w:val="20"/>
    </w:rPr>
  </w:style>
  <w:style w:type="paragraph" w:styleId="CommentSubject">
    <w:name w:val="annotation subject"/>
    <w:basedOn w:val="CommentText"/>
    <w:next w:val="CommentText"/>
    <w:link w:val="CommentSubjectChar"/>
    <w:uiPriority w:val="99"/>
    <w:semiHidden/>
    <w:unhideWhenUsed/>
    <w:rsid w:val="00023D60"/>
    <w:rPr>
      <w:b/>
      <w:bCs/>
    </w:rPr>
  </w:style>
  <w:style w:type="character" w:customStyle="1" w:styleId="CommentSubjectChar">
    <w:name w:val="Comment Subject Char"/>
    <w:basedOn w:val="CommentTextChar"/>
    <w:link w:val="CommentSubject"/>
    <w:uiPriority w:val="99"/>
    <w:semiHidden/>
    <w:rsid w:val="00023D60"/>
    <w:rPr>
      <w:rFonts w:ascii="Arial" w:hAnsi="Arial"/>
      <w:b/>
      <w:bCs/>
      <w:szCs w:val="20"/>
    </w:rPr>
  </w:style>
  <w:style w:type="character" w:styleId="FootnoteReference">
    <w:name w:val="footnote reference"/>
    <w:basedOn w:val="DefaultParagraphFont"/>
    <w:semiHidden/>
    <w:unhideWhenUsed/>
    <w:rsid w:val="000F40FA"/>
    <w:rPr>
      <w:b/>
      <w:color w:val="auto"/>
      <w:vertAlign w:val="superscript"/>
    </w:rPr>
  </w:style>
  <w:style w:type="paragraph" w:styleId="FootnoteText">
    <w:name w:val="footnote text"/>
    <w:basedOn w:val="Normal"/>
    <w:link w:val="FootnoteTextChar"/>
    <w:uiPriority w:val="98"/>
    <w:unhideWhenUsed/>
    <w:rsid w:val="00CA3264"/>
    <w:pPr>
      <w:spacing w:after="0"/>
    </w:pPr>
    <w:rPr>
      <w:sz w:val="18"/>
      <w:szCs w:val="20"/>
    </w:rPr>
  </w:style>
  <w:style w:type="character" w:customStyle="1" w:styleId="FootnoteTextChar">
    <w:name w:val="Footnote Text Char"/>
    <w:basedOn w:val="DefaultParagraphFont"/>
    <w:link w:val="FootnoteText"/>
    <w:uiPriority w:val="98"/>
    <w:rsid w:val="00CA3264"/>
    <w:rPr>
      <w:rFonts w:ascii="Arial" w:hAnsi="Arial"/>
      <w:sz w:val="18"/>
      <w:szCs w:val="20"/>
    </w:rPr>
  </w:style>
  <w:style w:type="paragraph" w:styleId="Header">
    <w:name w:val="header"/>
    <w:basedOn w:val="Normal"/>
    <w:link w:val="HeaderChar"/>
    <w:uiPriority w:val="99"/>
    <w:unhideWhenUsed/>
    <w:rsid w:val="00023D60"/>
    <w:pPr>
      <w:tabs>
        <w:tab w:val="right" w:pos="9360"/>
      </w:tabs>
    </w:pPr>
  </w:style>
  <w:style w:type="character" w:customStyle="1" w:styleId="HeaderChar">
    <w:name w:val="Header Char"/>
    <w:basedOn w:val="DefaultParagraphFont"/>
    <w:link w:val="Header"/>
    <w:uiPriority w:val="99"/>
    <w:rsid w:val="00023D60"/>
    <w:rPr>
      <w:rFonts w:ascii="Arial" w:hAnsi="Arial"/>
    </w:rPr>
  </w:style>
  <w:style w:type="character" w:customStyle="1" w:styleId="Heading1Char">
    <w:name w:val="Heading 1 Char"/>
    <w:basedOn w:val="DefaultParagraphFont"/>
    <w:link w:val="Heading1"/>
    <w:uiPriority w:val="9"/>
    <w:rsid w:val="00676180"/>
    <w:rPr>
      <w:rFonts w:ascii="HPE Graphik Semibold" w:eastAsiaTheme="majorEastAsia" w:hAnsi="HPE Graphik Semibold" w:cstheme="majorBidi"/>
      <w:color w:val="000000" w:themeColor="text1"/>
      <w:kern w:val="0"/>
      <w:sz w:val="40"/>
      <w:szCs w:val="32"/>
      <w:lang w:eastAsia="en-CA"/>
    </w:rPr>
  </w:style>
  <w:style w:type="character" w:customStyle="1" w:styleId="Heading2Char">
    <w:name w:val="Heading 2 Char"/>
    <w:basedOn w:val="DefaultParagraphFont"/>
    <w:link w:val="Heading2"/>
    <w:uiPriority w:val="9"/>
    <w:rsid w:val="00676180"/>
    <w:rPr>
      <w:rFonts w:ascii="HPE Graphik Semibold" w:eastAsiaTheme="majorEastAsia" w:hAnsi="HPE Graphik Semibold" w:cstheme="majorBidi"/>
      <w:color w:val="000000" w:themeColor="text1"/>
      <w:kern w:val="0"/>
      <w:sz w:val="30"/>
      <w:szCs w:val="26"/>
      <w:lang w:eastAsia="en-CA"/>
    </w:rPr>
  </w:style>
  <w:style w:type="character" w:customStyle="1" w:styleId="Heading3Char">
    <w:name w:val="Heading 3 Char"/>
    <w:basedOn w:val="DefaultParagraphFont"/>
    <w:link w:val="Heading3"/>
    <w:uiPriority w:val="9"/>
    <w:rsid w:val="00676180"/>
    <w:rPr>
      <w:rFonts w:ascii="HPE Graphik Semibold" w:eastAsiaTheme="majorEastAsia" w:hAnsi="HPE Graphik Semibold" w:cstheme="majorBidi"/>
      <w:color w:val="000000" w:themeColor="text1"/>
      <w:kern w:val="0"/>
      <w:sz w:val="20"/>
      <w:szCs w:val="24"/>
      <w:lang w:eastAsia="en-CA"/>
    </w:rPr>
  </w:style>
  <w:style w:type="character" w:customStyle="1" w:styleId="Heading4Char">
    <w:name w:val="Heading 4 Char"/>
    <w:basedOn w:val="DefaultParagraphFont"/>
    <w:link w:val="Heading4"/>
    <w:uiPriority w:val="9"/>
    <w:rsid w:val="00676180"/>
    <w:rPr>
      <w:rFonts w:ascii="HPE Graphik" w:eastAsiaTheme="majorEastAsia" w:hAnsi="HPE Graphik" w:cstheme="majorBidi"/>
      <w:iCs/>
      <w:color w:val="000000" w:themeColor="text1"/>
      <w:kern w:val="0"/>
      <w:sz w:val="20"/>
      <w:lang w:eastAsia="en-CA"/>
    </w:rPr>
  </w:style>
  <w:style w:type="character" w:customStyle="1" w:styleId="Heading5Char">
    <w:name w:val="Heading 5 Char"/>
    <w:basedOn w:val="DefaultParagraphFont"/>
    <w:link w:val="Heading5"/>
    <w:uiPriority w:val="9"/>
    <w:rsid w:val="00D76C53"/>
    <w:rPr>
      <w:rFonts w:ascii="Arial" w:eastAsiaTheme="majorEastAsia" w:hAnsi="Arial" w:cstheme="majorBidi"/>
      <w:color w:val="000000" w:themeColor="text1"/>
      <w:sz w:val="20"/>
      <w:u w:val="single"/>
    </w:rPr>
  </w:style>
  <w:style w:type="character" w:customStyle="1" w:styleId="Heading6Char">
    <w:name w:val="Heading 6 Char"/>
    <w:basedOn w:val="DefaultParagraphFont"/>
    <w:link w:val="Heading6"/>
    <w:uiPriority w:val="9"/>
    <w:rsid w:val="00D76C53"/>
    <w:rPr>
      <w:rFonts w:ascii="Arial" w:eastAsiaTheme="majorEastAsia" w:hAnsi="Arial" w:cstheme="majorBidi"/>
      <w:color w:val="000000" w:themeColor="text1"/>
      <w:sz w:val="20"/>
    </w:rPr>
  </w:style>
  <w:style w:type="character" w:customStyle="1" w:styleId="Heading7Char">
    <w:name w:val="Heading 7 Char"/>
    <w:basedOn w:val="DefaultParagraphFont"/>
    <w:link w:val="Heading7"/>
    <w:uiPriority w:val="9"/>
    <w:rsid w:val="00D76C53"/>
    <w:rPr>
      <w:rFonts w:ascii="Arial" w:eastAsiaTheme="majorEastAsia" w:hAnsi="Arial" w:cstheme="majorBidi"/>
      <w:i/>
      <w:iCs/>
      <w:color w:val="000000" w:themeColor="text1"/>
      <w:sz w:val="20"/>
      <w:u w:val="single"/>
    </w:rPr>
  </w:style>
  <w:style w:type="character" w:customStyle="1" w:styleId="HPEGreen">
    <w:name w:val="HPE Green"/>
    <w:basedOn w:val="DefaultParagraphFont"/>
    <w:uiPriority w:val="1"/>
    <w:qFormat/>
    <w:rsid w:val="00F60A7F"/>
    <w:rPr>
      <w:rFonts w:ascii="HPE Graphik Semibold" w:hAnsi="HPE Graphik Semibold"/>
      <w:b w:val="0"/>
      <w:color w:val="01A982" w:themeColor="accent5"/>
    </w:rPr>
  </w:style>
  <w:style w:type="table" w:customStyle="1" w:styleId="RevisionTable">
    <w:name w:val="Revision_Table"/>
    <w:basedOn w:val="TableNormal"/>
    <w:uiPriority w:val="99"/>
    <w:rsid w:val="00B670DC"/>
    <w:pPr>
      <w:spacing w:after="0" w:line="240" w:lineRule="auto"/>
    </w:pPr>
    <w:rPr>
      <w:rFonts w:ascii="Calibri" w:eastAsia="Calibri" w:hAnsi="Calibri" w:cs="Times New Roman"/>
      <w:kern w:val="0"/>
      <w:sz w:val="20"/>
      <w:szCs w:val="20"/>
      <w:lang w:val="en-GB" w:eastAsia="en-GB"/>
      <w14:ligatures w14:val="none"/>
    </w:rPr>
    <w:tblPr>
      <w:tblBorders>
        <w:top w:val="single" w:sz="4" w:space="0" w:color="B1B9BE" w:themeColor="background2"/>
        <w:left w:val="single" w:sz="4" w:space="0" w:color="B1B9BE" w:themeColor="background2"/>
        <w:bottom w:val="single" w:sz="4" w:space="0" w:color="B1B9BE" w:themeColor="background2"/>
        <w:right w:val="single" w:sz="4" w:space="0" w:color="B1B9BE" w:themeColor="background2"/>
        <w:insideH w:val="single" w:sz="4" w:space="0" w:color="B1B9BE" w:themeColor="background2"/>
        <w:insideV w:val="single" w:sz="4" w:space="0" w:color="B1B9BE" w:themeColor="background2"/>
      </w:tblBorders>
    </w:tblPr>
    <w:tcPr>
      <w:shd w:val="clear" w:color="auto" w:fill="auto"/>
    </w:tcPr>
    <w:tblStylePr w:type="firstRow">
      <w:tblPr/>
      <w:tcPr>
        <w:tcBorders>
          <w:bottom w:val="single" w:sz="18" w:space="0" w:color="E6E8E9" w:themeColor="text2"/>
        </w:tcBorders>
        <w:shd w:val="clear" w:color="auto" w:fill="auto"/>
      </w:tcPr>
    </w:tblStylePr>
  </w:style>
  <w:style w:type="paragraph" w:styleId="Quote">
    <w:name w:val="Quote"/>
    <w:basedOn w:val="Normal"/>
    <w:next w:val="Normal"/>
    <w:link w:val="QuoteChar"/>
    <w:uiPriority w:val="29"/>
    <w:qFormat/>
    <w:rsid w:val="00991BC9"/>
    <w:pPr>
      <w:keepLines/>
      <w:spacing w:before="240" w:after="240"/>
    </w:pPr>
    <w:rPr>
      <w:rFonts w:ascii="HPE Graphik Medium" w:hAnsi="HPE Graphik Medium"/>
      <w:iCs/>
      <w:color w:val="01A982"/>
      <w:sz w:val="24"/>
    </w:rPr>
  </w:style>
  <w:style w:type="character" w:customStyle="1" w:styleId="QuoteChar">
    <w:name w:val="Quote Char"/>
    <w:basedOn w:val="DefaultParagraphFont"/>
    <w:link w:val="Quote"/>
    <w:uiPriority w:val="29"/>
    <w:rsid w:val="00991BC9"/>
    <w:rPr>
      <w:rFonts w:ascii="HPE Graphik Medium" w:hAnsi="HPE Graphik Medium" w:cs="Aptos"/>
      <w:iCs/>
      <w:color w:val="01A982"/>
      <w:kern w:val="0"/>
      <w:sz w:val="24"/>
      <w:lang w:eastAsia="en-CA"/>
    </w:rPr>
  </w:style>
  <w:style w:type="character" w:styleId="Hyperlink">
    <w:name w:val="Hyperlink"/>
    <w:basedOn w:val="DefaultParagraphFont"/>
    <w:uiPriority w:val="99"/>
    <w:unhideWhenUsed/>
    <w:qFormat/>
    <w:rsid w:val="00FD36E8"/>
    <w:rPr>
      <w:rFonts w:ascii="HPE Graphik" w:hAnsi="HPE Graphik"/>
      <w:b w:val="0"/>
      <w:i w:val="0"/>
      <w:color w:val="01A982"/>
      <w:spacing w:val="0"/>
      <w:u w:val="single" w:color="01A982"/>
      <w:bdr w:val="none" w:sz="0" w:space="0" w:color="auto"/>
    </w:rPr>
  </w:style>
  <w:style w:type="paragraph" w:styleId="List">
    <w:name w:val="List"/>
    <w:basedOn w:val="Normal"/>
    <w:link w:val="ListChar"/>
    <w:uiPriority w:val="99"/>
    <w:semiHidden/>
    <w:unhideWhenUsed/>
    <w:rsid w:val="00023D60"/>
    <w:pPr>
      <w:ind w:firstLine="360"/>
      <w:contextualSpacing/>
    </w:pPr>
  </w:style>
  <w:style w:type="character" w:customStyle="1" w:styleId="ListChar">
    <w:name w:val="List Char"/>
    <w:basedOn w:val="DefaultParagraphFont"/>
    <w:link w:val="List"/>
    <w:uiPriority w:val="99"/>
    <w:semiHidden/>
    <w:rsid w:val="00023D60"/>
    <w:rPr>
      <w:rFonts w:ascii="Arial" w:hAnsi="Arial"/>
    </w:rPr>
  </w:style>
  <w:style w:type="paragraph" w:styleId="List2">
    <w:name w:val="List 2"/>
    <w:basedOn w:val="Normal"/>
    <w:uiPriority w:val="99"/>
    <w:semiHidden/>
    <w:unhideWhenUsed/>
    <w:rsid w:val="00023D60"/>
    <w:pPr>
      <w:ind w:left="720" w:hanging="360"/>
      <w:contextualSpacing/>
    </w:pPr>
  </w:style>
  <w:style w:type="paragraph" w:styleId="ListBullet">
    <w:name w:val="List Bullet"/>
    <w:basedOn w:val="Normal"/>
    <w:uiPriority w:val="99"/>
    <w:semiHidden/>
    <w:unhideWhenUsed/>
    <w:rsid w:val="00023D60"/>
    <w:pPr>
      <w:numPr>
        <w:numId w:val="6"/>
      </w:numPr>
      <w:contextualSpacing/>
    </w:pPr>
  </w:style>
  <w:style w:type="paragraph" w:styleId="ListBullet2">
    <w:name w:val="List Bullet 2"/>
    <w:basedOn w:val="Normal"/>
    <w:uiPriority w:val="99"/>
    <w:semiHidden/>
    <w:unhideWhenUsed/>
    <w:rsid w:val="00023D60"/>
    <w:pPr>
      <w:numPr>
        <w:numId w:val="7"/>
      </w:numPr>
      <w:contextualSpacing/>
    </w:pPr>
  </w:style>
  <w:style w:type="paragraph" w:styleId="ListBullet3">
    <w:name w:val="List Bullet 3"/>
    <w:basedOn w:val="Normal"/>
    <w:uiPriority w:val="99"/>
    <w:semiHidden/>
    <w:unhideWhenUsed/>
    <w:rsid w:val="00023D60"/>
    <w:pPr>
      <w:numPr>
        <w:numId w:val="8"/>
      </w:numPr>
      <w:contextualSpacing/>
    </w:pPr>
  </w:style>
  <w:style w:type="paragraph" w:styleId="ListBullet4">
    <w:name w:val="List Bullet 4"/>
    <w:basedOn w:val="Normal"/>
    <w:uiPriority w:val="99"/>
    <w:semiHidden/>
    <w:unhideWhenUsed/>
    <w:rsid w:val="00023D60"/>
    <w:pPr>
      <w:numPr>
        <w:numId w:val="9"/>
      </w:numPr>
      <w:contextualSpacing/>
    </w:pPr>
  </w:style>
  <w:style w:type="paragraph" w:styleId="ListBullet5">
    <w:name w:val="List Bullet 5"/>
    <w:basedOn w:val="Normal"/>
    <w:uiPriority w:val="99"/>
    <w:semiHidden/>
    <w:unhideWhenUsed/>
    <w:rsid w:val="00023D60"/>
    <w:pPr>
      <w:numPr>
        <w:numId w:val="10"/>
      </w:numPr>
      <w:contextualSpacing/>
    </w:pPr>
  </w:style>
  <w:style w:type="numbering" w:customStyle="1" w:styleId="ListSSBullet">
    <w:name w:val="List SS Bullet"/>
    <w:uiPriority w:val="99"/>
    <w:rsid w:val="00023D60"/>
    <w:pPr>
      <w:numPr>
        <w:numId w:val="1"/>
      </w:numPr>
    </w:pPr>
  </w:style>
  <w:style w:type="numbering" w:customStyle="1" w:styleId="ListSSFancy">
    <w:name w:val="List SS Fancy"/>
    <w:uiPriority w:val="99"/>
    <w:rsid w:val="00023D60"/>
    <w:pPr>
      <w:numPr>
        <w:numId w:val="2"/>
      </w:numPr>
    </w:pPr>
  </w:style>
  <w:style w:type="numbering" w:customStyle="1" w:styleId="ListSSHybred">
    <w:name w:val="List SS Hybred"/>
    <w:uiPriority w:val="99"/>
    <w:rsid w:val="00023D60"/>
    <w:pPr>
      <w:numPr>
        <w:numId w:val="3"/>
      </w:numPr>
    </w:pPr>
  </w:style>
  <w:style w:type="paragraph" w:customStyle="1" w:styleId="QuoteTextAttribution">
    <w:name w:val="Quote Text Attribution"/>
    <w:basedOn w:val="Normal"/>
    <w:qFormat/>
    <w:rsid w:val="00991BC9"/>
    <w:pPr>
      <w:spacing w:after="360"/>
    </w:pPr>
    <w:rPr>
      <w:rFonts w:ascii="HPE Graphik Medium" w:eastAsia="Times New Roman" w:hAnsi="HPE Graphik Medium" w:cs="Times New Roman"/>
      <w:sz w:val="16"/>
      <w:szCs w:val="18"/>
    </w:rPr>
  </w:style>
  <w:style w:type="table" w:styleId="TableGrid">
    <w:name w:val="Table Grid"/>
    <w:basedOn w:val="TableNormal"/>
    <w:uiPriority w:val="39"/>
    <w:rsid w:val="00B67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3D60"/>
    <w:pPr>
      <w:spacing w:after="120"/>
    </w:pPr>
    <w:rPr>
      <w:rFonts w:ascii="Arial" w:hAnsi="Arial" w:cs="Times New Roman"/>
      <w:sz w:val="20"/>
    </w:rPr>
    <w:tblPr>
      <w:tblBorders>
        <w:top w:val="single" w:sz="4" w:space="0" w:color="C6C9CA"/>
        <w:left w:val="single" w:sz="4" w:space="0" w:color="C6C9CA"/>
        <w:bottom w:val="single" w:sz="4" w:space="0" w:color="C6C9CA"/>
        <w:right w:val="single" w:sz="4" w:space="0" w:color="C6C9CA"/>
        <w:insideH w:val="single" w:sz="4" w:space="0" w:color="C6C9CA"/>
        <w:insideV w:val="single" w:sz="4" w:space="0" w:color="C6C9CA"/>
      </w:tblBorders>
    </w:tblPr>
  </w:style>
  <w:style w:type="table" w:customStyle="1" w:styleId="TableGrid1">
    <w:name w:val="Table Grid1"/>
    <w:basedOn w:val="TableNormal"/>
    <w:next w:val="TableNormal"/>
    <w:uiPriority w:val="39"/>
    <w:rsid w:val="00023D60"/>
    <w:rPr>
      <w:rFonts w:ascii="HP Simplified" w:eastAsia="Times New Roman" w:hAnsi="HP Simplified" w:cs="Times New Roman"/>
      <w:sz w:val="1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006801"/>
    <w:pPr>
      <w:keepLines/>
      <w:pBdr>
        <w:bottom w:val="single" w:sz="48" w:space="1" w:color="01A982"/>
      </w:pBdr>
      <w:spacing w:before="240" w:after="240"/>
      <w:contextualSpacing/>
    </w:pPr>
    <w:rPr>
      <w:rFonts w:ascii="Arial Bold" w:eastAsiaTheme="majorEastAsia" w:hAnsi="Arial Bold" w:cstheme="majorBidi"/>
      <w:b/>
      <w:color w:val="000000" w:themeColor="text1"/>
      <w:kern w:val="28"/>
      <w:sz w:val="32"/>
      <w:szCs w:val="56"/>
    </w:rPr>
  </w:style>
  <w:style w:type="character" w:customStyle="1" w:styleId="TitleChar">
    <w:name w:val="Title Char"/>
    <w:basedOn w:val="DefaultParagraphFont"/>
    <w:link w:val="Title"/>
    <w:uiPriority w:val="10"/>
    <w:rsid w:val="00006801"/>
    <w:rPr>
      <w:rFonts w:ascii="Arial Bold" w:eastAsiaTheme="majorEastAsia" w:hAnsi="Arial Bold" w:cstheme="majorBidi"/>
      <w:b/>
      <w:color w:val="000000" w:themeColor="text1"/>
      <w:kern w:val="28"/>
      <w:sz w:val="32"/>
      <w:szCs w:val="56"/>
    </w:rPr>
  </w:style>
  <w:style w:type="paragraph" w:styleId="TOAHeading">
    <w:name w:val="toa heading"/>
    <w:basedOn w:val="Heading1"/>
    <w:next w:val="Normal"/>
    <w:uiPriority w:val="99"/>
    <w:semiHidden/>
    <w:unhideWhenUsed/>
    <w:rsid w:val="00023D60"/>
    <w:pPr>
      <w:spacing w:before="120"/>
    </w:pPr>
    <w:rPr>
      <w:bCs/>
      <w:sz w:val="24"/>
      <w:szCs w:val="24"/>
    </w:rPr>
  </w:style>
  <w:style w:type="paragraph" w:styleId="TOC1">
    <w:name w:val="toc 1"/>
    <w:basedOn w:val="Normal"/>
    <w:next w:val="Normal"/>
    <w:autoRedefine/>
    <w:uiPriority w:val="39"/>
    <w:unhideWhenUsed/>
    <w:rsid w:val="00023D60"/>
    <w:rPr>
      <w:rFonts w:cstheme="minorHAnsi"/>
      <w:bCs/>
      <w:szCs w:val="20"/>
    </w:rPr>
  </w:style>
  <w:style w:type="paragraph" w:styleId="TOC2">
    <w:name w:val="toc 2"/>
    <w:basedOn w:val="Normal"/>
    <w:next w:val="Normal"/>
    <w:autoRedefine/>
    <w:uiPriority w:val="39"/>
    <w:unhideWhenUsed/>
    <w:rsid w:val="00023D60"/>
    <w:pPr>
      <w:ind w:left="142"/>
    </w:pPr>
    <w:rPr>
      <w:rFonts w:cstheme="minorHAnsi"/>
      <w:szCs w:val="20"/>
    </w:rPr>
  </w:style>
  <w:style w:type="paragraph" w:styleId="TOC3">
    <w:name w:val="toc 3"/>
    <w:basedOn w:val="Normal"/>
    <w:next w:val="Normal"/>
    <w:autoRedefine/>
    <w:uiPriority w:val="39"/>
    <w:unhideWhenUsed/>
    <w:rsid w:val="00023D60"/>
    <w:pPr>
      <w:ind w:left="284"/>
    </w:pPr>
    <w:rPr>
      <w:rFonts w:cstheme="minorHAnsi"/>
      <w:iCs/>
      <w:szCs w:val="20"/>
    </w:rPr>
  </w:style>
  <w:style w:type="paragraph" w:styleId="TOC4">
    <w:name w:val="toc 4"/>
    <w:basedOn w:val="Normal"/>
    <w:next w:val="Normal"/>
    <w:autoRedefine/>
    <w:uiPriority w:val="39"/>
    <w:unhideWhenUsed/>
    <w:rsid w:val="00006801"/>
    <w:pPr>
      <w:ind w:left="576"/>
    </w:pPr>
    <w:rPr>
      <w:rFonts w:cstheme="minorHAnsi"/>
      <w:szCs w:val="18"/>
    </w:rPr>
  </w:style>
  <w:style w:type="paragraph" w:styleId="TOCHeading">
    <w:name w:val="TOC Heading"/>
    <w:basedOn w:val="Heading1"/>
    <w:next w:val="Normal"/>
    <w:uiPriority w:val="39"/>
    <w:unhideWhenUsed/>
    <w:rsid w:val="00023D60"/>
    <w:pPr>
      <w:tabs>
        <w:tab w:val="clear" w:pos="360"/>
        <w:tab w:val="clear" w:pos="720"/>
        <w:tab w:val="clear" w:pos="10800"/>
      </w:tabs>
      <w:spacing w:after="60"/>
      <w:outlineLvl w:val="9"/>
    </w:pPr>
  </w:style>
  <w:style w:type="character" w:styleId="UnresolvedMention">
    <w:name w:val="Unresolved Mention"/>
    <w:basedOn w:val="DefaultParagraphFont"/>
    <w:uiPriority w:val="99"/>
    <w:semiHidden/>
    <w:unhideWhenUsed/>
    <w:rsid w:val="00023D60"/>
    <w:rPr>
      <w:color w:val="605E5C"/>
      <w:shd w:val="clear" w:color="auto" w:fill="E1DFDD"/>
    </w:rPr>
  </w:style>
  <w:style w:type="numbering" w:customStyle="1" w:styleId="ListSSNumber">
    <w:name w:val="List SS Number"/>
    <w:uiPriority w:val="99"/>
    <w:rsid w:val="00023D60"/>
    <w:pPr>
      <w:numPr>
        <w:numId w:val="5"/>
      </w:numPr>
    </w:pPr>
  </w:style>
  <w:style w:type="paragraph" w:styleId="Caption">
    <w:name w:val="caption"/>
    <w:basedOn w:val="Normal"/>
    <w:next w:val="Normal"/>
    <w:uiPriority w:val="35"/>
    <w:semiHidden/>
    <w:unhideWhenUsed/>
    <w:rsid w:val="00023D60"/>
    <w:rPr>
      <w:i/>
      <w:iCs/>
      <w:color w:val="000000" w:themeColor="text1"/>
    </w:rPr>
  </w:style>
  <w:style w:type="paragraph" w:styleId="BodyText">
    <w:name w:val="Body Text"/>
    <w:basedOn w:val="Normal"/>
    <w:link w:val="BodyTextChar"/>
    <w:uiPriority w:val="99"/>
    <w:semiHidden/>
    <w:unhideWhenUsed/>
    <w:rsid w:val="00023D60"/>
  </w:style>
  <w:style w:type="character" w:customStyle="1" w:styleId="BodyTextChar">
    <w:name w:val="Body Text Char"/>
    <w:basedOn w:val="DefaultParagraphFont"/>
    <w:link w:val="BodyText"/>
    <w:uiPriority w:val="99"/>
    <w:semiHidden/>
    <w:rsid w:val="00023D60"/>
    <w:rPr>
      <w:rFonts w:ascii="Arial" w:hAnsi="Arial"/>
    </w:rPr>
  </w:style>
  <w:style w:type="paragraph" w:styleId="BlockText">
    <w:name w:val="Block Text"/>
    <w:basedOn w:val="Normal"/>
    <w:uiPriority w:val="99"/>
    <w:unhideWhenUsed/>
    <w:qFormat/>
    <w:rsid w:val="00CA3264"/>
    <w:pPr>
      <w:keepLines/>
      <w:pBdr>
        <w:top w:val="single" w:sz="8" w:space="4" w:color="000000" w:themeColor="text1"/>
        <w:bottom w:val="single" w:sz="8" w:space="4" w:color="000000" w:themeColor="text1"/>
      </w:pBdr>
    </w:pPr>
    <w:rPr>
      <w:rFonts w:eastAsiaTheme="minorEastAsia"/>
      <w:iCs/>
      <w:color w:val="000000" w:themeColor="text1"/>
    </w:rPr>
  </w:style>
  <w:style w:type="paragraph" w:styleId="NormalWeb">
    <w:name w:val="Normal (Web)"/>
    <w:basedOn w:val="Normal"/>
    <w:uiPriority w:val="99"/>
    <w:semiHidden/>
    <w:unhideWhenUsed/>
    <w:rsid w:val="00023D60"/>
    <w:pPr>
      <w:spacing w:before="100" w:beforeAutospacing="1" w:after="100" w:afterAutospacing="1"/>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23D60"/>
    <w:rPr>
      <w:rFonts w:ascii="Segoe UI" w:hAnsi="Segoe UI" w:cs="Segoe UI"/>
    </w:rPr>
  </w:style>
  <w:style w:type="character" w:customStyle="1" w:styleId="BalloonTextChar">
    <w:name w:val="Balloon Text Char"/>
    <w:basedOn w:val="DefaultParagraphFont"/>
    <w:link w:val="BalloonText"/>
    <w:uiPriority w:val="99"/>
    <w:semiHidden/>
    <w:rsid w:val="00023D60"/>
    <w:rPr>
      <w:rFonts w:ascii="Segoe UI" w:hAnsi="Segoe UI" w:cs="Segoe UI"/>
    </w:rPr>
  </w:style>
  <w:style w:type="character" w:styleId="BookTitle">
    <w:name w:val="Book Title"/>
    <w:basedOn w:val="DefaultParagraphFont"/>
    <w:uiPriority w:val="33"/>
    <w:rsid w:val="00F25CE8"/>
    <w:rPr>
      <w:rFonts w:ascii="Arial" w:hAnsi="Arial"/>
      <w:b/>
      <w:bCs/>
      <w:i/>
      <w:iCs/>
      <w:color w:val="000000" w:themeColor="text1"/>
      <w:spacing w:val="5"/>
      <w:sz w:val="20"/>
    </w:rPr>
  </w:style>
  <w:style w:type="paragraph" w:customStyle="1" w:styleId="Title2">
    <w:name w:val="Title2"/>
    <w:next w:val="Normal"/>
    <w:rsid w:val="00023D60"/>
    <w:rPr>
      <w:rFonts w:ascii="Arial" w:hAnsi="Arial"/>
      <w:b/>
      <w:u w:val="single"/>
      <w:lang w:val="en-US"/>
    </w:rPr>
  </w:style>
  <w:style w:type="paragraph" w:customStyle="1" w:styleId="BulletLevel1">
    <w:name w:val="Bullet Level 1"/>
    <w:uiPriority w:val="11"/>
    <w:rsid w:val="00BB542F"/>
    <w:pPr>
      <w:tabs>
        <w:tab w:val="left" w:pos="187"/>
      </w:tabs>
      <w:spacing w:after="115" w:line="220" w:lineRule="exact"/>
      <w:ind w:left="187" w:hanging="187"/>
    </w:pPr>
    <w:rPr>
      <w:rFonts w:ascii="Arial" w:eastAsia="Times New Roman" w:hAnsi="Arial" w:cs="Times New Roman"/>
      <w:color w:val="000000"/>
      <w:sz w:val="20"/>
      <w:szCs w:val="18"/>
      <w:lang w:val="en-US"/>
    </w:rPr>
  </w:style>
  <w:style w:type="numbering" w:customStyle="1" w:styleId="ListHPEBullet">
    <w:name w:val="List HPE Bullet"/>
    <w:basedOn w:val="NoList"/>
    <w:uiPriority w:val="99"/>
    <w:rsid w:val="00253073"/>
    <w:pPr>
      <w:numPr>
        <w:numId w:val="12"/>
      </w:numPr>
    </w:pPr>
  </w:style>
  <w:style w:type="paragraph" w:customStyle="1" w:styleId="BulletLevel2">
    <w:name w:val="Bullet Level 2"/>
    <w:basedOn w:val="Normal"/>
    <w:uiPriority w:val="15"/>
    <w:rsid w:val="00BB542F"/>
    <w:pPr>
      <w:tabs>
        <w:tab w:val="left" w:pos="374"/>
      </w:tabs>
      <w:spacing w:after="115" w:line="220" w:lineRule="exact"/>
      <w:ind w:left="374" w:hanging="187"/>
    </w:pPr>
    <w:rPr>
      <w:rFonts w:eastAsia="Times New Roman" w:cs="Times New Roman"/>
      <w:szCs w:val="24"/>
      <w:lang w:val="en-US"/>
    </w:rPr>
  </w:style>
  <w:style w:type="character" w:customStyle="1" w:styleId="Heading8Char">
    <w:name w:val="Heading 8 Char"/>
    <w:basedOn w:val="DefaultParagraphFont"/>
    <w:link w:val="Heading8"/>
    <w:uiPriority w:val="9"/>
    <w:semiHidden/>
    <w:rsid w:val="00D76C53"/>
    <w:rPr>
      <w:rFonts w:ascii="Arial" w:eastAsiaTheme="majorEastAsia" w:hAnsi="Arial" w:cstheme="majorBidi"/>
      <w:i/>
      <w:color w:val="000000" w:themeColor="text1"/>
      <w:sz w:val="20"/>
      <w:szCs w:val="21"/>
    </w:rPr>
  </w:style>
  <w:style w:type="character" w:customStyle="1" w:styleId="Heading9Char">
    <w:name w:val="Heading 9 Char"/>
    <w:basedOn w:val="DefaultParagraphFont"/>
    <w:link w:val="Heading9"/>
    <w:uiPriority w:val="9"/>
    <w:semiHidden/>
    <w:rsid w:val="007241CD"/>
    <w:rPr>
      <w:rFonts w:ascii="Arial" w:eastAsiaTheme="majorEastAsia" w:hAnsi="Arial" w:cstheme="majorBidi"/>
      <w:iCs/>
      <w:color w:val="272727" w:themeColor="text1" w:themeTint="D8"/>
      <w:sz w:val="20"/>
      <w:szCs w:val="21"/>
    </w:rPr>
  </w:style>
  <w:style w:type="paragraph" w:styleId="ListParagraph">
    <w:name w:val="List Paragraph"/>
    <w:basedOn w:val="Normal"/>
    <w:uiPriority w:val="34"/>
    <w:rsid w:val="00E10D0C"/>
    <w:pPr>
      <w:ind w:left="720"/>
    </w:pPr>
  </w:style>
  <w:style w:type="paragraph" w:customStyle="1" w:styleId="BulletLevel3">
    <w:name w:val="Bullet Level 3"/>
    <w:uiPriority w:val="19"/>
    <w:rsid w:val="00BB542F"/>
    <w:pPr>
      <w:tabs>
        <w:tab w:val="left" w:pos="562"/>
      </w:tabs>
      <w:spacing w:after="115" w:line="220" w:lineRule="exact"/>
      <w:ind w:left="561" w:hanging="187"/>
    </w:pPr>
    <w:rPr>
      <w:rFonts w:ascii="Arial" w:eastAsia="Times New Roman" w:hAnsi="Arial" w:cs="Times New Roman"/>
      <w:color w:val="000000"/>
      <w:sz w:val="20"/>
      <w:szCs w:val="18"/>
      <w:lang w:val="en-US"/>
    </w:rPr>
  </w:style>
  <w:style w:type="paragraph" w:customStyle="1" w:styleId="BulletLevel3Last">
    <w:name w:val="Bullet Level 3_Last"/>
    <w:basedOn w:val="BulletLevel3"/>
    <w:uiPriority w:val="99"/>
    <w:rsid w:val="00BB542F"/>
    <w:pPr>
      <w:spacing w:after="216"/>
    </w:pPr>
  </w:style>
  <w:style w:type="numbering" w:customStyle="1" w:styleId="ListHPENumber">
    <w:name w:val="List HPE Number"/>
    <w:basedOn w:val="NoList"/>
    <w:uiPriority w:val="99"/>
    <w:rsid w:val="004E41B4"/>
    <w:pPr>
      <w:numPr>
        <w:numId w:val="14"/>
      </w:numPr>
    </w:pPr>
  </w:style>
  <w:style w:type="character" w:styleId="IntenseReference">
    <w:name w:val="Intense Reference"/>
    <w:basedOn w:val="DefaultParagraphFont"/>
    <w:uiPriority w:val="32"/>
    <w:rsid w:val="00D76C53"/>
    <w:rPr>
      <w:rFonts w:ascii="Arial Black" w:hAnsi="Arial Black"/>
      <w:b w:val="0"/>
      <w:bCs/>
      <w:smallCaps/>
      <w:color w:val="auto"/>
      <w:spacing w:val="5"/>
    </w:rPr>
  </w:style>
  <w:style w:type="character" w:styleId="IntenseEmphasis">
    <w:name w:val="Intense Emphasis"/>
    <w:basedOn w:val="DefaultParagraphFont"/>
    <w:uiPriority w:val="21"/>
    <w:rsid w:val="00D76C53"/>
    <w:rPr>
      <w:b/>
      <w:i/>
      <w:iCs/>
      <w:color w:val="auto"/>
    </w:rPr>
  </w:style>
  <w:style w:type="paragraph" w:customStyle="1" w:styleId="Heading">
    <w:name w:val="Heading"/>
    <w:basedOn w:val="Normal"/>
    <w:next w:val="Normal"/>
    <w:link w:val="HeadingChar"/>
    <w:qFormat/>
    <w:rsid w:val="00676180"/>
    <w:pPr>
      <w:spacing w:before="360" w:after="160" w:line="240" w:lineRule="atLeast"/>
    </w:pPr>
    <w:rPr>
      <w:rFonts w:ascii="HPE Graphik Semibold" w:hAnsi="HPE Graphik Semibold"/>
      <w:sz w:val="40"/>
    </w:rPr>
  </w:style>
  <w:style w:type="character" w:customStyle="1" w:styleId="HeadingChar">
    <w:name w:val="Heading Char"/>
    <w:basedOn w:val="DefaultParagraphFont"/>
    <w:link w:val="Heading"/>
    <w:rsid w:val="00676180"/>
    <w:rPr>
      <w:rFonts w:ascii="HPE Graphik Semibold" w:hAnsi="HPE Graphik Semibold" w:cs="Aptos"/>
      <w:kern w:val="0"/>
      <w:sz w:val="40"/>
      <w:lang w:eastAsia="en-CA"/>
    </w:rPr>
  </w:style>
  <w:style w:type="character" w:styleId="SmartLink">
    <w:name w:val="Smart Link"/>
    <w:basedOn w:val="DefaultParagraphFont"/>
    <w:uiPriority w:val="99"/>
    <w:semiHidden/>
    <w:unhideWhenUsed/>
    <w:rsid w:val="00FF6A91"/>
    <w:rPr>
      <w:rFonts w:ascii="Arial" w:hAnsi="Arial" w:cs="Times New Roman"/>
      <w:color w:val="000000" w:themeColor="text1"/>
      <w:sz w:val="20"/>
      <w:u w:val="single" w:color="01A982"/>
      <w:shd w:val="clear" w:color="auto" w:fill="F3F2F1"/>
    </w:rPr>
  </w:style>
  <w:style w:type="paragraph" w:styleId="TableofFigures">
    <w:name w:val="table of figures"/>
    <w:basedOn w:val="Normal"/>
    <w:next w:val="Normal"/>
    <w:uiPriority w:val="99"/>
    <w:unhideWhenUsed/>
    <w:rsid w:val="004C3560"/>
    <w:pPr>
      <w:tabs>
        <w:tab w:val="right" w:leader="dot" w:pos="10800"/>
      </w:tabs>
      <w:spacing w:after="100" w:line="240" w:lineRule="atLeast"/>
      <w:ind w:right="1152"/>
    </w:pPr>
    <w:rPr>
      <w:rFonts w:ascii="HPE Graphik Light" w:eastAsia="Times New Roman" w:hAnsi="HPE Graphik Light" w:cs="Times New Roman"/>
      <w:szCs w:val="24"/>
      <w:lang w:val="en-US" w:eastAsia="en-US"/>
      <w14:ligatures w14:val="none"/>
    </w:rPr>
  </w:style>
  <w:style w:type="paragraph" w:styleId="Subtitle">
    <w:name w:val="Subtitle"/>
    <w:basedOn w:val="Normal"/>
    <w:next w:val="Normal"/>
    <w:link w:val="SubtitleChar"/>
    <w:uiPriority w:val="11"/>
    <w:rsid w:val="001056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A2"/>
    <w:rPr>
      <w:rFonts w:eastAsiaTheme="majorEastAsia" w:cstheme="majorBidi"/>
      <w:color w:val="595959" w:themeColor="text1" w:themeTint="A6"/>
      <w:spacing w:val="15"/>
      <w:kern w:val="0"/>
      <w:sz w:val="28"/>
      <w:szCs w:val="28"/>
      <w:lang w:eastAsia="en-CA"/>
    </w:rPr>
  </w:style>
  <w:style w:type="paragraph" w:styleId="IntenseQuote">
    <w:name w:val="Intense Quote"/>
    <w:basedOn w:val="Normal"/>
    <w:next w:val="Normal"/>
    <w:link w:val="IntenseQuoteChar"/>
    <w:uiPriority w:val="30"/>
    <w:rsid w:val="001056A2"/>
    <w:pPr>
      <w:pBdr>
        <w:top w:val="single" w:sz="4" w:space="10" w:color="3E444C" w:themeColor="accent1" w:themeShade="BF"/>
        <w:bottom w:val="single" w:sz="4" w:space="10" w:color="3E444C" w:themeColor="accent1" w:themeShade="BF"/>
      </w:pBdr>
      <w:spacing w:before="360" w:after="360"/>
      <w:ind w:left="864" w:right="864"/>
      <w:jc w:val="center"/>
    </w:pPr>
    <w:rPr>
      <w:i/>
      <w:iCs/>
      <w:color w:val="3E444C" w:themeColor="accent1" w:themeShade="BF"/>
    </w:rPr>
  </w:style>
  <w:style w:type="character" w:customStyle="1" w:styleId="IntenseQuoteChar">
    <w:name w:val="Intense Quote Char"/>
    <w:basedOn w:val="DefaultParagraphFont"/>
    <w:link w:val="IntenseQuote"/>
    <w:uiPriority w:val="30"/>
    <w:rsid w:val="001056A2"/>
    <w:rPr>
      <w:rFonts w:ascii="Arial" w:hAnsi="Arial" w:cs="Aptos"/>
      <w:i/>
      <w:iCs/>
      <w:color w:val="3E444C" w:themeColor="accent1" w:themeShade="BF"/>
      <w:kern w:val="0"/>
      <w:sz w:val="20"/>
      <w:lang w:eastAsia="en-CA"/>
    </w:rPr>
  </w:style>
  <w:style w:type="character" w:customStyle="1" w:styleId="HPESemibold">
    <w:name w:val="HPE Semibold"/>
    <w:basedOn w:val="DefaultParagraphFont"/>
    <w:uiPriority w:val="1"/>
    <w:qFormat/>
    <w:rsid w:val="007B478B"/>
    <w:rPr>
      <w:rFonts w:ascii="HPE Graphik Semibold" w:hAnsi="HPE Graphik Semibold"/>
    </w:rPr>
  </w:style>
  <w:style w:type="paragraph" w:customStyle="1" w:styleId="CoverHeadline36ptstandard">
    <w:name w:val="Cover: Headline 36 pt standard"/>
    <w:basedOn w:val="Normal"/>
    <w:uiPriority w:val="99"/>
    <w:rsid w:val="00FE405F"/>
    <w:pPr>
      <w:spacing w:after="200" w:line="700" w:lineRule="exact"/>
      <w:ind w:right="720"/>
    </w:pPr>
    <w:rPr>
      <w:rFonts w:ascii="HPE Graphik Medium" w:eastAsia="Times" w:hAnsi="HPE Graphik Medium" w:cs="Times New Roman"/>
      <w:sz w:val="72"/>
      <w:szCs w:val="64"/>
      <w:lang w:val="en-US" w:eastAsia="en-US"/>
      <w14:ligatures w14:val="none"/>
    </w:rPr>
  </w:style>
  <w:style w:type="paragraph" w:customStyle="1" w:styleId="CoverSubtitle">
    <w:name w:val="Cover: Subtitle"/>
    <w:uiPriority w:val="74"/>
    <w:rsid w:val="00FE405F"/>
    <w:pPr>
      <w:spacing w:line="360" w:lineRule="exact"/>
      <w:ind w:right="720"/>
    </w:pPr>
    <w:rPr>
      <w:rFonts w:ascii="HPE Graphik Medium" w:eastAsia="Times New Roman" w:hAnsi="HPE Graphik Medium" w:cs="Times New Roman"/>
      <w:color w:val="000000"/>
      <w:kern w:val="0"/>
      <w:sz w:val="30"/>
      <w:szCs w:val="18"/>
      <w:lang w:val="en-US"/>
      <w14:ligatures w14:val="none"/>
    </w:rPr>
  </w:style>
  <w:style w:type="numbering" w:customStyle="1" w:styleId="HPEBulletList">
    <w:name w:val="HPE Bullet List"/>
    <w:uiPriority w:val="99"/>
    <w:rsid w:val="0061189E"/>
    <w:pPr>
      <w:numPr>
        <w:numId w:val="21"/>
      </w:numPr>
    </w:pPr>
  </w:style>
  <w:style w:type="table" w:customStyle="1" w:styleId="HPETable">
    <w:name w:val="HPE_Table"/>
    <w:basedOn w:val="TableNormal"/>
    <w:uiPriority w:val="99"/>
    <w:rsid w:val="00EF11B5"/>
    <w:pPr>
      <w:spacing w:after="0" w:line="240" w:lineRule="auto"/>
    </w:pPr>
    <w:rPr>
      <w:rFonts w:ascii="HPE Graphik" w:eastAsia="Calibri" w:hAnsi="HPE Graphik" w:cs="Times New Roman"/>
      <w:kern w:val="0"/>
      <w:sz w:val="18"/>
      <w:szCs w:val="20"/>
      <w:lang w:val="en-GB" w:eastAsia="en-GB"/>
      <w14:ligatures w14:val="none"/>
    </w:rPr>
    <w:tblPr>
      <w:tblBorders>
        <w:bottom w:val="single" w:sz="4" w:space="0" w:color="E6E8E9" w:themeColor="text2"/>
        <w:insideH w:val="single" w:sz="4" w:space="0" w:color="E6E8E9" w:themeColor="text2"/>
      </w:tblBorders>
    </w:tblPr>
    <w:tcPr>
      <w:vAlign w:val="center"/>
    </w:tcPr>
    <w:tblStylePr w:type="firstRow">
      <w:rPr>
        <w:rFonts w:ascii="HPE Graphik Semibold" w:hAnsi="HPE Graphik Semibold"/>
        <w:color w:val="FFFFFF" w:themeColor="background1"/>
        <w:sz w:val="18"/>
      </w:rPr>
      <w:tblPr/>
      <w:tcPr>
        <w:shd w:val="clear" w:color="auto" w:fill="01A982"/>
      </w:tcPr>
    </w:tblStylePr>
    <w:tblStylePr w:type="lastRow">
      <w:tblPr/>
      <w:tcPr>
        <w:tcBorders>
          <w:top w:val="nil"/>
          <w:left w:val="nil"/>
          <w:bottom w:val="nil"/>
          <w:right w:val="nil"/>
          <w:insideH w:val="nil"/>
          <w:insideV w:val="nil"/>
        </w:tcBorders>
      </w:tcPr>
    </w:tblStylePr>
  </w:style>
  <w:style w:type="paragraph" w:customStyle="1" w:styleId="TableSubhead">
    <w:name w:val="Table Subhead"/>
    <w:basedOn w:val="Normal"/>
    <w:rsid w:val="00FA7C46"/>
    <w:pPr>
      <w:snapToGrid w:val="0"/>
      <w:spacing w:before="144" w:line="240" w:lineRule="atLeast"/>
    </w:pPr>
    <w:rPr>
      <w:rFonts w:ascii="HPE Graphik Semibold" w:eastAsia="Calibri" w:hAnsi="HPE Graphik Semibold" w:cs="Times New Roman"/>
      <w:color w:val="FFFFFF" w:themeColor="background1"/>
      <w:sz w:val="18"/>
      <w:szCs w:val="18"/>
      <w:lang w:eastAsia="en-US"/>
      <w14:ligatures w14:val="none"/>
    </w:rPr>
  </w:style>
  <w:style w:type="character" w:customStyle="1" w:styleId="Consolas">
    <w:name w:val="Consolas"/>
    <w:uiPriority w:val="1"/>
    <w:qFormat/>
    <w:rsid w:val="00F60A7F"/>
    <w:rPr>
      <w:rFonts w:ascii="Consolas" w:hAnsi="Consolas"/>
      <w:sz w:val="20"/>
      <w:szCs w:val="20"/>
    </w:rPr>
  </w:style>
  <w:style w:type="paragraph" w:customStyle="1" w:styleId="BodyTextHPEGraphikLight10pt">
    <w:name w:val="Body Text HPE Graphik Light 10pt"/>
    <w:uiPriority w:val="99"/>
    <w:rsid w:val="00E4204F"/>
    <w:pPr>
      <w:spacing w:line="240" w:lineRule="atLeast"/>
    </w:pPr>
    <w:rPr>
      <w:rFonts w:ascii="HPE Graphik Light" w:eastAsia="Times New Roman" w:hAnsi="HPE Graphik Light" w:cs="Times New Roman"/>
      <w:kern w:val="0"/>
      <w:sz w:val="20"/>
      <w:szCs w:val="18"/>
      <w:lang w:val="en-US"/>
      <w14:ligatures w14:val="none"/>
    </w:rPr>
  </w:style>
  <w:style w:type="paragraph" w:customStyle="1" w:styleId="Caption-Figure">
    <w:name w:val="Caption - Figur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Caption-Table">
    <w:name w:val="Caption - Tabl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QuoteLarge">
    <w:name w:val="Quote Large"/>
    <w:basedOn w:val="Quote"/>
    <w:qFormat/>
    <w:rsid w:val="001B64F1"/>
    <w:pPr>
      <w:spacing w:before="480" w:after="180" w:line="600" w:lineRule="exact"/>
      <w:ind w:left="142" w:hanging="142"/>
    </w:pPr>
    <w:rPr>
      <w:rFonts w:eastAsia="Times New Roman" w:cs="Times New Roman"/>
      <w:sz w:val="60"/>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cid:image001.png@01DC4272.93ED9C40" TargetMode="External"/><Relationship Id="rId26" Type="http://schemas.openxmlformats.org/officeDocument/2006/relationships/image" Target="media/image18.sv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hyperlink" Target="http://hpe.com/"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svg"/><Relationship Id="rId32" Type="http://schemas.openxmlformats.org/officeDocument/2006/relationships/image" Target="media/image24.jpeg"/><Relationship Id="rId37" Type="http://schemas.openxmlformats.org/officeDocument/2006/relationships/image" Target="media/image26.jpe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hpe.com/global/hpechat/index.html?jumpid=Collaterals_aXXXXXXXXENW"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www.hpe.com/global/hpechat/index.html?jumpid=Collaterals_a5000XXXXENW" TargetMode="External"/><Relationship Id="rId38" Type="http://schemas.openxmlformats.org/officeDocument/2006/relationships/image" Target="media/image27.png"/><Relationship Id="rId46" Type="http://schemas.openxmlformats.org/officeDocument/2006/relationships/glossaryDocument" Target="glossary/document.xml"/><Relationship Id="rId20" Type="http://schemas.openxmlformats.org/officeDocument/2006/relationships/image" Target="media/image12.png"/><Relationship Id="rId41" Type="http://schemas.openxmlformats.org/officeDocument/2006/relationships/image" Target="media/image30.png"/><Relationship Id="rId200" Type="http://schemas.openxmlformats.org/officeDocument/2006/relationships/image" Target="media/image100.png"/><Relationship Id="rId201" Type="http://schemas.openxmlformats.org/officeDocument/2006/relationships/image" Target="media/image101.png"/><Relationship Id="rId202" Type="http://schemas.openxmlformats.org/officeDocument/2006/relationships/image" Target="media/image102.png"/><Relationship Id="rId203" Type="http://schemas.openxmlformats.org/officeDocument/2006/relationships/image" Target="media/image103.png"/><Relationship Id="rId204" Type="http://schemas.openxmlformats.org/officeDocument/2006/relationships/image" Target="media/image104.png"/><Relationship Id="rId205" Type="http://schemas.openxmlformats.org/officeDocument/2006/relationships/image" Target="media/image105.png"/><Relationship Id="rId206" Type="http://schemas.openxmlformats.org/officeDocument/2006/relationships/image" Target="media/image106.png"/><Relationship Id="rId207" Type="http://schemas.openxmlformats.org/officeDocument/2006/relationships/image" Target="media/image107.png"/><Relationship Id="rId208" Type="http://schemas.openxmlformats.org/officeDocument/2006/relationships/image" Target="media/image108.png"/><Relationship Id="rId209" Type="http://schemas.openxmlformats.org/officeDocument/2006/relationships/image" Target="media/image109.png"/><Relationship Id="rId210" Type="http://schemas.openxmlformats.org/officeDocument/2006/relationships/image" Target="media/image110.png"/><Relationship Id="rId211" Type="http://schemas.openxmlformats.org/officeDocument/2006/relationships/image" Target="media/image111.png"/><Relationship Id="rId212" Type="http://schemas.openxmlformats.org/officeDocument/2006/relationships/image" Target="media/image112.png"/><Relationship Id="rId213" Type="http://schemas.openxmlformats.org/officeDocument/2006/relationships/image" Target="media/image113.png"/><Relationship Id="rId214" Type="http://schemas.openxmlformats.org/officeDocument/2006/relationships/image" Target="media/image114.png"/><Relationship Id="rId215" Type="http://schemas.openxmlformats.org/officeDocument/2006/relationships/image" Target="media/image115.png"/><Relationship Id="rId216" Type="http://schemas.openxmlformats.org/officeDocument/2006/relationships/image" Target="media/image116.png"/><Relationship Id="rId217" Type="http://schemas.openxmlformats.org/officeDocument/2006/relationships/image" Target="media/image117.png"/><Relationship Id="rId218" Type="http://schemas.openxmlformats.org/officeDocument/2006/relationships/image" Target="media/image118.png"/><Relationship Id="rId219" Type="http://schemas.openxmlformats.org/officeDocument/2006/relationships/image" Target="media/image119.png"/><Relationship Id="rId220" Type="http://schemas.openxmlformats.org/officeDocument/2006/relationships/image" Target="media/image120.png"/><Relationship Id="rId221" Type="http://schemas.openxmlformats.org/officeDocument/2006/relationships/image" Target="media/image121.png"/><Relationship Id="rId222" Type="http://schemas.openxmlformats.org/officeDocument/2006/relationships/image" Target="media/image122.png"/><Relationship Id="rId223" Type="http://schemas.openxmlformats.org/officeDocument/2006/relationships/image" Target="media/image123.png"/><Relationship Id="rId224" Type="http://schemas.openxmlformats.org/officeDocument/2006/relationships/image" Target="media/image124.png"/><Relationship Id="rId225" Type="http://schemas.openxmlformats.org/officeDocument/2006/relationships/image" Target="media/image125.png"/><Relationship Id="rId226" Type="http://schemas.openxmlformats.org/officeDocument/2006/relationships/image" Target="media/image126.png"/><Relationship Id="rId227" Type="http://schemas.openxmlformats.org/officeDocument/2006/relationships/image" Target="media/image127.png"/><Relationship Id="rId228" Type="http://schemas.openxmlformats.org/officeDocument/2006/relationships/image" Target="media/image128.png"/><Relationship Id="rId229" Type="http://schemas.openxmlformats.org/officeDocument/2006/relationships/image" Target="media/image129.png"/><Relationship Id="rId230" Type="http://schemas.openxmlformats.org/officeDocument/2006/relationships/image" Target="media/image130.png"/><Relationship Id="rId231" Type="http://schemas.openxmlformats.org/officeDocument/2006/relationships/image" Target="media/image131.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5.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4.png"/><Relationship Id="rId5" Type="http://schemas.openxmlformats.org/officeDocument/2006/relationships/image" Target="../media/image33.jpg"/><Relationship Id="rId4" Type="http://schemas.openxmlformats.org/officeDocument/2006/relationships/image" Target="../media/image32.png"/></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HPE Graphik Cover 1"/>
        <w:style w:val="Normal"/>
        <w:category>
          <w:name w:val="General"/>
          <w:gallery w:val="coverPg"/>
        </w:category>
        <w:behaviors>
          <w:behavior w:val="pg"/>
        </w:behaviors>
        <w:guid w:val="{C7778A51-9032-4AF2-93A3-46417CB12A66}"/>
      </w:docPartPr>
      <w:docPartBody>
        <w:p w:rsidR="00783938" w:rsidRPr="001056A2" w:rsidRDefault="00783938" w:rsidP="00CF3E72">
          <w:pPr>
            <w:tabs>
              <w:tab w:val="right" w:pos="10800"/>
            </w:tabs>
            <w:spacing w:after="0"/>
            <w:rPr>
              <w:sz w:val="16"/>
              <w:szCs w:val="16"/>
            </w:rPr>
          </w:pPr>
        </w:p>
        <w:p w:rsidR="00783938" w:rsidRPr="00FE405F" w:rsidRDefault="00783938" w:rsidP="00CF3E72">
          <w:pPr>
            <w:pStyle w:val="CoverHeadline36ptstandard"/>
            <w:spacing w:before="3240" w:after="360"/>
            <w:ind w:right="4320"/>
          </w:pPr>
          <w:r>
            <w:rPr>
              <w:noProof/>
              <w14:ligatures w14:val="standardContextual"/>
            </w:rPr>
            <w:drawing>
              <wp:anchor distT="0" distB="0" distL="114300" distR="114300" simplePos="0" relativeHeight="251659264" behindDoc="1" locked="0" layoutInCell="1" allowOverlap="1" wp14:anchorId="29684CA0" wp14:editId="21506F5E">
                <wp:simplePos x="0" y="0"/>
                <wp:positionH relativeFrom="margin">
                  <wp:align>center</wp:align>
                </wp:positionH>
                <wp:positionV relativeFrom="paragraph">
                  <wp:posOffset>513475</wp:posOffset>
                </wp:positionV>
                <wp:extent cx="7744460" cy="8994475"/>
                <wp:effectExtent l="0" t="0" r="8890" b="0"/>
                <wp:wrapNone/>
                <wp:docPr id="1890586740" name="Picture 3" descr="A blue and green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6740" name="Picture 3" descr="A blue and green gradient&#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7745182" cy="8995313"/>
                        </a:xfrm>
                        <a:prstGeom prst="rect">
                          <a:avLst/>
                        </a:prstGeom>
                      </pic:spPr>
                    </pic:pic>
                  </a:graphicData>
                </a:graphic>
                <wp14:sizeRelH relativeFrom="margin">
                  <wp14:pctWidth>0</wp14:pctWidth>
                </wp14:sizeRelH>
                <wp14:sizeRelV relativeFrom="margin">
                  <wp14:pctHeight>0</wp14:pctHeight>
                </wp14:sizeRelV>
              </wp:anchor>
            </w:drawing>
          </w:r>
          <w:r w:rsidRPr="00FE405F">
            <w:t>Headline text HPE Graphik Medium 36 pt</w:t>
          </w:r>
        </w:p>
        <w:p w:rsidR="00783938" w:rsidRPr="00833D7D" w:rsidRDefault="00783938" w:rsidP="00CF3E72">
          <w:pPr>
            <w:pStyle w:val="CoverSubtitle"/>
            <w:ind w:right="4320"/>
          </w:pPr>
          <w:r>
            <w:t>This is the optional subtitle HPE Graphik Medium 15 pt</w:t>
          </w:r>
        </w:p>
        <w:p w:rsidR="0085038E" w:rsidRDefault="0085038E"/>
      </w:docPartBody>
    </w:docPart>
    <w:docPart>
      <w:docPartPr>
        <w:name w:val="HPE Graphik Cover 2"/>
        <w:style w:val="Normal"/>
        <w:category>
          <w:name w:val="General"/>
          <w:gallery w:val="coverPg"/>
        </w:category>
        <w:behaviors>
          <w:behavior w:val="pg"/>
        </w:behaviors>
        <w:guid w:val="{1CA6386D-7ADF-4C5A-9F10-BE4F17C474A0}"/>
      </w:docPartPr>
      <w:docPartBody>
        <w:p w:rsidR="00783938" w:rsidRPr="001056A2" w:rsidRDefault="00783938" w:rsidP="00CF3E72">
          <w:pPr>
            <w:tabs>
              <w:tab w:val="right" w:pos="10800"/>
            </w:tabs>
            <w:spacing w:after="0"/>
            <w:rPr>
              <w:sz w:val="16"/>
              <w:szCs w:val="16"/>
            </w:rPr>
          </w:pPr>
        </w:p>
        <w:p w:rsidR="00783938" w:rsidRPr="00FE405F" w:rsidRDefault="00783938" w:rsidP="00CF3E72">
          <w:pPr>
            <w:pStyle w:val="CoverHeadline36ptstandard"/>
            <w:spacing w:before="3000" w:after="360"/>
            <w:ind w:right="4320"/>
          </w:pPr>
          <w:r>
            <w:rPr>
              <w:noProof/>
              <w14:ligatures w14:val="standardContextual"/>
            </w:rPr>
            <w:drawing>
              <wp:anchor distT="0" distB="0" distL="114300" distR="114300" simplePos="0" relativeHeight="251661312" behindDoc="1" locked="0" layoutInCell="1" allowOverlap="1" wp14:anchorId="10ADE8E7" wp14:editId="3921DA82">
                <wp:simplePos x="0" y="0"/>
                <wp:positionH relativeFrom="page">
                  <wp:align>right</wp:align>
                </wp:positionH>
                <wp:positionV relativeFrom="paragraph">
                  <wp:posOffset>513979</wp:posOffset>
                </wp:positionV>
                <wp:extent cx="7769333" cy="8993282"/>
                <wp:effectExtent l="0" t="0" r="3175" b="0"/>
                <wp:wrapNone/>
                <wp:docPr id="1831491511" name="Picture 3" descr="A white squa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6740" name="Picture 3" descr="A white square on a white surfac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7769333" cy="8993282"/>
                        </a:xfrm>
                        <a:prstGeom prst="rect">
                          <a:avLst/>
                        </a:prstGeom>
                      </pic:spPr>
                    </pic:pic>
                  </a:graphicData>
                </a:graphic>
                <wp14:sizeRelH relativeFrom="margin">
                  <wp14:pctWidth>0</wp14:pctWidth>
                </wp14:sizeRelH>
                <wp14:sizeRelV relativeFrom="margin">
                  <wp14:pctHeight>0</wp14:pctHeight>
                </wp14:sizeRelV>
              </wp:anchor>
            </w:drawing>
          </w:r>
          <w:r w:rsidRPr="00FE405F">
            <w:t>Headline text HPE Graphik Medium 36 pt</w:t>
          </w:r>
        </w:p>
        <w:p w:rsidR="00783938" w:rsidRPr="00833D7D" w:rsidRDefault="00783938" w:rsidP="00CF3E72">
          <w:pPr>
            <w:pStyle w:val="CoverSubtitle"/>
            <w:ind w:right="4320"/>
          </w:pPr>
          <w:r>
            <w:t>This is the optional subtitle HPE Graphik Medium 15 pt</w:t>
          </w:r>
        </w:p>
        <w:p w:rsidR="0085038E" w:rsidRDefault="0085038E"/>
      </w:docPartBody>
    </w:docPart>
    <w:docPart>
      <w:docPartPr>
        <w:name w:val="HPE Graphik Cover 3"/>
        <w:style w:val="Normal"/>
        <w:category>
          <w:name w:val="General"/>
          <w:gallery w:val="coverPg"/>
        </w:category>
        <w:behaviors>
          <w:behavior w:val="pg"/>
        </w:behaviors>
        <w:guid w:val="{06BAE866-3CE6-4EC4-B463-D30620B7FF0C}"/>
      </w:docPartPr>
      <w:docPartBody>
        <w:p w:rsidR="00783938" w:rsidRPr="001056A2" w:rsidRDefault="00783938" w:rsidP="00CF3E72">
          <w:pPr>
            <w:tabs>
              <w:tab w:val="right" w:pos="10800"/>
            </w:tabs>
            <w:spacing w:after="0"/>
            <w:rPr>
              <w:sz w:val="16"/>
              <w:szCs w:val="16"/>
            </w:rPr>
          </w:pPr>
        </w:p>
        <w:p w:rsidR="00783938" w:rsidRPr="00FE405F" w:rsidRDefault="00783938" w:rsidP="00CF3E72">
          <w:pPr>
            <w:pStyle w:val="CoverHeadline36ptstandard"/>
            <w:spacing w:before="7500" w:after="360"/>
            <w:ind w:right="4320"/>
          </w:pPr>
          <w:r>
            <w:rPr>
              <w:noProof/>
              <w14:ligatures w14:val="standardContextual"/>
            </w:rPr>
            <w:drawing>
              <wp:anchor distT="0" distB="0" distL="114300" distR="114300" simplePos="0" relativeHeight="251664384" behindDoc="0" locked="0" layoutInCell="1" allowOverlap="1" wp14:anchorId="31B76E96" wp14:editId="651A4A54">
                <wp:simplePos x="0" y="0"/>
                <wp:positionH relativeFrom="column">
                  <wp:posOffset>1401098</wp:posOffset>
                </wp:positionH>
                <wp:positionV relativeFrom="paragraph">
                  <wp:posOffset>1830295</wp:posOffset>
                </wp:positionV>
                <wp:extent cx="5263480" cy="2315210"/>
                <wp:effectExtent l="0" t="0" r="0" b="8890"/>
                <wp:wrapNone/>
                <wp:docPr id="1932145343" name="Picture 1" descr="A grey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45343" name="Picture 1" descr="A grey background with black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83256" cy="2323909"/>
                        </a:xfrm>
                        <a:prstGeom prst="rect">
                          <a:avLst/>
                        </a:prstGeom>
                      </pic:spPr>
                    </pic:pic>
                  </a:graphicData>
                </a:graphic>
                <wp14:sizeRelH relativeFrom="margin">
                  <wp14:pctWidth>0</wp14:pctWidth>
                </wp14:sizeRelH>
                <wp14:sizeRelV relativeFrom="margin">
                  <wp14:pctHeight>0</wp14:pctHeight>
                </wp14:sizeRelV>
              </wp:anchor>
            </w:drawing>
          </w:r>
          <w:r>
            <w:rPr>
              <w:noProof/>
              <w14:ligatures w14:val="standardContextual"/>
            </w:rPr>
            <w:drawing>
              <wp:anchor distT="0" distB="0" distL="114300" distR="114300" simplePos="0" relativeHeight="251663360" behindDoc="1" locked="0" layoutInCell="1" allowOverlap="1" wp14:anchorId="3CA2708D" wp14:editId="23AA0F16">
                <wp:simplePos x="0" y="0"/>
                <wp:positionH relativeFrom="page">
                  <wp:posOffset>11502</wp:posOffset>
                </wp:positionH>
                <wp:positionV relativeFrom="paragraph">
                  <wp:posOffset>399259</wp:posOffset>
                </wp:positionV>
                <wp:extent cx="7769333" cy="5312055"/>
                <wp:effectExtent l="0" t="0" r="3175" b="3175"/>
                <wp:wrapNone/>
                <wp:docPr id="749667729" name="Picture 3"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6740" name="Picture 3" descr="A white rectangular object with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7769333" cy="5312055"/>
                        </a:xfrm>
                        <a:prstGeom prst="rect">
                          <a:avLst/>
                        </a:prstGeom>
                      </pic:spPr>
                    </pic:pic>
                  </a:graphicData>
                </a:graphic>
                <wp14:sizeRelH relativeFrom="margin">
                  <wp14:pctWidth>0</wp14:pctWidth>
                </wp14:sizeRelH>
                <wp14:sizeRelV relativeFrom="margin">
                  <wp14:pctHeight>0</wp14:pctHeight>
                </wp14:sizeRelV>
              </wp:anchor>
            </w:drawing>
          </w:r>
          <w:r w:rsidRPr="00FE405F">
            <w:t>Headline text HPE Graphik Medium 36 pt</w:t>
          </w:r>
        </w:p>
        <w:p w:rsidR="00783938" w:rsidRPr="00833D7D" w:rsidRDefault="00783938" w:rsidP="00CF3E72">
          <w:pPr>
            <w:pStyle w:val="CoverSubtitle"/>
            <w:ind w:right="4320"/>
          </w:pPr>
          <w:r>
            <w:t>This is the optional subtitle HPE Graphik Medium 15 pt</w:t>
          </w:r>
        </w:p>
        <w:p w:rsidR="0085038E" w:rsidRDefault="0085038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PE Graphik">
    <w:panose1 w:val="00000000000000000000"/>
    <w:charset w:val="00"/>
    <w:family w:val="modern"/>
    <w:notTrueType/>
    <w:pitch w:val="variable"/>
    <w:sig w:usb0="A100007F" w:usb1="5000267B" w:usb2="00000000" w:usb3="00000000" w:csb0="00000193" w:csb1="00000000"/>
  </w:font>
  <w:font w:name="Aptos">
    <w:charset w:val="00"/>
    <w:family w:val="swiss"/>
    <w:pitch w:val="variable"/>
    <w:sig w:usb0="20000287" w:usb1="00000003" w:usb2="00000000" w:usb3="00000000" w:csb0="0000019F" w:csb1="00000000"/>
  </w:font>
  <w:font w:name="HPE Graphik Semibold">
    <w:panose1 w:val="00000000000000000000"/>
    <w:charset w:val="00"/>
    <w:family w:val="modern"/>
    <w:notTrueType/>
    <w:pitch w:val="variable"/>
    <w:sig w:usb0="A100007F" w:usb1="5000267B" w:usb2="00000000" w:usb3="00000000" w:csb0="00000193" w:csb1="00000000"/>
  </w:font>
  <w:font w:name="HPE Graphik Medium">
    <w:panose1 w:val="00000000000000000000"/>
    <w:charset w:val="00"/>
    <w:family w:val="modern"/>
    <w:notTrueType/>
    <w:pitch w:val="variable"/>
    <w:sig w:usb0="A100007F" w:usb1="5000267B" w:usb2="00000000" w:usb3="00000000" w:csb0="00000193" w:csb1="00000000"/>
  </w:font>
  <w:font w:name="HP Simplified">
    <w:altName w:val="Arial"/>
    <w:panose1 w:val="020B0604020204020204"/>
    <w:charset w:val="00"/>
    <w:family w:val="swiss"/>
    <w:pitch w:val="variable"/>
    <w:sig w:usb0="A00000AF" w:usb1="5000205B" w:usb2="00000000" w:usb3="00000000" w:csb0="00000093" w:csb1="00000000"/>
  </w:font>
  <w:font w:name="Arial Bold">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PE Graphik Light">
    <w:panose1 w:val="00000000000000000000"/>
    <w:charset w:val="00"/>
    <w:family w:val="modern"/>
    <w:notTrueType/>
    <w:pitch w:val="variable"/>
    <w:sig w:usb0="A100007F" w:usb1="5000267B" w:usb2="00000000" w:usb3="00000000" w:csb0="00000193"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etricHPE">
    <w:altName w:val="Calibri"/>
    <w:panose1 w:val="020B0503030202060203"/>
    <w:charset w:val="00"/>
    <w:family w:val="swiss"/>
    <w:notTrueType/>
    <w:pitch w:val="variable"/>
    <w:sig w:usb0="00000007" w:usb1="00000000" w:usb2="00000000" w:usb3="00000000" w:csb0="00000093" w:csb1="00000000"/>
  </w:font>
  <w:font w:name="MetricHPE-Light">
    <w:altName w:val="Cambria"/>
    <w:panose1 w:val="00000000000000000000"/>
    <w:charset w:val="00"/>
    <w:family w:val="roman"/>
    <w:notTrueType/>
    <w:pitch w:val="default"/>
  </w:font>
  <w:font w:name="MetricHPE Semibold">
    <w:altName w:val="Calibri"/>
    <w:panose1 w:val="020B0703030202060203"/>
    <w:charset w:val="00"/>
    <w:family w:val="swiss"/>
    <w:notTrueType/>
    <w:pitch w:val="variable"/>
    <w:sig w:usb0="00000007" w:usb1="00000000" w:usb2="00000000" w:usb3="00000000" w:csb0="00000093"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38"/>
    <w:rsid w:val="00010B09"/>
    <w:rsid w:val="00067AC0"/>
    <w:rsid w:val="00191CC7"/>
    <w:rsid w:val="003B370D"/>
    <w:rsid w:val="006E7E96"/>
    <w:rsid w:val="00783938"/>
    <w:rsid w:val="008438ED"/>
    <w:rsid w:val="0085038E"/>
    <w:rsid w:val="008520E7"/>
    <w:rsid w:val="009254DE"/>
    <w:rsid w:val="0098774B"/>
    <w:rsid w:val="00A95346"/>
    <w:rsid w:val="00B013E2"/>
    <w:rsid w:val="00B12EEE"/>
    <w:rsid w:val="00BF1258"/>
    <w:rsid w:val="00DA31E1"/>
    <w:rsid w:val="00E46AAC"/>
    <w:rsid w:val="00F53FA9"/>
    <w:rsid w:val="00FD6A9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3938"/>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verHeadline36ptstandard">
    <w:name w:val="Cover: Headline 36 pt standard"/>
    <w:basedOn w:val="Normal"/>
    <w:uiPriority w:val="99"/>
    <w:rsid w:val="00783938"/>
    <w:pPr>
      <w:spacing w:after="200" w:line="700" w:lineRule="exact"/>
      <w:ind w:right="720"/>
    </w:pPr>
    <w:rPr>
      <w:rFonts w:ascii="HPE Graphik Medium" w:eastAsia="Times" w:hAnsi="HPE Graphik Medium"/>
      <w:kern w:val="0"/>
      <w:sz w:val="72"/>
      <w:szCs w:val="64"/>
      <w:lang w:val="en-US" w:eastAsia="en-US"/>
      <w14:ligatures w14:val="none"/>
    </w:rPr>
  </w:style>
  <w:style w:type="paragraph" w:customStyle="1" w:styleId="CoverSubtitle">
    <w:name w:val="Cover: Subtitle"/>
    <w:uiPriority w:val="74"/>
    <w:rsid w:val="00783938"/>
    <w:pPr>
      <w:spacing w:line="360" w:lineRule="exact"/>
      <w:ind w:right="720"/>
    </w:pPr>
    <w:rPr>
      <w:rFonts w:ascii="HPE Graphik Medium" w:eastAsia="Times New Roman" w:hAnsi="HPE Graphik Medium" w:cs="Times New Roman"/>
      <w:color w:val="000000"/>
      <w:kern w:val="0"/>
      <w:sz w:val="30"/>
      <w:szCs w:val="18"/>
      <w:lang w:val="en-U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PEColor">
      <a:dk1>
        <a:srgbClr val="000000"/>
      </a:dk1>
      <a:lt1>
        <a:srgbClr val="FFFFFF"/>
      </a:lt1>
      <a:dk2>
        <a:srgbClr val="E6E8E9"/>
      </a:dk2>
      <a:lt2>
        <a:srgbClr val="B1B9BE"/>
      </a:lt2>
      <a:accent1>
        <a:srgbClr val="535C66"/>
      </a:accent1>
      <a:accent2>
        <a:srgbClr val="62E5F6"/>
      </a:accent2>
      <a:accent3>
        <a:srgbClr val="0070F8"/>
      </a:accent3>
      <a:accent4>
        <a:srgbClr val="7764FC"/>
      </a:accent4>
      <a:accent5>
        <a:srgbClr val="01A982"/>
      </a:accent5>
      <a:accent6>
        <a:srgbClr val="00E0AF"/>
      </a:accent6>
      <a:hlink>
        <a:srgbClr val="01A982"/>
      </a:hlink>
      <a:folHlink>
        <a:srgbClr val="0070F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AC32-163B-48AC-8161-15763A87E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HPE_Graphik_A4.dotx</Template>
  <TotalTime>4</TotalTime>
  <Pages>16</Pages>
  <Words>4724</Words>
  <Characters>23480</Characters>
  <Application>Microsoft Office Word</Application>
  <DocSecurity>0</DocSecurity>
  <Lines>634</Lines>
  <Paragraphs>478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Sparks, Stephanie (she/her)</dc:creator>
  <cp:keywords/>
  <dc:description/>
  <cp:lastModifiedBy>Zudrak, Marcin</cp:lastModifiedBy>
  <cp:revision>4</cp:revision>
  <dcterms:created xsi:type="dcterms:W3CDTF">2025-11-04T16:50:00Z</dcterms:created>
  <dcterms:modified xsi:type="dcterms:W3CDTF">2026-04-15T10:06:00Z</dcterms:modified>
</cp:coreProperties>
</file>