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REPORT ON PILLAR 1- SMART FARMING and DIGTAL TRANSFORMATION: FARMER INTEREST ASSESSMENT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Based on module 1 to 4, 37.5% of farmers interviewed showed high interest in Productive Use of Renewable Energy  to improve efficiency, productivity, and decision-making on the farm.</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INTRODUCTION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Smart Farming and Digital Transformation attracted the most number of farmers during the FAAB program particularly due to the adoption renewable energy that would maximise the use of all farm products.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METHODOLOGY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sample size used was 16 farmers. Interviews were conducted using the Google Forms and results aggregated to come up with this conclusion.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FINDINGS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farmers were more interested in the efficient use of renewable energy with the majority stressing their challenges on the cost of adopting the technology, although useful. Most of the farmers requested support on Training, Technical advisory, Technology access, Mentorship, and Peer learning.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RECOMMENDATIONS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Finding: </w:t>
      </w:r>
      <w:r>
        <w:rPr>
          <w:rFonts w:ascii="Times New Roman" w:hAnsi="Times New Roman" w:cs="Times New Roman" w:eastAsia="Times New Roman"/>
          <w:color w:val="auto"/>
          <w:spacing w:val="0"/>
          <w:position w:val="0"/>
          <w:sz w:val="24"/>
          <w:shd w:fill="auto" w:val="clear"/>
        </w:rPr>
        <w:t xml:space="preserve">37.5% of the interviewed farmers ranked renewable energy cost as their most top barrier to adopting smart farming tools.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Recommendation: </w:t>
      </w:r>
      <w:r>
        <w:rPr>
          <w:rFonts w:ascii="Times New Roman" w:hAnsi="Times New Roman" w:cs="Times New Roman" w:eastAsia="Times New Roman"/>
          <w:color w:val="auto"/>
          <w:spacing w:val="0"/>
          <w:position w:val="0"/>
          <w:sz w:val="24"/>
          <w:shd w:fill="auto" w:val="clear"/>
        </w:rPr>
        <w:t xml:space="preserve">Integrate low-cost, efficient renewable energy solutions(solar irrigation, biogas) with digital pay-as-you-go tracking to ensure sustainable adoption of Pillar 1.</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CONCLUSION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assessment of Pillar 1 was conducted among 16 farmers. The findings indicate that 6 of the farmers, which translates to 37.5% expressed a solid interest in this pillar, with most interested in the solutions that integrate efficient use of renewable energy with digital tools.  Although the farmers recognize the value of smart farming, the high cost of energy remains the main barrierto adoption. Pillar 1 is viable but will only succeed if digital transformation is paired with affordable renewable energy. It is recommended thatfuture interventions  focus on training on efficient use of solar energy,and digitize energy payments to improve transparency.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