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9198" w14:textId="77777777" w:rsidR="00515EB3" w:rsidRDefault="00515EB3" w:rsidP="00515EB3">
      <w:r>
        <w:t>Regulatory Risk Scanner</w:t>
      </w:r>
    </w:p>
    <w:p w14:paraId="7DBB50D4" w14:textId="77777777" w:rsidR="00515EB3" w:rsidRDefault="00515EB3" w:rsidP="00515EB3">
      <w:r>
        <w:t>Project overview</w:t>
      </w:r>
    </w:p>
    <w:p w14:paraId="1618C257" w14:textId="77777777" w:rsidR="00515EB3" w:rsidRDefault="00515EB3" w:rsidP="00515EB3">
      <w:r>
        <w:t>Regulatory Risk Scanner is a simple AI project focused on financial document analysis. The idea is to create a tool that helps users identify regulatory and compliance risks hidden in long company documents such as earnings transcripts, annual reports, and finance news articles.</w:t>
      </w:r>
    </w:p>
    <w:p w14:paraId="4EE437AE" w14:textId="77777777" w:rsidR="00515EB3" w:rsidRDefault="00515EB3" w:rsidP="00515EB3"/>
    <w:p w14:paraId="2438F145" w14:textId="77777777" w:rsidR="00515EB3" w:rsidRDefault="00515EB3" w:rsidP="00515EB3">
      <w:r>
        <w:t>Problem</w:t>
      </w:r>
    </w:p>
    <w:p w14:paraId="378C9C7D" w14:textId="77777777" w:rsidR="00515EB3" w:rsidRDefault="00515EB3" w:rsidP="00515EB3">
      <w:r>
        <w:t>Important regulatory risks are often buried inside long and technical documents. For students and junior analysts, this makes it difficult to quickly understand what matters and what questions they should be asking. Generic AI summaries can be useful, but they often miss the specific compliance angle and do not present the information in a format designed for finance research.</w:t>
      </w:r>
    </w:p>
    <w:p w14:paraId="285C38A2" w14:textId="77777777" w:rsidR="00515EB3" w:rsidRDefault="00515EB3" w:rsidP="00515EB3"/>
    <w:p w14:paraId="74F574CB" w14:textId="77777777" w:rsidR="00515EB3" w:rsidRDefault="00515EB3" w:rsidP="00515EB3">
      <w:r>
        <w:t>Proposed solution</w:t>
      </w:r>
    </w:p>
    <w:p w14:paraId="7F6C7AAE" w14:textId="5A85AC44" w:rsidR="00515EB3" w:rsidRDefault="00515EB3" w:rsidP="00515EB3">
      <w:r>
        <w:t>The tool will allow a user to paste in a company report, earnings transcript, or article and receive a structured response showing:</w:t>
      </w:r>
    </w:p>
    <w:p w14:paraId="6ACC22F1" w14:textId="552EA2CA" w:rsidR="00515EB3" w:rsidRDefault="00515EB3" w:rsidP="00515EB3">
      <w:r>
        <w:t>The main regulatory or compliance risks mentioned</w:t>
      </w:r>
    </w:p>
    <w:p w14:paraId="336AFBF7" w14:textId="79280369" w:rsidR="00515EB3" w:rsidRDefault="00515EB3" w:rsidP="00515EB3">
      <w:r>
        <w:t>The area involved, such as anti-money laundering, privacy, or conduct</w:t>
      </w:r>
    </w:p>
    <w:p w14:paraId="00E93F66" w14:textId="4534FD08" w:rsidR="00515EB3" w:rsidRDefault="00515EB3" w:rsidP="00515EB3">
      <w:r>
        <w:t>The likely impact on the business, including financial, reputational, or operational effects</w:t>
      </w:r>
    </w:p>
    <w:p w14:paraId="0F31D99D" w14:textId="77777777" w:rsidR="00515EB3" w:rsidRDefault="00515EB3" w:rsidP="00515EB3">
      <w:r>
        <w:t>Three follow-up questions an analyst could ask</w:t>
      </w:r>
    </w:p>
    <w:p w14:paraId="0676204D" w14:textId="77777777" w:rsidR="00515EB3" w:rsidRDefault="00515EB3" w:rsidP="00515EB3"/>
    <w:p w14:paraId="7CC1D4CA" w14:textId="77777777" w:rsidR="00515EB3" w:rsidRDefault="00515EB3" w:rsidP="00515EB3">
      <w:r>
        <w:t>Target user</w:t>
      </w:r>
    </w:p>
    <w:p w14:paraId="330D5563" w14:textId="77777777" w:rsidR="00515EB3" w:rsidRDefault="00515EB3" w:rsidP="00515EB3">
      <w:r>
        <w:t>The main users are finance students, junior analysts, and applicants preparing for finance interviews or research tasks. They need to understand risk quickly and show stronger commercial awareness when discussing companies.</w:t>
      </w:r>
    </w:p>
    <w:p w14:paraId="21918CE9" w14:textId="77777777" w:rsidR="00515EB3" w:rsidRDefault="00515EB3" w:rsidP="00515EB3"/>
    <w:p w14:paraId="67D7873B" w14:textId="77777777" w:rsidR="00515EB3" w:rsidRDefault="00515EB3" w:rsidP="00515EB3">
      <w:r>
        <w:t>First version of the product</w:t>
      </w:r>
    </w:p>
    <w:p w14:paraId="0D6FB515" w14:textId="1FEF4CFE" w:rsidR="00515EB3" w:rsidRDefault="00515EB3" w:rsidP="00515EB3">
      <w:r>
        <w:t>The first version will be intentionally simple. It will not use live market data, trading features, or a complex dashboard. Instead, it will focus on one clear workflow:</w:t>
      </w:r>
    </w:p>
    <w:p w14:paraId="5CB4B494" w14:textId="3A696658" w:rsidR="00515EB3" w:rsidRDefault="00515EB3" w:rsidP="00515EB3">
      <w:r>
        <w:t>Paste in a financial document or article</w:t>
      </w:r>
    </w:p>
    <w:p w14:paraId="2C61804E" w14:textId="78880F0A" w:rsidR="00515EB3" w:rsidRDefault="00515EB3" w:rsidP="00515EB3">
      <w:r>
        <w:lastRenderedPageBreak/>
        <w:t>Run the text through an AI prompt</w:t>
      </w:r>
    </w:p>
    <w:p w14:paraId="68E0D08A" w14:textId="16B5E101" w:rsidR="00515EB3" w:rsidRDefault="00515EB3" w:rsidP="00515EB3">
      <w:r>
        <w:t>Return a structured risk summary</w:t>
      </w:r>
    </w:p>
    <w:p w14:paraId="13AD2503" w14:textId="77777777" w:rsidR="00515EB3" w:rsidRDefault="00515EB3" w:rsidP="00515EB3">
      <w:r>
        <w:t>This keeps the project realistic and manageable for a summer build.</w:t>
      </w:r>
    </w:p>
    <w:p w14:paraId="7471A6A0" w14:textId="77777777" w:rsidR="00515EB3" w:rsidRDefault="00515EB3" w:rsidP="00515EB3"/>
    <w:p w14:paraId="47122D5A" w14:textId="77777777" w:rsidR="00515EB3" w:rsidRDefault="00515EB3" w:rsidP="00515EB3">
      <w:r>
        <w:t>Why this project stands out</w:t>
      </w:r>
    </w:p>
    <w:p w14:paraId="1F62BED2" w14:textId="77777777" w:rsidR="00515EB3" w:rsidRDefault="00515EB3" w:rsidP="00515EB3">
      <w:r>
        <w:t>Most student finance projects focus on stock prediction, trading bots, or generic summarising tools. This project is more specific and shows awareness of how compliance, regulation, and business judgment affect financial decision-making.</w:t>
      </w:r>
    </w:p>
    <w:p w14:paraId="2A3F5210" w14:textId="77777777" w:rsidR="00515EB3" w:rsidRDefault="00515EB3" w:rsidP="00515EB3"/>
    <w:p w14:paraId="5A3BE622" w14:textId="77777777" w:rsidR="00515EB3" w:rsidRDefault="00515EB3" w:rsidP="00515EB3">
      <w:r>
        <w:t>Summer goal</w:t>
      </w:r>
    </w:p>
    <w:p w14:paraId="4A515BD2" w14:textId="180757A4" w:rsidR="00515EB3" w:rsidRDefault="00515EB3" w:rsidP="00515EB3">
      <w:r>
        <w:t>The goal is to build a basic working version of the tool, test it on a few real company documents, and be able to explain clearly:</w:t>
      </w:r>
    </w:p>
    <w:p w14:paraId="5DCB9C22" w14:textId="6CB9EA98" w:rsidR="00515EB3" w:rsidRDefault="00515EB3" w:rsidP="00515EB3">
      <w:r>
        <w:t>What problem it solves</w:t>
      </w:r>
    </w:p>
    <w:p w14:paraId="76DEE057" w14:textId="3369B604" w:rsidR="00515EB3" w:rsidRDefault="00515EB3" w:rsidP="00515EB3">
      <w:r>
        <w:t>Who it helps</w:t>
      </w:r>
    </w:p>
    <w:p w14:paraId="4DFF426E" w14:textId="79788766" w:rsidR="00515EB3" w:rsidRDefault="00515EB3" w:rsidP="00515EB3">
      <w:r>
        <w:t>How it works</w:t>
      </w:r>
    </w:p>
    <w:p w14:paraId="54A4599D" w14:textId="77777777" w:rsidR="00515EB3" w:rsidRDefault="00515EB3" w:rsidP="00515EB3">
      <w:r>
        <w:t>What was learned from building it</w:t>
      </w:r>
    </w:p>
    <w:p w14:paraId="400ECC34" w14:textId="77777777" w:rsidR="00515EB3" w:rsidRDefault="00515EB3" w:rsidP="00515EB3"/>
    <w:p w14:paraId="12BCBD83" w14:textId="77777777" w:rsidR="00515EB3" w:rsidRDefault="00515EB3" w:rsidP="00515EB3">
      <w:r>
        <w:t>Success by the end of summer</w:t>
      </w:r>
    </w:p>
    <w:p w14:paraId="53032566" w14:textId="3B9C8864" w:rsidR="00515EB3" w:rsidRDefault="00515EB3" w:rsidP="00515EB3">
      <w:r>
        <w:t>By the end of the summer, the aim is to have:</w:t>
      </w:r>
    </w:p>
    <w:p w14:paraId="3DDA773E" w14:textId="7F29315A" w:rsidR="00515EB3" w:rsidRDefault="00515EB3" w:rsidP="00515EB3">
      <w:r>
        <w:t>One simple working prototype</w:t>
      </w:r>
    </w:p>
    <w:p w14:paraId="5C1D2445" w14:textId="6A573F68" w:rsidR="00515EB3" w:rsidRDefault="00515EB3" w:rsidP="00515EB3">
      <w:r>
        <w:t>A few tested document examples</w:t>
      </w:r>
    </w:p>
    <w:p w14:paraId="1892BA01" w14:textId="30286069" w:rsidR="00515EB3" w:rsidRDefault="00515EB3" w:rsidP="00515EB3">
      <w:r>
        <w:t>A clear CV bullet point</w:t>
      </w:r>
    </w:p>
    <w:p w14:paraId="5601FDFB" w14:textId="4FF66C10" w:rsidR="00515EB3" w:rsidRDefault="00515EB3" w:rsidP="00515EB3">
      <w:r>
        <w:t>A short interview story about the project</w:t>
      </w:r>
    </w:p>
    <w:p w14:paraId="3D0DB675" w14:textId="77777777" w:rsidR="00515EB3" w:rsidRDefault="00515EB3" w:rsidP="00515EB3"/>
    <w:p w14:paraId="4EC09970" w14:textId="77777777" w:rsidR="00515EB3" w:rsidRDefault="00515EB3" w:rsidP="00515EB3"/>
    <w:p w14:paraId="06B3D804" w14:textId="77777777" w:rsidR="00515EB3" w:rsidRDefault="00515EB3" w:rsidP="00515EB3"/>
    <w:p w14:paraId="173C4FB1" w14:textId="77777777" w:rsidR="00515EB3" w:rsidRDefault="00515EB3" w:rsidP="00515EB3"/>
    <w:p w14:paraId="01B292C7" w14:textId="77777777" w:rsidR="00515EB3" w:rsidRDefault="00515EB3" w:rsidP="00515EB3"/>
    <w:p w14:paraId="44D7F702" w14:textId="289C1ED1" w:rsidR="00515EB3" w:rsidRDefault="00515EB3" w:rsidP="00515EB3"/>
    <w:p w14:paraId="0E48E9C7" w14:textId="4F0D0716" w:rsidR="00515EB3" w:rsidRDefault="00515EB3" w:rsidP="00515EB3">
      <w:r>
        <w:lastRenderedPageBreak/>
        <w:t>Sample Document 1 – HSBC Q1 2025</w:t>
      </w:r>
    </w:p>
    <w:p w14:paraId="5894E863" w14:textId="77777777" w:rsidR="00515EB3" w:rsidRDefault="00515EB3" w:rsidP="00515EB3">
      <w:r>
        <w:t xml:space="preserve">Q1 2025 Results Analyst and Investor Call 29 April 2025, 7.45am BST GEORGES ELHEDERY, GROUP CEO: </w:t>
      </w:r>
    </w:p>
    <w:p w14:paraId="41772450" w14:textId="61496AD9" w:rsidR="00515EB3" w:rsidRPr="00515EB3" w:rsidRDefault="00515EB3" w:rsidP="00515EB3">
      <w:pPr>
        <w:rPr>
          <w:sz w:val="20"/>
          <w:szCs w:val="20"/>
        </w:rPr>
      </w:pPr>
      <w:r w:rsidRPr="00515EB3">
        <w:rPr>
          <w:sz w:val="20"/>
          <w:szCs w:val="20"/>
        </w:rPr>
        <w:t xml:space="preserve">Welcome, all, to today’s call. I’m joined here in London by Pam. Before Pam takes you through the numbers, I would like to begin with some opening remarks. Overall, there was a strong quarter, marked by three key drivers – momentum in our earnings, discipline in our execution, and confidence in our ability to deliver our targets. First, we have strong momentum in our business. We had a strong first quarter, with profit before tax up 11%, and an annualised return on tangible equity of 18.4%, both excluding notable items. We had our fifth consecutive quarter of double-digit growth in Wealth, and attracted net new invested assets of $22 billion, as well as another 300,000 new-to-bank customers in Hong Kong, continuing the trend from last year. We also had a strong performance in Transaction Banking, in particular in FX, and our equities and debt trading businesses, benefiting from higher client activity on the back of higher volatility. Second, we remain focused on executing our strategy with </w:t>
      </w:r>
      <w:proofErr w:type="gramStart"/>
      <w:r w:rsidRPr="00515EB3">
        <w:rPr>
          <w:sz w:val="20"/>
          <w:szCs w:val="20"/>
        </w:rPr>
        <w:t>discipline, and</w:t>
      </w:r>
      <w:proofErr w:type="gramEnd"/>
      <w:r w:rsidRPr="00515EB3">
        <w:rPr>
          <w:sz w:val="20"/>
          <w:szCs w:val="20"/>
        </w:rPr>
        <w:t xml:space="preserve"> are on track to deliver the cost actions we set out in February. We are progressing at pace to deliver on the simplification-related cost saves, as well as the strategic cost reallocations. We also continue to take a disciplined approach to our investments and capital allocation to drive growth across our four businesses. We will provide you with a full update on this at the half-year results in July. Third, the external macroeconomic environment is less favourable and more uncertain than it was in February, as the uncertainty around trade policy dampens business confidence and constrains investment. However, we remain confident in our ability to deliver our targets. Our balance sheet is strong. This is reflected in the deposit surpluses we hold in every major currency in each of our four businesses, in every geography in which we operate. This is why our clients place their trust in us during times of predictability, and even more so during times of unpredictability. These provide us with a steady recurring income stream and underpin the lion’s share of our Banking NII. Growing our structural hedge has reduced the sensitivity of these revenues to interest rate cuts. Our balance sheet is also underpinned by a strong capital position and a high-quality credit portfolio. We also have resilient recurring fee income from stable flow-based activities in Transaction Banking and in Wealth, with a much smaller contribution from Investment Banking event-driven business. I encourage you to keep the diversity and quality of our earnings in mind when considering how changes in trade policy will affect our business. Our Wholesale Transaction Banking business covers much broader activities than those related to cross-border trade. And within our trade finance business, we have diverse products and cover all major global and intraregional corridors. To assess the impact higher tariffs could have on our business, we modelled scenarios that contemplate significant but plausible increases in tariffs by the world’s largest trading blocs, resulting in a notable slowdown in global trade, as well as a slowdown in global GDP growth. In a plausible downside tariff scenario, we estimate that there will be a low-single-digit percentage impact on the group’s revenues. Separately, our consensus downside scenario models a slowdown in global trade and GDP growth as a result of an increase in tariffs. The impact of this scenario would be incremental ECLs of $0.5 billion. On this basis, we remain confident in delivering </w:t>
      </w:r>
      <w:proofErr w:type="gramStart"/>
      <w:r w:rsidRPr="00515EB3">
        <w:rPr>
          <w:sz w:val="20"/>
          <w:szCs w:val="20"/>
        </w:rPr>
        <w:t>a mid-teens</w:t>
      </w:r>
      <w:proofErr w:type="gramEnd"/>
      <w:r w:rsidRPr="00515EB3">
        <w:rPr>
          <w:sz w:val="20"/>
          <w:szCs w:val="20"/>
        </w:rPr>
        <w:t xml:space="preserve"> return on tangible equity for 2025, 2026 and 2027, and are reaffirming all of the guidance that we gave in February. We recognise, though, that the broader impacts of the current conditions are more difficult to quantify, and we will continue to monitor these as we formulate our ongoing outlook. </w:t>
      </w:r>
    </w:p>
    <w:p w14:paraId="507AF772" w14:textId="289DE2AE" w:rsidR="00515EB3" w:rsidRPr="00515EB3" w:rsidRDefault="00515EB3" w:rsidP="00515EB3">
      <w:pPr>
        <w:rPr>
          <w:sz w:val="20"/>
          <w:szCs w:val="20"/>
        </w:rPr>
      </w:pPr>
      <w:r w:rsidRPr="00515EB3">
        <w:rPr>
          <w:sz w:val="20"/>
          <w:szCs w:val="20"/>
        </w:rPr>
        <w:t xml:space="preserve">Importantly, in the current environment, customers look for the strength, stability and expertise of a trusted partner. We are extremely well-positioned to support all of our customers, wherever they are, however their needs evolve and whatever the market conditions. Finally, we’re also pleased to announce an up to $3 billion share buyback, and a 10 cents per share interim dividend, reflecting our continued focus on capital returned to our investors. With that, let me hand over to Pam. PAM KAUR, GROUP CFO: Thank you, Georges. Thank you, everyone, for joining. The momentum in our business has enabled us to </w:t>
      </w:r>
      <w:r w:rsidRPr="00515EB3">
        <w:rPr>
          <w:sz w:val="20"/>
          <w:szCs w:val="20"/>
        </w:rPr>
        <w:lastRenderedPageBreak/>
        <w:t xml:space="preserve">deliver a strong first-quarter performance, headlined by an annualised return on tangible equity of 18.4%, excluding notable items. We had very good underlying profit and revenue performances. Credit remained stable, and we maintained a disciplined approach to cost management. We are pleased to announce a first interim dividend of 10 cents per share, and a share buyback of up to $3 billion. The buybacks we completed over the last 12 months have helped take us closer to our target range of 14-14.5% CET1. We will continue to return surplus capital to shareholders, with buybacks remaining our preferred method. As always, a decision on any share buyback will be made on a quarterly basis. It will depend on organic capital </w:t>
      </w:r>
      <w:proofErr w:type="gramStart"/>
      <w:r w:rsidRPr="00515EB3">
        <w:rPr>
          <w:sz w:val="20"/>
          <w:szCs w:val="20"/>
        </w:rPr>
        <w:t>generation</w:t>
      </w:r>
      <w:proofErr w:type="gramEnd"/>
      <w:r w:rsidRPr="00515EB3">
        <w:rPr>
          <w:sz w:val="20"/>
          <w:szCs w:val="20"/>
        </w:rPr>
        <w:t xml:space="preserve"> and the capital needs of the business. Unpacking the revenue story, excluding notable items, revenue of $17.7 billion was up $1.1 billion on the first quarter of last year, driven by fee and other income. It also included a $0.3 billion increase in debt and equity markets, driven by higher volatility, and a favourable impact of $0.2 billion in the quarter from the disposal of Argentina, which we completed at the end of last year. On banking NII, excluding the impact of Argentina and other notable items, the banking NII run rate remained broadly stable on the fourth quarter. The impact of interest rate cuts and two fewer days in the quarter were offset by the repricing of liabilities and structural hedge assets, and some favourable changes in asset mix. We continue to expect banking NII of around $42 billion in 2025. As previously stated, this is not an underpin. It remains our expectation at the present time, based on the current market rates outlook and our own projections. Moving to fee and other income, Wholesale Transaction Banking was up 13% on last year’s first quarter. This was driven by a strong FX performance, as elevated volatility drove substantial volumes of client hedging activity. Excluding the impact of disposals, Global Payment Solutions was up 3% year on year, and Global Trade Solutions was up 6%. In Wealth, the strong momentum from the fourth quarter continued as we delivered our fifth consecutive quarter of double-digit year-on-year growth. High client activity levels in Asia, primarily Hong Kong, were the key driver, and there was broad-based growth. We are pleased that the investment we are making in our Wealth products, distribution channels and customer journeys is translating into results – a record new business CSM, 301,000 new-to-bank customers in Hong Kong, and $22 billion of net new invested assets, $16 billion of which was in Asia. The CSM balance, which is a store of future value, was up again this quarter. As you know, the CSM balance is subject to market fluctuations, and sensitivities to key indices are in the earning release. On credit, our first-quarter ECL charge was $0.9 billion, equivalent to an annualised charge of 37 basis points as a percentage of loans and advances. This included a $150 million provision to reflect heightened economic uncertainty. Excluding this, the first-quarter charge was broadly the same as in the first quarter of 2024. The credit risk metrics that we track remain stable, and we continue to monitor them closely. Thinking about the potential impact of tariffs on credit’s performance, ECLs will be sensitive to macroeconomic performance, the outlook for which remains uncertain. We consider a variety of scenarios as part of our ECL calculation. One of these is the consensus downside scenario in which an increase in tariffs results in a global economic slowdown. In this scenario, there would be an incremental ECL charge of around $0.5 billion.</w:t>
      </w:r>
    </w:p>
    <w:p w14:paraId="152E42B0" w14:textId="464CFBCE" w:rsidR="00515EB3" w:rsidRPr="00515EB3" w:rsidRDefault="00515EB3" w:rsidP="00515EB3">
      <w:pPr>
        <w:rPr>
          <w:sz w:val="20"/>
          <w:szCs w:val="20"/>
        </w:rPr>
      </w:pPr>
      <w:r w:rsidRPr="00515EB3">
        <w:rPr>
          <w:sz w:val="20"/>
          <w:szCs w:val="20"/>
        </w:rPr>
        <w:t xml:space="preserve">On costs, we are taking a disciplined approach to cost </w:t>
      </w:r>
      <w:proofErr w:type="gramStart"/>
      <w:r w:rsidRPr="00515EB3">
        <w:rPr>
          <w:sz w:val="20"/>
          <w:szCs w:val="20"/>
        </w:rPr>
        <w:t>management, and</w:t>
      </w:r>
      <w:proofErr w:type="gramEnd"/>
      <w:r w:rsidRPr="00515EB3">
        <w:rPr>
          <w:sz w:val="20"/>
          <w:szCs w:val="20"/>
        </w:rPr>
        <w:t xml:space="preserve"> are on target to achieve our target of around 3% cost growth in 2025 compared to 2024 on a target basis. We are also on track to deliver $0.3 billion of simplification savings into the P&amp;L in 2025. On loans and deposits, loan balances were broadly stable quarter on quarter, as growth in Corporate and Institutional Banking was offset by the reclassification of our retained French home loan portfolio. Deposits were also broadly stable quarter on quarter, with a partial reversal of some of the seasonal inflows we saw in Q4. Year on year, deposits were up 6%, with growth in all entities and businesses. Our CET1 ratio was 14.7%. The reclassification of our retained French home loan portfolio led to a $1.3 billion pre-tax loss in the quarter, recognised in fair value through other comprehensive income. This had a capital impact of around 0.2 percentage points of CET1. Looking ahead, we expect the buyback we announced today to have an impact of around 0.4 percentage points in the second quarter. You will have seen that </w:t>
      </w:r>
      <w:proofErr w:type="spellStart"/>
      <w:r w:rsidRPr="00515EB3">
        <w:rPr>
          <w:sz w:val="20"/>
          <w:szCs w:val="20"/>
        </w:rPr>
        <w:t>Bocom</w:t>
      </w:r>
      <w:proofErr w:type="spellEnd"/>
      <w:r w:rsidRPr="00515EB3">
        <w:rPr>
          <w:sz w:val="20"/>
          <w:szCs w:val="20"/>
        </w:rPr>
        <w:t xml:space="preserve"> has announced that it has approved a share issuance of up to RMB120 billion. Upon completion, we expect to recognise an </w:t>
      </w:r>
      <w:r w:rsidRPr="00515EB3">
        <w:rPr>
          <w:sz w:val="20"/>
          <w:szCs w:val="20"/>
        </w:rPr>
        <w:lastRenderedPageBreak/>
        <w:t xml:space="preserve">accounting impact dilution loss of between $1.2 billion and $1.6 billion on our stake. This will be treated as a material notable item and will have no material impact on CET1 and no impact on the dividend. Let me end by summarising. First, we have momentum in our earnings. We had a strong first-quarter performance, with an annualised return on tangible equity of 18.4%, excluding notable items. We have also continued to perform well in the quarter to date. Second, we have discipline in our execution. We are on track to deliver the cost actions we set out in February. Third, although the external environment is more uncertain, we are confident in our ability to deliver, and we are reaffirming our existing targets and guidance. This includes </w:t>
      </w:r>
      <w:proofErr w:type="gramStart"/>
      <w:r w:rsidRPr="00515EB3">
        <w:rPr>
          <w:sz w:val="20"/>
          <w:szCs w:val="20"/>
        </w:rPr>
        <w:t>a mid-teens</w:t>
      </w:r>
      <w:proofErr w:type="gramEnd"/>
      <w:r w:rsidRPr="00515EB3">
        <w:rPr>
          <w:sz w:val="20"/>
          <w:szCs w:val="20"/>
        </w:rPr>
        <w:t xml:space="preserve"> return on tangible equity in 2025, 2026 and 2027. Louise, can we go to Q&amp;A, please? BENJAMIN TOMS, RBC: Good morning, both, and thank you for taking my questions. Firstly, you mentioned in the release that you’ve launched a strategic review of Malta. At full-year results, we were relatively early in the strategic refresh process. Are there other geographies that you’re also strategically reviewing? At full-year results, you talked about $1.5 billion of gross cost saves. Now you’re deeper into that process, have you seen any potential to be able to achieve cost saves in excess of that target? And then, secondly, one of the features of your Q1 results was the strength in fees and other income. Can you provide some colour on how substantial that print is and how much is driven by the augmented volatility? Thank you. GEORGES ELHEDERY: Thank you very much, Ben. </w:t>
      </w:r>
      <w:proofErr w:type="gramStart"/>
      <w:r w:rsidRPr="00515EB3">
        <w:rPr>
          <w:sz w:val="20"/>
          <w:szCs w:val="20"/>
        </w:rPr>
        <w:t>So</w:t>
      </w:r>
      <w:proofErr w:type="gramEnd"/>
      <w:r w:rsidRPr="00515EB3">
        <w:rPr>
          <w:sz w:val="20"/>
          <w:szCs w:val="20"/>
        </w:rPr>
        <w:t xml:space="preserve"> we’ve announced, in February, $1.5 billion of cost saves from the organisation and simplification, which we expect to take to the bottom line. And as Pam shared earlier, we are on track to deliver those and we’re moving at pace. We separately announced $1.5 billion from strategic reallocation of costs from activities that are non-strategic or </w:t>
      </w:r>
      <w:proofErr w:type="gramStart"/>
      <w:r w:rsidRPr="00515EB3">
        <w:rPr>
          <w:sz w:val="20"/>
          <w:szCs w:val="20"/>
        </w:rPr>
        <w:t>low-returning</w:t>
      </w:r>
      <w:proofErr w:type="gramEnd"/>
      <w:r w:rsidRPr="00515EB3">
        <w:rPr>
          <w:sz w:val="20"/>
          <w:szCs w:val="20"/>
        </w:rPr>
        <w:t xml:space="preserve"> into our core strategy, where we have competitive strength. We continue to progress at pace on those, and we’ve made a number of announcements, which we’ve shared, including Investment Banking in Europe and the US, including the French insurance, the private bank in Germany, etc, and we’re progressing with those at pace. And again, on both items, we continue the execution with discipline and pace, and we remain unfazed with the external environment for the execution of those. This is our primary focus now, just focusing on delivering those. Cost efficiencies is a matter of BAU. If we identify cost efficiencies, we will, of course, be taking them as a matter of BAU, but our primary focus is to deliver on those commitments. With regards fees and other income, we’ve talked to the plausible downside scenario, it’s an adverse scenario, but it is a plausible scenario, and it will slow down parts of our business – trade flows, but also the implication it has on other aspects of our business, including volumes in general. But outside, I would say, this adverse scenario, we continue to see strength in the Wealth business – five quarters double-digit growth, which we expect to continue in the medium term, at least for the medium term – and we continue to invest in this space. And we continue investing in a number of areas, as we called out in February, because we believe in the growth potential that we can exhibit in these areas. Thank you, Ben. PAM KAUR: Ben, just to add, for the quarter, there’s been good performance, and there’s been high level of client activity, which has benefited FX, debt, equities, markets, and Wealth. Also, I want to just remind that one benefit was also the Argentina headwind that we had of $0.2 billion in Q1 of ’24, which, obviously, didn’t repeat in this quarter because of the sale. But the key franchise factors are Wealth – it’s a structural growth, and those dynamics will persist. They are driven by our brand. They’re driven by the range of products we have to offer, the improvements we’ve made in terms of technology, and that investment is going to pay. And as Georges said, we stay confident in terms of double-digit growth in the medium term. On Wholesale Transaction Banking, it remains an area of competitive advantage. We will continue to grow there, but it’s going to be hard to predict quarter to quarter, especially in the current environment. Volatility has definitely benefited us in this quarter, so it may not repeat at the very high levels that we’ve seen in this quarter, but we are still continuing to see underlying growth as we have progressed through in Q2. JOSEPH DICKERSON, JEFFERIES: Hi. Thank you for taking my question. Congrats on a strong set of numbers and some clarity on your thinking on the path forward. Can I just ask on the plausible downside scenarios for the low-single-digit impact on revenue? I guess, what was the point of undertaking that exercise? Was it to, basically, show that the perception of the bank as a global trade bank, in some ways, may be exaggerated about how, basically, you’re not overly </w:t>
      </w:r>
      <w:r w:rsidRPr="00515EB3">
        <w:rPr>
          <w:sz w:val="20"/>
          <w:szCs w:val="20"/>
        </w:rPr>
        <w:lastRenderedPageBreak/>
        <w:t xml:space="preserve">reliant on any particular corridors? And I guess, what kind of elements went into that scenario in terms of magnitude of the drawdown on trade? And then, secondly, just on that, could you opine on any opportunities that you’re seeing or that you foresee as a result of what’s happening – not that what’s happening is necessarily certain at the moment, but just any opportunities that you can see, based on any initial discussions? And then you had very strong new-to-bank customers in Hong Kong, can you make any comment on April trends there? I would have presumed that would have continued from last quarter, if what we’re picking up on the ground in Hong Kong is accurate. Thanks. GEORGES ELHEDERY: Thank you very much, Joseph. I’ll take your question about the positioning of our trade business and our bank, as well as the opportunities, and I’ll ask Pam to take you through the elements of this analysis. </w:t>
      </w:r>
      <w:proofErr w:type="gramStart"/>
      <w:r w:rsidRPr="00515EB3">
        <w:rPr>
          <w:sz w:val="20"/>
          <w:szCs w:val="20"/>
        </w:rPr>
        <w:t>So</w:t>
      </w:r>
      <w:proofErr w:type="gramEnd"/>
      <w:r w:rsidRPr="00515EB3">
        <w:rPr>
          <w:sz w:val="20"/>
          <w:szCs w:val="20"/>
        </w:rPr>
        <w:t xml:space="preserve"> we are the world’s trade bank. We have been ranked the number one trade bank for eight consecutive years, but our trade covers a variety of products, as well as we cover all the large corridors of trade, including intra-regional corridors, which have been growing quite fast over the last few years. The exercise that we’ve conducted is meant to, basically, evaluate the impact of plausible downside scenarios on our overall activities, obviously including trade. But just to add on trade, number one, we have more than 5,000 trade specialists in more than 50 markets. We’re in a unique position to be able to support our customers with our expertise in trade, as the business environment shifts, the business outlook shifts, their trading patterns shift, and our customers need to reconfigure some of their supply chains. We expect to be able to deepen our relationships with existing clients, but also, thanks to our strength, stability and expertise, to attract more clients and to continue building market share in the trade business, among other of the robust business proposition and service proposition we have for our customers. Pam? PAM KAUR: Thanks, Joseph, for the question. So firstly, broadly, in terms of context setting, every quarter, we do a range of scenario analysis. This quarter, we looked at the significant but plausible downside scenario resulting from an increase in tariffs. We homed in on one scenario after looking at a range of possible outcomes, which, as you know, are uncertain and remain very wide.</w:t>
      </w:r>
    </w:p>
    <w:p w14:paraId="441F50AB" w14:textId="6D02D1EC" w:rsidR="00515EB3" w:rsidRPr="004D613C" w:rsidRDefault="00515EB3" w:rsidP="00515EB3">
      <w:pPr>
        <w:rPr>
          <w:rFonts w:asciiTheme="majorHAnsi" w:hAnsiTheme="majorHAnsi"/>
        </w:rPr>
      </w:pPr>
      <w:r w:rsidRPr="004D613C">
        <w:rPr>
          <w:rFonts w:asciiTheme="majorHAnsi" w:hAnsiTheme="majorHAnsi"/>
        </w:rPr>
        <w:t>What the tool should detect (v0.1)</w:t>
      </w:r>
    </w:p>
    <w:p w14:paraId="441F2A6B" w14:textId="1139596E" w:rsidR="00515EB3" w:rsidRDefault="00515EB3" w:rsidP="00515EB3">
      <w:pPr>
        <w:pStyle w:val="ListParagraph"/>
        <w:numPr>
          <w:ilvl w:val="0"/>
          <w:numId w:val="6"/>
        </w:numPr>
      </w:pPr>
      <w:r>
        <w:t xml:space="preserve">Types of risk </w:t>
      </w:r>
    </w:p>
    <w:p w14:paraId="0CEC342F" w14:textId="3A0757BB" w:rsidR="00515EB3" w:rsidRDefault="00515EB3" w:rsidP="00515EB3">
      <w:pPr>
        <w:pStyle w:val="ListParagraph"/>
        <w:numPr>
          <w:ilvl w:val="0"/>
          <w:numId w:val="7"/>
        </w:numPr>
      </w:pPr>
      <w:r>
        <w:t>Credit risk (e.g. ECLs, provisions, downgrades)</w:t>
      </w:r>
    </w:p>
    <w:p w14:paraId="6BE87FF3" w14:textId="460228EE" w:rsidR="00515EB3" w:rsidRDefault="00515EB3" w:rsidP="00515EB3">
      <w:pPr>
        <w:pStyle w:val="ListParagraph"/>
        <w:numPr>
          <w:ilvl w:val="0"/>
          <w:numId w:val="7"/>
        </w:numPr>
      </w:pPr>
      <w:r>
        <w:t>Regulatory / compliance risk (e.g. investigations, fines, rule changes)</w:t>
      </w:r>
    </w:p>
    <w:p w14:paraId="14115419" w14:textId="3C01237D" w:rsidR="00515EB3" w:rsidRDefault="00515EB3" w:rsidP="00515EB3">
      <w:pPr>
        <w:pStyle w:val="ListParagraph"/>
        <w:numPr>
          <w:ilvl w:val="0"/>
          <w:numId w:val="7"/>
        </w:numPr>
      </w:pPr>
      <w:r>
        <w:t>Capital / solvency risk (e.g. CET1 impacts)</w:t>
      </w:r>
    </w:p>
    <w:p w14:paraId="353852A2" w14:textId="752388B2" w:rsidR="00515EB3" w:rsidRDefault="00515EB3" w:rsidP="00515EB3">
      <w:pPr>
        <w:pStyle w:val="ListParagraph"/>
        <w:numPr>
          <w:ilvl w:val="0"/>
          <w:numId w:val="7"/>
        </w:numPr>
      </w:pPr>
      <w:r>
        <w:t xml:space="preserve">Conduct / customer risk (e.g. </w:t>
      </w:r>
      <w:proofErr w:type="gramStart"/>
      <w:r>
        <w:t>mis-selling</w:t>
      </w:r>
      <w:proofErr w:type="gramEnd"/>
      <w:r>
        <w:t>, customer outcome issues)</w:t>
      </w:r>
    </w:p>
    <w:p w14:paraId="0556F4F7" w14:textId="5D08EE49" w:rsidR="00515EB3" w:rsidRDefault="00515EB3" w:rsidP="00515EB3">
      <w:pPr>
        <w:pStyle w:val="ListParagraph"/>
        <w:numPr>
          <w:ilvl w:val="0"/>
          <w:numId w:val="7"/>
        </w:numPr>
      </w:pPr>
      <w:r>
        <w:t>Macroeconomic / policy risk (e.g. tariffs, GDP slowdown, rates)</w:t>
      </w:r>
    </w:p>
    <w:p w14:paraId="31513123" w14:textId="25E9A775" w:rsidR="00515EB3" w:rsidRDefault="00515EB3" w:rsidP="00515EB3">
      <w:pPr>
        <w:pStyle w:val="ListParagraph"/>
        <w:numPr>
          <w:ilvl w:val="0"/>
          <w:numId w:val="6"/>
        </w:numPr>
      </w:pPr>
      <w:r>
        <w:t>Words/phrases to watch for</w:t>
      </w:r>
    </w:p>
    <w:p w14:paraId="51DCA3C4" w14:textId="1C1B81C3" w:rsidR="00515EB3" w:rsidRDefault="009D5B96" w:rsidP="00515EB3">
      <w:pPr>
        <w:pStyle w:val="ListParagraph"/>
        <w:numPr>
          <w:ilvl w:val="0"/>
          <w:numId w:val="7"/>
        </w:numPr>
      </w:pPr>
      <w:r>
        <w:t>“Plausible downside scenario”</w:t>
      </w:r>
    </w:p>
    <w:p w14:paraId="62AE7D1F" w14:textId="30776648" w:rsidR="009D5B96" w:rsidRDefault="009D5B96" w:rsidP="00515EB3">
      <w:pPr>
        <w:pStyle w:val="ListParagraph"/>
        <w:numPr>
          <w:ilvl w:val="0"/>
          <w:numId w:val="7"/>
        </w:numPr>
      </w:pPr>
      <w:r>
        <w:t>“Incremental ECL charge”</w:t>
      </w:r>
    </w:p>
    <w:p w14:paraId="4133CA64" w14:textId="7E433701" w:rsidR="009D5B96" w:rsidRDefault="009D5B96" w:rsidP="00515EB3">
      <w:pPr>
        <w:pStyle w:val="ListParagraph"/>
        <w:numPr>
          <w:ilvl w:val="0"/>
          <w:numId w:val="7"/>
        </w:numPr>
      </w:pPr>
      <w:r>
        <w:t>“Tariffs”</w:t>
      </w:r>
    </w:p>
    <w:p w14:paraId="3481D878" w14:textId="03A71618" w:rsidR="009D5B96" w:rsidRDefault="009D5B96" w:rsidP="00515EB3">
      <w:pPr>
        <w:pStyle w:val="ListParagraph"/>
        <w:numPr>
          <w:ilvl w:val="0"/>
          <w:numId w:val="7"/>
        </w:numPr>
      </w:pPr>
      <w:r>
        <w:t>“Provisions”</w:t>
      </w:r>
    </w:p>
    <w:p w14:paraId="0F7CBB37" w14:textId="64501B1B" w:rsidR="009D5B96" w:rsidRDefault="009D5B96" w:rsidP="00515EB3">
      <w:pPr>
        <w:pStyle w:val="ListParagraph"/>
        <w:numPr>
          <w:ilvl w:val="0"/>
          <w:numId w:val="7"/>
        </w:numPr>
      </w:pPr>
      <w:r>
        <w:t>“Regulatory”</w:t>
      </w:r>
    </w:p>
    <w:p w14:paraId="6D2CC5B8" w14:textId="62E43EA2" w:rsidR="009D5B96" w:rsidRDefault="009D5B96" w:rsidP="00515EB3">
      <w:pPr>
        <w:pStyle w:val="ListParagraph"/>
        <w:numPr>
          <w:ilvl w:val="0"/>
          <w:numId w:val="7"/>
        </w:numPr>
      </w:pPr>
      <w:r>
        <w:t>“Capital impact”</w:t>
      </w:r>
    </w:p>
    <w:p w14:paraId="7604F667" w14:textId="1A86FD7F" w:rsidR="009D5B96" w:rsidRDefault="009D5B96" w:rsidP="009D5B96">
      <w:pPr>
        <w:pStyle w:val="ListParagraph"/>
        <w:numPr>
          <w:ilvl w:val="0"/>
          <w:numId w:val="7"/>
        </w:numPr>
      </w:pPr>
      <w:r>
        <w:t>“Downside scenario”</w:t>
      </w:r>
    </w:p>
    <w:p w14:paraId="6FBF1854" w14:textId="19C6FE6B" w:rsidR="009D5B96" w:rsidRDefault="009D5B96" w:rsidP="009D5B96">
      <w:pPr>
        <w:pStyle w:val="ListParagraph"/>
        <w:numPr>
          <w:ilvl w:val="0"/>
          <w:numId w:val="6"/>
        </w:numPr>
      </w:pPr>
      <w:r>
        <w:t>What I want the AI to output</w:t>
      </w:r>
    </w:p>
    <w:p w14:paraId="13E40992" w14:textId="401BA19E" w:rsidR="004D613C" w:rsidRDefault="004D613C" w:rsidP="004D613C">
      <w:pPr>
        <w:pStyle w:val="ListParagraph"/>
      </w:pPr>
      <w:r>
        <w:t>Desired AI output format (draft)</w:t>
      </w:r>
    </w:p>
    <w:p w14:paraId="61A5FCF5" w14:textId="59EBA60D" w:rsidR="009D5B96" w:rsidRDefault="009D5B96" w:rsidP="009D5B96">
      <w:pPr>
        <w:pStyle w:val="ListParagraph"/>
        <w:numPr>
          <w:ilvl w:val="0"/>
          <w:numId w:val="7"/>
        </w:numPr>
      </w:pPr>
      <w:r>
        <w:t>A short description of each risk the tool finds</w:t>
      </w:r>
    </w:p>
    <w:p w14:paraId="0F83364E" w14:textId="1400A102" w:rsidR="009D5B96" w:rsidRDefault="009D5B96" w:rsidP="009D5B96">
      <w:pPr>
        <w:pStyle w:val="ListParagraph"/>
        <w:numPr>
          <w:ilvl w:val="0"/>
          <w:numId w:val="7"/>
        </w:numPr>
      </w:pPr>
      <w:r>
        <w:t>A sentence on why it matters (financial, reputational, operational)</w:t>
      </w:r>
    </w:p>
    <w:p w14:paraId="6DC83E1C" w14:textId="3A7B5758" w:rsidR="009D5B96" w:rsidRDefault="009D5B96" w:rsidP="009D5B96">
      <w:pPr>
        <w:pStyle w:val="ListParagraph"/>
        <w:numPr>
          <w:ilvl w:val="0"/>
          <w:numId w:val="7"/>
        </w:numPr>
      </w:pPr>
      <w:r>
        <w:t xml:space="preserve">A suggested follow-up </w:t>
      </w:r>
      <w:proofErr w:type="gramStart"/>
      <w:r>
        <w:t>question</w:t>
      </w:r>
      <w:proofErr w:type="gramEnd"/>
      <w:r>
        <w:t xml:space="preserve"> an analyst could ask</w:t>
      </w:r>
    </w:p>
    <w:p w14:paraId="352E9DAE" w14:textId="7D773327" w:rsidR="004D613C" w:rsidRPr="004D613C" w:rsidRDefault="004D613C" w:rsidP="004D613C">
      <w:pPr>
        <w:rPr>
          <w:rFonts w:asciiTheme="majorHAnsi" w:hAnsiTheme="majorHAnsi"/>
        </w:rPr>
      </w:pPr>
      <w:r w:rsidRPr="004D613C">
        <w:rPr>
          <w:rFonts w:asciiTheme="majorHAnsi" w:hAnsiTheme="majorHAnsi"/>
        </w:rPr>
        <w:lastRenderedPageBreak/>
        <w:t>Example structure:</w:t>
      </w:r>
    </w:p>
    <w:p w14:paraId="4A8CD080" w14:textId="3C0A9074" w:rsidR="004D613C" w:rsidRDefault="004D613C" w:rsidP="004D613C">
      <w:r>
        <w:t xml:space="preserve">Risk 1: Tariff-related macroeconomic risk </w:t>
      </w:r>
    </w:p>
    <w:p w14:paraId="4F913020" w14:textId="69EA5DC3" w:rsidR="004D613C" w:rsidRDefault="004D613C" w:rsidP="004D613C">
      <w:r>
        <w:t>Description: HSBC says that rising tariffs could slow global trade and GDP growth, creating downside pressure on revenues.</w:t>
      </w:r>
    </w:p>
    <w:p w14:paraId="4C9EDEAC" w14:textId="3F1D36A4" w:rsidR="004D613C" w:rsidRDefault="004D613C" w:rsidP="004D613C">
      <w:r>
        <w:t>Why it matters: This could reduce business activity and increase pressure on earnings if weaker trade flows affect client volumes</w:t>
      </w:r>
    </w:p>
    <w:p w14:paraId="6D100C4B" w14:textId="41FEA381" w:rsidR="004D613C" w:rsidRDefault="004D613C" w:rsidP="004D613C">
      <w:r>
        <w:t>Evidence from text: “low-single-digit percentage impact on the group’s revenues”</w:t>
      </w:r>
    </w:p>
    <w:p w14:paraId="293958D5" w14:textId="76E8F969" w:rsidR="004D613C" w:rsidRDefault="004D613C" w:rsidP="004D613C">
      <w:r>
        <w:t xml:space="preserve">Category: Macroeconomic / policy </w:t>
      </w:r>
    </w:p>
    <w:p w14:paraId="5D3B692E" w14:textId="48C5417D" w:rsidR="004D613C" w:rsidRDefault="004D613C" w:rsidP="004D613C">
      <w:r>
        <w:t>Analyst follow-up question: How would a more severe tariff scenario affect revenue and client activity across regions?</w:t>
      </w:r>
    </w:p>
    <w:p w14:paraId="6B873085" w14:textId="5CCAB2B8" w:rsidR="004D613C" w:rsidRDefault="004D613C" w:rsidP="004D613C">
      <w:r>
        <w:t>Risk 2: Credit loss risk</w:t>
      </w:r>
    </w:p>
    <w:p w14:paraId="4C369227" w14:textId="28C3292B" w:rsidR="004D613C" w:rsidRDefault="004D613C" w:rsidP="004D613C">
      <w:r>
        <w:t xml:space="preserve">Description: HSBC says its downside scenario could lead to additional expected credit losses if tariffs weaken the economy </w:t>
      </w:r>
    </w:p>
    <w:p w14:paraId="7764CE58" w14:textId="73CC3643" w:rsidR="004D613C" w:rsidRDefault="004D613C" w:rsidP="004D613C">
      <w:r>
        <w:t xml:space="preserve">Why it matters: Higher ECLs would directly affect profitability and may signal deterioration in credit conditions </w:t>
      </w:r>
    </w:p>
    <w:p w14:paraId="52EF3F2E" w14:textId="2C5E9DB0" w:rsidR="004D613C" w:rsidRDefault="004D613C" w:rsidP="004D613C">
      <w:r>
        <w:t>Evidence from text: “incremental ECLs of $0.5 billion”</w:t>
      </w:r>
    </w:p>
    <w:p w14:paraId="1D468726" w14:textId="5F699902" w:rsidR="004D613C" w:rsidRDefault="004D613C" w:rsidP="004D613C">
      <w:r>
        <w:t>Category: Credit</w:t>
      </w:r>
    </w:p>
    <w:p w14:paraId="6D902BA0" w14:textId="644AE155" w:rsidR="004D613C" w:rsidRDefault="004D613C" w:rsidP="004D613C">
      <w:r>
        <w:t>Analyst follow-up question: Which sectors or geographies would likely contribute most to the additional ECL charge?</w:t>
      </w:r>
    </w:p>
    <w:p w14:paraId="269100A7" w14:textId="538872B8" w:rsidR="004D613C" w:rsidRDefault="004D613C" w:rsidP="004D613C">
      <w:pPr>
        <w:rPr>
          <w:rFonts w:asciiTheme="majorHAnsi" w:hAnsiTheme="majorHAnsi"/>
        </w:rPr>
      </w:pPr>
      <w:r w:rsidRPr="004D613C">
        <w:rPr>
          <w:rFonts w:asciiTheme="majorHAnsi" w:hAnsiTheme="majorHAnsi"/>
        </w:rPr>
        <w:t xml:space="preserve">First Draft AI prompt </w:t>
      </w:r>
    </w:p>
    <w:p w14:paraId="7EBE2AEF" w14:textId="77777777" w:rsidR="004B79B0" w:rsidRPr="004B79B0" w:rsidRDefault="004B79B0" w:rsidP="004B79B0">
      <w:r w:rsidRPr="004B79B0">
        <w:t>You are an assistant helping a finance student or junior analyst analyse company documents for risk.</w:t>
      </w:r>
      <w:r w:rsidRPr="004B79B0">
        <w:br/>
        <w:t>The user will paste an excerpt from an earnings call transcript, annual report, or financial news article.</w:t>
      </w:r>
    </w:p>
    <w:p w14:paraId="60820D7B" w14:textId="77777777" w:rsidR="004B79B0" w:rsidRPr="004B79B0" w:rsidRDefault="004B79B0" w:rsidP="004B79B0">
      <w:r w:rsidRPr="004B79B0">
        <w:t>Your task is to identify and explain the key risks mentioned.</w:t>
      </w:r>
    </w:p>
    <w:p w14:paraId="784C0EDB" w14:textId="77777777" w:rsidR="004B79B0" w:rsidRPr="004B79B0" w:rsidRDefault="004B79B0" w:rsidP="004B79B0">
      <w:pPr>
        <w:numPr>
          <w:ilvl w:val="0"/>
          <w:numId w:val="9"/>
        </w:numPr>
      </w:pPr>
      <w:r w:rsidRPr="004B79B0">
        <w:t>Read the text carefully.</w:t>
      </w:r>
    </w:p>
    <w:p w14:paraId="18E2EC56" w14:textId="77777777" w:rsidR="004B79B0" w:rsidRPr="004B79B0" w:rsidRDefault="004B79B0" w:rsidP="004B79B0">
      <w:pPr>
        <w:numPr>
          <w:ilvl w:val="0"/>
          <w:numId w:val="9"/>
        </w:numPr>
      </w:pPr>
      <w:r w:rsidRPr="004B79B0">
        <w:t>Look specifically for:</w:t>
      </w:r>
    </w:p>
    <w:p w14:paraId="54914D9F" w14:textId="77777777" w:rsidR="004B79B0" w:rsidRPr="004B79B0" w:rsidRDefault="004B79B0" w:rsidP="004B79B0">
      <w:pPr>
        <w:numPr>
          <w:ilvl w:val="1"/>
          <w:numId w:val="9"/>
        </w:numPr>
      </w:pPr>
      <w:r w:rsidRPr="004B79B0">
        <w:t>Regulatory or compliance risk (investigations, fines, rule changes, ringfencing, regulatory capital)</w:t>
      </w:r>
    </w:p>
    <w:p w14:paraId="655BB74F" w14:textId="77777777" w:rsidR="004B79B0" w:rsidRPr="004B79B0" w:rsidRDefault="004B79B0" w:rsidP="004B79B0">
      <w:pPr>
        <w:numPr>
          <w:ilvl w:val="1"/>
          <w:numId w:val="9"/>
        </w:numPr>
      </w:pPr>
      <w:r w:rsidRPr="004B79B0">
        <w:t>Credit risk (ECLs, provisions, downgrades, loan quality)</w:t>
      </w:r>
    </w:p>
    <w:p w14:paraId="0A9436C8" w14:textId="77777777" w:rsidR="004B79B0" w:rsidRPr="004B79B0" w:rsidRDefault="004B79B0" w:rsidP="004B79B0">
      <w:pPr>
        <w:numPr>
          <w:ilvl w:val="1"/>
          <w:numId w:val="9"/>
        </w:numPr>
      </w:pPr>
      <w:r w:rsidRPr="004B79B0">
        <w:t>Capital risk (CET1 impacts, dilution, capital buffers)</w:t>
      </w:r>
    </w:p>
    <w:p w14:paraId="73064B67" w14:textId="77777777" w:rsidR="004B79B0" w:rsidRPr="004B79B0" w:rsidRDefault="004B79B0" w:rsidP="004B79B0">
      <w:pPr>
        <w:numPr>
          <w:ilvl w:val="1"/>
          <w:numId w:val="9"/>
        </w:numPr>
      </w:pPr>
      <w:r w:rsidRPr="004B79B0">
        <w:lastRenderedPageBreak/>
        <w:t>Macroeconomic or policy risk (tariffs, GDP slowdown, interest rates, trade policy)</w:t>
      </w:r>
    </w:p>
    <w:p w14:paraId="5387A9D3" w14:textId="77777777" w:rsidR="004B79B0" w:rsidRPr="004B79B0" w:rsidRDefault="004B79B0" w:rsidP="004B79B0">
      <w:pPr>
        <w:numPr>
          <w:ilvl w:val="1"/>
          <w:numId w:val="9"/>
        </w:numPr>
      </w:pPr>
      <w:r w:rsidRPr="004B79B0">
        <w:t>Operational or execution risk (cost saves, restructuring, strategy execution)</w:t>
      </w:r>
    </w:p>
    <w:p w14:paraId="168AE3CA" w14:textId="77777777" w:rsidR="004B79B0" w:rsidRPr="004B79B0" w:rsidRDefault="004B79B0" w:rsidP="004B79B0">
      <w:r w:rsidRPr="004B79B0">
        <w:t>For each risk you find, output a block in this exact structure:</w:t>
      </w:r>
    </w:p>
    <w:p w14:paraId="69517194" w14:textId="58B8B2E8" w:rsidR="004B79B0" w:rsidRPr="004B79B0" w:rsidRDefault="004B79B0" w:rsidP="004B79B0">
      <w:r w:rsidRPr="004B79B0">
        <w:rPr>
          <w:b/>
          <w:bCs/>
        </w:rPr>
        <w:t>Risk title:</w:t>
      </w:r>
      <w:r w:rsidRPr="004B79B0">
        <w:t xml:space="preserve"> Short label for the risk.</w:t>
      </w:r>
    </w:p>
    <w:p w14:paraId="747F399E" w14:textId="77777777" w:rsidR="004B79B0" w:rsidRPr="004B79B0" w:rsidRDefault="004B79B0" w:rsidP="004B79B0">
      <w:r w:rsidRPr="004B79B0">
        <w:rPr>
          <w:b/>
          <w:bCs/>
        </w:rPr>
        <w:t>Description:</w:t>
      </w:r>
      <w:r w:rsidRPr="004B79B0">
        <w:t>1–2 sentences in clear, simple language explaining what the risk is and how it appears in the text.</w:t>
      </w:r>
    </w:p>
    <w:p w14:paraId="4FD25018" w14:textId="77777777" w:rsidR="004B79B0" w:rsidRPr="004B79B0" w:rsidRDefault="004B79B0" w:rsidP="004B79B0">
      <w:r w:rsidRPr="004B79B0">
        <w:rPr>
          <w:b/>
          <w:bCs/>
        </w:rPr>
        <w:t>Why it matters:</w:t>
      </w:r>
      <w:r w:rsidRPr="004B79B0">
        <w:t>1–2 sentences on the potential impact on the bank (financial, reputational, or operational).</w:t>
      </w:r>
    </w:p>
    <w:p w14:paraId="52577F8F" w14:textId="5BF9638F" w:rsidR="004B79B0" w:rsidRPr="004B79B0" w:rsidRDefault="004B79B0" w:rsidP="004B79B0">
      <w:r w:rsidRPr="004B79B0">
        <w:rPr>
          <w:b/>
          <w:bCs/>
        </w:rPr>
        <w:t>Evidence from the text:</w:t>
      </w:r>
      <w:r w:rsidRPr="004B79B0">
        <w:t xml:space="preserve"> A short quote or phrase from the document that supports this risk.</w:t>
      </w:r>
    </w:p>
    <w:p w14:paraId="01C57ECC" w14:textId="0E72EAC6" w:rsidR="004B79B0" w:rsidRPr="004B79B0" w:rsidRDefault="004B79B0" w:rsidP="004B79B0">
      <w:r w:rsidRPr="004B79B0">
        <w:rPr>
          <w:b/>
          <w:bCs/>
        </w:rPr>
        <w:t>Category:</w:t>
      </w:r>
      <w:r w:rsidRPr="004B79B0">
        <w:t xml:space="preserve"> One of: regulatory/compliance, credit, capital, macro/policy, operational.</w:t>
      </w:r>
    </w:p>
    <w:p w14:paraId="109E1687" w14:textId="68E0628B" w:rsidR="004B79B0" w:rsidRPr="004B79B0" w:rsidRDefault="004B79B0" w:rsidP="004B79B0">
      <w:proofErr w:type="gramStart"/>
      <w:r w:rsidRPr="004B79B0">
        <w:rPr>
          <w:b/>
          <w:bCs/>
        </w:rPr>
        <w:t>Analyst</w:t>
      </w:r>
      <w:proofErr w:type="gramEnd"/>
      <w:r w:rsidRPr="004B79B0">
        <w:rPr>
          <w:b/>
          <w:bCs/>
        </w:rPr>
        <w:t xml:space="preserve"> follow</w:t>
      </w:r>
      <w:r w:rsidRPr="004B79B0">
        <w:rPr>
          <w:b/>
          <w:bCs/>
        </w:rPr>
        <w:noBreakHyphen/>
        <w:t>up question:</w:t>
      </w:r>
      <w:r w:rsidRPr="004B79B0">
        <w:t xml:space="preserve"> One specific question an analyst could ask management to better understand this risk.</w:t>
      </w:r>
    </w:p>
    <w:p w14:paraId="1BD2F84A" w14:textId="77777777" w:rsidR="004B79B0" w:rsidRPr="004B79B0" w:rsidRDefault="004B79B0" w:rsidP="004B79B0">
      <w:r w:rsidRPr="004B79B0">
        <w:t>If the excerpt does not contain any material risks, reply:</w:t>
      </w:r>
      <w:r w:rsidRPr="004B79B0">
        <w:br/>
        <w:t>“No major regulatory, credit, capital, macro, or operational risks identified in this excerpt.”</w:t>
      </w:r>
    </w:p>
    <w:p w14:paraId="078BDEB1" w14:textId="77777777" w:rsidR="004B79B0" w:rsidRPr="004B79B0" w:rsidRDefault="004B79B0" w:rsidP="004B79B0">
      <w:r w:rsidRPr="004B79B0">
        <w:t>Use concise bullet</w:t>
      </w:r>
      <w:r w:rsidRPr="004B79B0">
        <w:noBreakHyphen/>
        <w:t>proof reasoning and keep the language suitable for someone preparing for a finance internship or analyst interview.</w:t>
      </w:r>
    </w:p>
    <w:p w14:paraId="15F909A4" w14:textId="77777777" w:rsidR="004B79B0" w:rsidRPr="004B79B0" w:rsidRDefault="004B79B0" w:rsidP="004B79B0"/>
    <w:sectPr w:rsidR="004B79B0" w:rsidRPr="004B79B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571C6" w14:textId="77777777" w:rsidR="004D14A9" w:rsidRDefault="004D14A9" w:rsidP="009D5B96">
      <w:pPr>
        <w:spacing w:after="0" w:line="240" w:lineRule="auto"/>
      </w:pPr>
      <w:r>
        <w:separator/>
      </w:r>
    </w:p>
  </w:endnote>
  <w:endnote w:type="continuationSeparator" w:id="0">
    <w:p w14:paraId="3963D359" w14:textId="77777777" w:rsidR="004D14A9" w:rsidRDefault="004D14A9" w:rsidP="009D5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DA1E" w14:textId="77777777" w:rsidR="009D5B96" w:rsidRDefault="009D5B96">
    <w:pPr>
      <w:pStyle w:val="Footer"/>
    </w:pPr>
  </w:p>
  <w:p w14:paraId="2E5C1F62" w14:textId="77777777" w:rsidR="009D5B96" w:rsidRDefault="009D5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D9DF1" w14:textId="77777777" w:rsidR="004D14A9" w:rsidRDefault="004D14A9" w:rsidP="009D5B96">
      <w:pPr>
        <w:spacing w:after="0" w:line="240" w:lineRule="auto"/>
      </w:pPr>
      <w:r>
        <w:separator/>
      </w:r>
    </w:p>
  </w:footnote>
  <w:footnote w:type="continuationSeparator" w:id="0">
    <w:p w14:paraId="107EFFB9" w14:textId="77777777" w:rsidR="004D14A9" w:rsidRDefault="004D14A9" w:rsidP="009D5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AFB"/>
    <w:multiLevelType w:val="hybridMultilevel"/>
    <w:tmpl w:val="5B6A88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324C3E"/>
    <w:multiLevelType w:val="multilevel"/>
    <w:tmpl w:val="6D04AB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A3B92"/>
    <w:multiLevelType w:val="multilevel"/>
    <w:tmpl w:val="2FE8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92924"/>
    <w:multiLevelType w:val="hybridMultilevel"/>
    <w:tmpl w:val="0E38D39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3A1AAA"/>
    <w:multiLevelType w:val="multilevel"/>
    <w:tmpl w:val="66C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C209BE"/>
    <w:multiLevelType w:val="multilevel"/>
    <w:tmpl w:val="BF7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F7653E"/>
    <w:multiLevelType w:val="hybridMultilevel"/>
    <w:tmpl w:val="75A0F224"/>
    <w:lvl w:ilvl="0" w:tplc="A5F41F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D90170"/>
    <w:multiLevelType w:val="multilevel"/>
    <w:tmpl w:val="900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901A30"/>
    <w:multiLevelType w:val="hybridMultilevel"/>
    <w:tmpl w:val="A2120A02"/>
    <w:lvl w:ilvl="0" w:tplc="4A3E9D94">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80869496">
    <w:abstractNumId w:val="4"/>
  </w:num>
  <w:num w:numId="2" w16cid:durableId="863398687">
    <w:abstractNumId w:val="2"/>
  </w:num>
  <w:num w:numId="3" w16cid:durableId="1535654034">
    <w:abstractNumId w:val="5"/>
  </w:num>
  <w:num w:numId="4" w16cid:durableId="2131852175">
    <w:abstractNumId w:val="7"/>
  </w:num>
  <w:num w:numId="5" w16cid:durableId="1024097133">
    <w:abstractNumId w:val="6"/>
  </w:num>
  <w:num w:numId="6" w16cid:durableId="1899590927">
    <w:abstractNumId w:val="3"/>
  </w:num>
  <w:num w:numId="7" w16cid:durableId="1989360727">
    <w:abstractNumId w:val="8"/>
  </w:num>
  <w:num w:numId="8" w16cid:durableId="895119855">
    <w:abstractNumId w:val="0"/>
  </w:num>
  <w:num w:numId="9" w16cid:durableId="1679428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EB3"/>
    <w:rsid w:val="004B79B0"/>
    <w:rsid w:val="004D14A9"/>
    <w:rsid w:val="004D613C"/>
    <w:rsid w:val="00515EB3"/>
    <w:rsid w:val="009D5B96"/>
    <w:rsid w:val="00A92898"/>
    <w:rsid w:val="00DA6990"/>
    <w:rsid w:val="00DE73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3EC8"/>
  <w15:chartTrackingRefBased/>
  <w15:docId w15:val="{D63DD53B-EA5E-48FC-915F-46A9BBD89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EB3"/>
    <w:rPr>
      <w:rFonts w:eastAsiaTheme="majorEastAsia" w:cstheme="majorBidi"/>
      <w:color w:val="272727" w:themeColor="text1" w:themeTint="D8"/>
    </w:rPr>
  </w:style>
  <w:style w:type="paragraph" w:styleId="Title">
    <w:name w:val="Title"/>
    <w:basedOn w:val="Normal"/>
    <w:next w:val="Normal"/>
    <w:link w:val="TitleChar"/>
    <w:uiPriority w:val="10"/>
    <w:qFormat/>
    <w:rsid w:val="00515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EB3"/>
    <w:pPr>
      <w:spacing w:before="160"/>
      <w:jc w:val="center"/>
    </w:pPr>
    <w:rPr>
      <w:i/>
      <w:iCs/>
      <w:color w:val="404040" w:themeColor="text1" w:themeTint="BF"/>
    </w:rPr>
  </w:style>
  <w:style w:type="character" w:customStyle="1" w:styleId="QuoteChar">
    <w:name w:val="Quote Char"/>
    <w:basedOn w:val="DefaultParagraphFont"/>
    <w:link w:val="Quote"/>
    <w:uiPriority w:val="29"/>
    <w:rsid w:val="00515EB3"/>
    <w:rPr>
      <w:i/>
      <w:iCs/>
      <w:color w:val="404040" w:themeColor="text1" w:themeTint="BF"/>
    </w:rPr>
  </w:style>
  <w:style w:type="paragraph" w:styleId="ListParagraph">
    <w:name w:val="List Paragraph"/>
    <w:basedOn w:val="Normal"/>
    <w:uiPriority w:val="34"/>
    <w:qFormat/>
    <w:rsid w:val="00515EB3"/>
    <w:pPr>
      <w:ind w:left="720"/>
      <w:contextualSpacing/>
    </w:pPr>
  </w:style>
  <w:style w:type="character" w:styleId="IntenseEmphasis">
    <w:name w:val="Intense Emphasis"/>
    <w:basedOn w:val="DefaultParagraphFont"/>
    <w:uiPriority w:val="21"/>
    <w:qFormat/>
    <w:rsid w:val="00515EB3"/>
    <w:rPr>
      <w:i/>
      <w:iCs/>
      <w:color w:val="0F4761" w:themeColor="accent1" w:themeShade="BF"/>
    </w:rPr>
  </w:style>
  <w:style w:type="paragraph" w:styleId="IntenseQuote">
    <w:name w:val="Intense Quote"/>
    <w:basedOn w:val="Normal"/>
    <w:next w:val="Normal"/>
    <w:link w:val="IntenseQuoteChar"/>
    <w:uiPriority w:val="30"/>
    <w:qFormat/>
    <w:rsid w:val="00515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EB3"/>
    <w:rPr>
      <w:i/>
      <w:iCs/>
      <w:color w:val="0F4761" w:themeColor="accent1" w:themeShade="BF"/>
    </w:rPr>
  </w:style>
  <w:style w:type="character" w:styleId="IntenseReference">
    <w:name w:val="Intense Reference"/>
    <w:basedOn w:val="DefaultParagraphFont"/>
    <w:uiPriority w:val="32"/>
    <w:qFormat/>
    <w:rsid w:val="00515EB3"/>
    <w:rPr>
      <w:b/>
      <w:bCs/>
      <w:smallCaps/>
      <w:color w:val="0F4761" w:themeColor="accent1" w:themeShade="BF"/>
      <w:spacing w:val="5"/>
    </w:rPr>
  </w:style>
  <w:style w:type="paragraph" w:styleId="Header">
    <w:name w:val="header"/>
    <w:basedOn w:val="Normal"/>
    <w:link w:val="HeaderChar"/>
    <w:uiPriority w:val="99"/>
    <w:unhideWhenUsed/>
    <w:rsid w:val="009D5B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B96"/>
  </w:style>
  <w:style w:type="paragraph" w:styleId="Footer">
    <w:name w:val="footer"/>
    <w:basedOn w:val="Normal"/>
    <w:link w:val="FooterChar"/>
    <w:uiPriority w:val="99"/>
    <w:unhideWhenUsed/>
    <w:rsid w:val="009D5B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2070</TotalTime>
  <Pages>8</Pages>
  <Words>3410</Words>
  <Characters>19442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pryse-jones</dc:creator>
  <cp:keywords/>
  <dc:description/>
  <cp:lastModifiedBy>lucy pryse-jones</cp:lastModifiedBy>
  <cp:revision>1</cp:revision>
  <dcterms:created xsi:type="dcterms:W3CDTF">2026-06-10T14:55:00Z</dcterms:created>
  <dcterms:modified xsi:type="dcterms:W3CDTF">2026-06-13T11:20:00Z</dcterms:modified>
</cp:coreProperties>
</file>