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82290">
      <w:pPr>
        <w:spacing w:before="312" w:beforeLines="100" w:after="312" w:afterLines="100"/>
        <w:jc w:val="center"/>
        <w:rPr>
          <w:rFonts w:ascii="Times New Roman" w:hAnsi="Times New Roman" w:cs="Times New Roman"/>
          <w:color w:val="0F1115"/>
          <w:sz w:val="30"/>
          <w:szCs w:val="30"/>
          <w:shd w:val="clear" w:color="auto" w:fill="FFFFFF"/>
        </w:rPr>
      </w:pPr>
      <w:r>
        <w:rPr>
          <w:rFonts w:ascii="Times New Roman" w:hAnsi="Times New Roman" w:eastAsia="黑体" w:cs="Times New Roman"/>
          <w:sz w:val="30"/>
          <w:szCs w:val="30"/>
        </w:rPr>
        <w:t>Abstract</w:t>
      </w:r>
    </w:p>
    <w:p w14:paraId="0822BFEA">
      <w:pPr>
        <w:spacing w:line="400" w:lineRule="exact"/>
        <w:ind w:firstLine="480" w:firstLineChars="200"/>
        <w:rPr>
          <w:rFonts w:ascii="Times New Roman" w:hAnsi="Times New Roman" w:cs="Times New Roman"/>
          <w:color w:val="0F1115"/>
          <w:sz w:val="24"/>
          <w:shd w:val="clear" w:color="auto" w:fill="FFFFFF"/>
        </w:rPr>
      </w:pPr>
      <w:r>
        <w:rPr>
          <w:rFonts w:hint="eastAsia" w:ascii="Times New Roman" w:hAnsi="Times New Roman" w:cs="Times New Roman"/>
          <w:color w:val="0F1115"/>
          <w:sz w:val="24"/>
          <w:shd w:val="clear" w:color="auto" w:fill="FFFFFF"/>
        </w:rPr>
        <w:t>大型语言模型（LLMs）内部工作机制的黑箱性质，是制约现有对大模型深入研究的核心挑战。大型语言模型中间层的异常激活现象，尤其是“巨量激活”，为窥视其内部计算逻辑提供了关键切入点。尽管该现象已被广泛观测，但其背后的因果机制与数学根源始终未能明晰，现有解释多停留在相关性推测层面。本文通过构建一个融合因果干预与矩阵分析的框架，系统性地揭示了GPT-2等模型中巨量激活的反直觉成因。研究发现，传统的注意力头剪枝对巨量激活幅度影响微乎其微，而禁用特定的MLP层则可使其锐减，证实了MLP层是该现象的主要源头。进一步的数学分析表明，其根源在于第二层MLP中Linear2权重矩阵的SVD结构，其右奇异矩阵的主奇异向量，与功能词暨无语义链接词的激活向量呈现非常高的余弦相似度。该对齐关系通过最大奇异值被急剧放大，从而触发了观测中的巨量激活现象。本研究不仅精准定位了巨量激活的生成模块，更首次从几何层面完整阐释了LLMs解构与处理句法功能词的底层计算机制。本文揭示了 LLMs 对句法结构成分的底层处理机制，为模型中间层激活现象的解释提供了新视角。代码详见：https://github.com/Ludan-daye/changeHead_massvieAcitve</w:t>
      </w:r>
    </w:p>
    <w:p w14:paraId="38292011">
      <w:pPr>
        <w:spacing w:line="400" w:lineRule="exact"/>
        <w:ind w:firstLine="480" w:firstLineChars="200"/>
        <w:rPr>
          <w:rFonts w:hint="eastAsia" w:ascii="Times New Roman" w:hAnsi="Times New Roman" w:cs="Times New Roman" w:eastAsiaTheme="minorEastAsia"/>
          <w:color w:val="0F1115"/>
          <w:sz w:val="24"/>
          <w:shd w:val="clear" w:color="auto" w:fill="FFFFFF"/>
          <w:lang w:eastAsia="zh-CN"/>
        </w:rPr>
      </w:pPr>
      <w:r>
        <w:rPr>
          <w:rFonts w:hint="eastAsia" w:ascii="Times New Roman" w:hAnsi="Times New Roman" w:cs="Times New Roman"/>
          <w:color w:val="0F1115"/>
          <w:sz w:val="24"/>
          <w:shd w:val="clear" w:color="auto" w:fill="FFFFFF"/>
        </w:rPr>
        <w:t>IndexTerms</w:t>
      </w:r>
      <w:r>
        <w:rPr>
          <w:rFonts w:hint="eastAsia" w:ascii="Times New Roman" w:hAnsi="Times New Roman" w:cs="Times New Roman"/>
          <w:color w:val="0F1115"/>
          <w:sz w:val="24"/>
          <w:shd w:val="clear" w:color="auto" w:fill="FFFFFF"/>
          <w:lang w:eastAsia="zh-CN"/>
        </w:rPr>
        <w:t>：Massive Activations，LargeLanguageModels,</w:t>
      </w:r>
      <w:r>
        <w:rPr>
          <w:rFonts w:hint="eastAsia" w:ascii="Times New Roman" w:hAnsi="Times New Roman" w:cs="Times New Roman"/>
          <w:color w:val="0F1115"/>
          <w:sz w:val="24"/>
          <w:shd w:val="clear" w:color="auto" w:fill="FFFFFF"/>
          <w:lang w:val="en-US" w:eastAsia="zh-CN"/>
        </w:rPr>
        <w:t xml:space="preserve"> </w:t>
      </w:r>
      <w:r>
        <w:rPr>
          <w:rFonts w:hint="eastAsia" w:ascii="Times New Roman" w:hAnsi="Times New Roman" w:cs="Times New Roman"/>
          <w:color w:val="0F1115"/>
          <w:sz w:val="24"/>
          <w:shd w:val="clear" w:color="auto" w:fill="FFFFFF"/>
          <w:lang w:eastAsia="zh-CN"/>
        </w:rPr>
        <w:t>Non-Semantic Linking Tokens，Singular Attention Matrices，Suppression Mechanism</w:t>
      </w:r>
    </w:p>
    <w:p w14:paraId="1D1D5E52">
      <w:pPr>
        <w:spacing w:before="312" w:beforeLines="100" w:after="312" w:afterLines="100"/>
        <w:jc w:val="center"/>
        <w:rPr>
          <w:rFonts w:hint="eastAsia" w:ascii="Times New Roman" w:hAnsi="Times New Roman" w:eastAsia="黑体" w:cs="Times New Roman"/>
          <w:sz w:val="30"/>
          <w:szCs w:val="30"/>
        </w:rPr>
      </w:pPr>
    </w:p>
    <w:p w14:paraId="6BB7D2AB">
      <w:pPr>
        <w:spacing w:before="312" w:beforeLines="100" w:after="312" w:afterLines="100"/>
        <w:jc w:val="center"/>
        <w:rPr>
          <w:rFonts w:hint="eastAsia" w:ascii="Times New Roman" w:hAnsi="Times New Roman" w:eastAsia="黑体" w:cs="Times New Roman"/>
          <w:sz w:val="30"/>
          <w:szCs w:val="30"/>
        </w:rPr>
      </w:pPr>
    </w:p>
    <w:p w14:paraId="24C4B9EA">
      <w:pPr>
        <w:spacing w:before="312" w:beforeLines="100" w:after="312" w:afterLines="100"/>
        <w:jc w:val="center"/>
        <w:rPr>
          <w:rFonts w:hint="eastAsia" w:ascii="Times New Roman" w:hAnsi="Times New Roman" w:eastAsia="黑体" w:cs="Times New Roman"/>
          <w:sz w:val="30"/>
          <w:szCs w:val="30"/>
        </w:rPr>
      </w:pPr>
    </w:p>
    <w:p w14:paraId="0DACB1CF">
      <w:pPr>
        <w:spacing w:before="312" w:beforeLines="100" w:after="312" w:afterLines="100"/>
        <w:jc w:val="center"/>
        <w:rPr>
          <w:rFonts w:hint="eastAsia" w:ascii="Times New Roman" w:hAnsi="Times New Roman" w:eastAsia="黑体" w:cs="Times New Roman"/>
          <w:sz w:val="30"/>
          <w:szCs w:val="30"/>
        </w:rPr>
      </w:pPr>
    </w:p>
    <w:p w14:paraId="7C3B704A">
      <w:pPr>
        <w:spacing w:before="312" w:beforeLines="100" w:after="312" w:afterLines="100"/>
        <w:jc w:val="center"/>
        <w:rPr>
          <w:rFonts w:hint="eastAsia" w:ascii="Times New Roman" w:hAnsi="Times New Roman" w:eastAsia="黑体" w:cs="Times New Roman"/>
          <w:sz w:val="30"/>
          <w:szCs w:val="30"/>
        </w:rPr>
      </w:pPr>
    </w:p>
    <w:p w14:paraId="2BBB0D06">
      <w:pPr>
        <w:spacing w:before="312" w:beforeLines="100" w:after="312" w:afterLines="100"/>
        <w:jc w:val="center"/>
        <w:rPr>
          <w:rFonts w:hint="eastAsia" w:ascii="Times New Roman" w:hAnsi="Times New Roman" w:eastAsia="黑体" w:cs="Times New Roman"/>
          <w:sz w:val="30"/>
          <w:szCs w:val="30"/>
        </w:rPr>
      </w:pPr>
    </w:p>
    <w:p w14:paraId="1CBFFE86">
      <w:pPr>
        <w:spacing w:before="312" w:beforeLines="100" w:after="312" w:afterLines="100"/>
        <w:jc w:val="center"/>
        <w:rPr>
          <w:rFonts w:ascii="Times New Roman" w:hAnsi="Times New Roman" w:eastAsia="黑体" w:cs="Times New Roman"/>
          <w:sz w:val="30"/>
          <w:szCs w:val="30"/>
        </w:rPr>
      </w:pPr>
      <w:r>
        <w:rPr>
          <w:rFonts w:hint="eastAsia" w:ascii="Times New Roman" w:hAnsi="Times New Roman" w:eastAsia="黑体" w:cs="Times New Roman"/>
          <w:sz w:val="30"/>
          <w:szCs w:val="30"/>
        </w:rPr>
        <w:t>1 Introduction</w:t>
      </w:r>
    </w:p>
    <w:p w14:paraId="747E6EC0">
      <w:pPr>
        <w:spacing w:line="240" w:lineRule="auto"/>
        <w:ind w:firstLine="480" w:firstLineChars="200"/>
        <w:jc w:val="center"/>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3727450" cy="4413250"/>
            <wp:effectExtent l="0" t="0" r="6350" b="6350"/>
            <wp:docPr id="19" name="图片 19" descr="figure1(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1(1)_01"/>
                    <pic:cNvPicPr>
                      <a:picLocks noChangeAspect="1"/>
                    </pic:cNvPicPr>
                  </pic:nvPicPr>
                  <pic:blipFill>
                    <a:blip r:embed="rId4"/>
                    <a:srcRect t="8141" b="9877"/>
                    <a:stretch>
                      <a:fillRect/>
                    </a:stretch>
                  </pic:blipFill>
                  <pic:spPr>
                    <a:xfrm>
                      <a:off x="0" y="0"/>
                      <a:ext cx="3727450" cy="4413250"/>
                    </a:xfrm>
                    <a:prstGeom prst="rect">
                      <a:avLst/>
                    </a:prstGeom>
                  </pic:spPr>
                </pic:pic>
              </a:graphicData>
            </a:graphic>
          </wp:inline>
        </w:drawing>
      </w:r>
    </w:p>
    <w:p w14:paraId="526762DC">
      <w:pPr>
        <w:keepNext w:val="0"/>
        <w:keepLines w:val="0"/>
        <w:pageBreakBefore w:val="0"/>
        <w:widowControl w:val="0"/>
        <w:kinsoku/>
        <w:wordWrap/>
        <w:overflowPunct/>
        <w:topLinePunct w:val="0"/>
        <w:autoSpaceDE/>
        <w:autoSpaceDN/>
        <w:bidi w:val="0"/>
        <w:adjustRightInd/>
        <w:snapToGrid/>
        <w:ind w:firstLine="630" w:firstLineChars="300"/>
        <w:jc w:val="center"/>
        <w:textAlignment w:val="auto"/>
        <w:rPr>
          <w:rFonts w:hint="default" w:ascii="Times New Roman" w:hAnsi="Times New Roman" w:cs="Times New Roman"/>
          <w:sz w:val="24"/>
          <w:lang w:val="en-US"/>
        </w:rPr>
      </w:pPr>
      <w:r>
        <w:rPr>
          <w:rFonts w:hint="eastAsia" w:ascii="Times New Roman" w:hAnsi="Times New Roman" w:eastAsia="楷体" w:cs="Times New Roman"/>
          <w:szCs w:val="21"/>
          <w:lang w:eastAsia="zh-CN"/>
        </w:rPr>
        <w:t>Figure</w:t>
      </w:r>
      <w:r>
        <w:rPr>
          <w:rFonts w:hint="eastAsia" w:ascii="Times New Roman" w:hAnsi="Times New Roman" w:eastAsia="楷体" w:cs="Times New Roman"/>
          <w:szCs w:val="21"/>
          <w:lang w:val="en-US" w:eastAsia="zh-CN"/>
        </w:rPr>
        <w:t>1</w:t>
      </w:r>
      <w:r>
        <w:rPr>
          <w:rFonts w:hint="eastAsia" w:ascii="Times New Roman" w:hAnsi="Times New Roman" w:eastAsia="楷体" w:cs="Times New Roman"/>
          <w:szCs w:val="21"/>
          <w:lang w:eastAsia="zh-CN"/>
        </w:rPr>
        <w:t xml:space="preserve"> : </w:t>
      </w:r>
      <w:r>
        <w:rPr>
          <w:rFonts w:hint="eastAsia" w:ascii="Times New Roman" w:hAnsi="Times New Roman" w:eastAsia="楷体" w:cs="Times New Roman"/>
          <w:szCs w:val="21"/>
          <w:lang w:val="en-US" w:eastAsia="zh-CN"/>
        </w:rPr>
        <w:t>研究流程框架</w:t>
      </w:r>
      <w:bookmarkStart w:id="0" w:name="_GoBack"/>
      <w:bookmarkEnd w:id="0"/>
    </w:p>
    <w:p w14:paraId="1289A945">
      <w:pPr>
        <w:spacing w:line="400" w:lineRule="exact"/>
        <w:ind w:firstLine="480" w:firstLineChars="200"/>
        <w:rPr>
          <w:rFonts w:hint="eastAsia" w:ascii="Times New Roman" w:hAnsi="Times New Roman" w:cs="Times New Roman"/>
          <w:sz w:val="24"/>
          <w:lang w:eastAsia="zh-CN"/>
        </w:rPr>
      </w:pPr>
      <w:r>
        <w:rPr>
          <w:rFonts w:hint="eastAsia" w:ascii="Times New Roman" w:hAnsi="Times New Roman" w:cs="Times New Roman"/>
          <w:sz w:val="24"/>
        </w:rPr>
        <w:t>近年来，基于Transformer架构的大型语言模型（Large Language Models, LLMs）在自然语言处理（NLP）领域取得了前所未有的成功，其能力范围从流畅的文本生成扩展到复杂的逻辑推理 [1], [2]。然而，与这种卓越性能形成鲜明对比的是，模型内部工作机制的“黑箱”性质，日益成为制约其可靠性、安全性与进一步发展的核心挑战 [3], [4]。尽管研究者们试图通过分析模型的输入与输出来推断其行为，但对于LLMs如何在内部表征和处理语言信息，我们仍然缺乏系统性的、因果性的理解 [5], [6]。这种可解释性的缺失，不仅阻碍了针对模型偏差和错误的诊断与修正，也限制了我们在架构层面进行更有针对性的优化 [7]</w:t>
      </w:r>
      <w:r>
        <w:rPr>
          <w:rFonts w:hint="eastAsia" w:ascii="Times New Roman" w:hAnsi="Times New Roman" w:cs="Times New Roman"/>
          <w:sz w:val="24"/>
          <w:lang w:eastAsia="zh-CN"/>
        </w:rPr>
        <w:t>。</w:t>
      </w:r>
    </w:p>
    <w:p w14:paraId="5B6D556B">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 xml:space="preserve"> </w:t>
      </w:r>
      <w:r>
        <w:rPr>
          <w:rFonts w:hint="eastAsia" w:ascii="Times New Roman" w:hAnsi="Times New Roman" w:cs="Times New Roman"/>
          <w:sz w:val="24"/>
        </w:rPr>
        <w:t>为了揭开LLMs的神秘面纱，研究界逐渐将目光投向模型的中间层激活。这些中间表征被认为是连接输入符号与输出结果的关键计算步骤，其中编码了丰富的语言学信息，涵盖句法、语义乃至语用等多个层次 [8], [9]。在众多被观测到的中间层现象中，“巨量激活”（Massive Activations）因其极端性和规律性而尤为引人注目。该现象最初由 Dao et al. [10] 在系统性地分析LLaMA、GPT-2等模型时发现，其特征是某些特定特征维度的激活值异常突出，可达所有维度中位数水平的数百至数千倍。一个更具启发性的发现是，这种极端激活高度集中于“the”、“of”、“and”等本身几乎不携带具体语义的功能词（或称无语义链接词）上。这表明，巨量激活并非随机噪声，而很可能与模型处理语言结构的内在机制密切相关。Schrimpf et al. [11] 的后续研究为此提供了支持，他们发现LLMs的中间层激活模式与人类对句法合法性的判断高度一致，从而将极端激活与语言的核心结构特征联系起来。因此，解析巨量激活的成因，被视为揭示LLM如何隐式地学习并运用语言规则的一个关键切入点。</w:t>
      </w:r>
    </w:p>
    <w:p w14:paraId="66CE9C5E">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在传统认知中，Transformer模型的注意力机制被普遍认为是处理语言结构与依赖关系的核心 [12]。自 Vaswani et al. [1] 的开创性工作以来，注意力机制通过计算token间的关联得分来实现全局上下文整合的能力，一直被视作模型理解语言的关键。大量研究也致力于分析注意力图，以期发现其与句法依赖关系的对应性，例如 Clark et al. [13] 发现BERT的某些注意力头确实会关注于语法上相关的词。Michel et al. [14] 的剪枝实验进一步表明，虽然大部分注意力头是冗余的，但少数核心头对于捕捉特定类型的语言关系至关重要。然而，当我们将注意力机制置于巨量激活现象的审视下时，这一传统认知面临着严峻挑战。Dao et al. [10] 的控制实验表明，即使移除那些对巨量激活token给予最高关注度（注意力得分高达0.828）的注意力头，极端激活的强度也并未发生显著衰减。这一反直觉的结果促使研究者重新思考注意力机制在其中的角色：它或许更多地是“读取”或“利用”了已存在的激活信号，而非其“生成”者。此外，Petroni et al. [15] 的发现为这一转向提供了另一个关键证据：功能词的嵌入向量在多样化的语境中表现出惊人的稳定性，这与内容词随语境剧烈变化的特性形成鲜明对比。这种跨语境的稳定性难以完全通过动态变化的注意力机制来解释，暗示了模型中可能存在一个更基础、更稳定的组件负责形成功能词的这种固有表征。</w:t>
      </w:r>
    </w:p>
    <w:p w14:paraId="6F48FC31">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这一系列证据共同将研究焦点引向了Transformer架构中的另一个核心组件——多层感知机（MLP）层。长期以来，MLP层的作用相对被忽视，常被简化为对注意力输出进行非线性变换的“特征处理器” [1]。然而，近年来的研究逐渐揭示了MLP层在语言表征中的深层作用。例如，Tenney et al. [8] 通过探针任务发现，BERT的底层MLP层倾向于编码句法信息。更为重要的是，对MLP层权重矩阵的数学分析打开了新的视角。Hao et al. [16] 应用奇异值分解（SVD）技术解析Transformer的MLP权重，发现其主奇异向量与语言的句法结构存在显著关联。这一发现与 Lee and Seung [17] 关于矩阵分解的经典理论相呼应，该理论指出矩阵的奇异值分布决定了其放大特定方向输入信号的能力。Geva et al. [18] 近期的工作进一步强化了这一图景，他们提出MLP层实际上充当了“键值记忆”网络，其中每个神经元负责在特定的上下文模式下，向词汇表空间添加一个特征向量。这些研究共同预示，MLP层，特别是其权重矩阵的几何结构，可能在巨量激活的生成中扮演着决定性角色。</w:t>
      </w:r>
    </w:p>
    <w:p w14:paraId="1D6A9B4B">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基于上述研究背景与理论空缺，本研究以广泛使用的GPT-2模型 [19] 为实验对象，旨在构建一个融合了因果干预与矩阵分析的综合性研究框架，以期系统性地揭示巨量激活现象的生成机制。我们的研究设计紧密围绕五个核心问题展开，这些问题层层递进，旨在从现象描述深入至因果解释：</w:t>
      </w:r>
    </w:p>
    <w:p w14:paraId="52525410">
      <w:pPr>
        <w:spacing w:line="400" w:lineRule="exact"/>
        <w:ind w:firstLine="480" w:firstLineChars="200"/>
        <w:rPr>
          <w:rFonts w:hint="eastAsia" w:ascii="Times New Roman" w:hAnsi="Times New Roman" w:cs="Times New Roman" w:eastAsiaTheme="minorEastAsia"/>
          <w:sz w:val="24"/>
          <w:lang w:eastAsia="zh-CN"/>
        </w:rPr>
      </w:pPr>
      <w:r>
        <w:rPr>
          <w:rFonts w:ascii="Times New Roman" w:hAnsi="Times New Roman" w:cs="Times New Roman"/>
          <w:sz w:val="24"/>
        </w:rPr>
        <w:t>RQ1：注意力头的生成效应。注意力头是否是GPT-2模型大规模激活的核心生成来源</w:t>
      </w:r>
      <w:r>
        <w:rPr>
          <w:rFonts w:hint="eastAsia" w:ascii="Times New Roman" w:hAnsi="Times New Roman" w:cs="Times New Roman"/>
          <w:sz w:val="24"/>
          <w:lang w:eastAsia="zh-CN"/>
        </w:rPr>
        <w:t>？</w:t>
      </w:r>
    </w:p>
    <w:p w14:paraId="3B6FCF31">
      <w:pPr>
        <w:spacing w:line="400" w:lineRule="exact"/>
        <w:ind w:firstLine="480" w:firstLineChars="200"/>
        <w:rPr>
          <w:rFonts w:hint="eastAsia" w:ascii="Times New Roman" w:hAnsi="Times New Roman" w:cs="Times New Roman" w:eastAsiaTheme="minorEastAsia"/>
          <w:sz w:val="24"/>
          <w:lang w:eastAsia="zh-CN"/>
        </w:rPr>
      </w:pPr>
      <w:r>
        <w:rPr>
          <w:rFonts w:ascii="Times New Roman" w:hAnsi="Times New Roman" w:cs="Times New Roman"/>
          <w:sz w:val="24"/>
        </w:rPr>
        <w:t>RQ</w:t>
      </w:r>
      <w:r>
        <w:rPr>
          <w:rFonts w:hint="eastAsia" w:ascii="Times New Roman" w:hAnsi="Times New Roman" w:cs="Times New Roman"/>
          <w:sz w:val="24"/>
        </w:rPr>
        <w:t>2</w:t>
      </w:r>
      <w:r>
        <w:rPr>
          <w:rFonts w:ascii="Times New Roman" w:hAnsi="Times New Roman" w:cs="Times New Roman"/>
          <w:sz w:val="24"/>
        </w:rPr>
        <w:t>：注意力头的修剪效应。修剪与大规模激活关联度不同（Top/Bottom）的注意力头，是否会显著影响大规模激活的强度与稳定性</w:t>
      </w:r>
      <w:r>
        <w:rPr>
          <w:rFonts w:hint="eastAsia" w:ascii="Times New Roman" w:hAnsi="Times New Roman" w:cs="Times New Roman"/>
          <w:sz w:val="24"/>
          <w:lang w:eastAsia="zh-CN"/>
        </w:rPr>
        <w:t>？</w:t>
      </w:r>
    </w:p>
    <w:p w14:paraId="4B6C5B6C">
      <w:pPr>
        <w:spacing w:line="400" w:lineRule="exact"/>
        <w:ind w:firstLine="480" w:firstLineChars="200"/>
        <w:rPr>
          <w:rFonts w:hint="eastAsia" w:ascii="Times New Roman" w:hAnsi="Times New Roman" w:cs="Times New Roman" w:eastAsiaTheme="minorEastAsia"/>
          <w:sz w:val="24"/>
          <w:lang w:eastAsia="zh-CN"/>
        </w:rPr>
      </w:pPr>
      <w:r>
        <w:rPr>
          <w:rFonts w:ascii="Times New Roman" w:hAnsi="Times New Roman" w:cs="Times New Roman"/>
          <w:sz w:val="24"/>
        </w:rPr>
        <w:t>RQ</w:t>
      </w:r>
      <w:r>
        <w:rPr>
          <w:rFonts w:hint="eastAsia" w:ascii="Times New Roman" w:hAnsi="Times New Roman" w:cs="Times New Roman"/>
          <w:sz w:val="24"/>
        </w:rPr>
        <w:t>3</w:t>
      </w:r>
      <w:r>
        <w:rPr>
          <w:rFonts w:ascii="Times New Roman" w:hAnsi="Times New Roman" w:cs="Times New Roman"/>
          <w:sz w:val="24"/>
        </w:rPr>
        <w:t>：MLP层的触发效应。MLP层是否是大规模激活的关键生成器，且其内部爆炸点是否集中于Linear2组件</w:t>
      </w:r>
      <w:r>
        <w:rPr>
          <w:rFonts w:hint="eastAsia" w:ascii="Times New Roman" w:hAnsi="Times New Roman" w:cs="Times New Roman"/>
          <w:sz w:val="24"/>
          <w:lang w:eastAsia="zh-CN"/>
        </w:rPr>
        <w:t>？</w:t>
      </w:r>
    </w:p>
    <w:p w14:paraId="16FC2929">
      <w:pPr>
        <w:spacing w:line="400" w:lineRule="exact"/>
        <w:ind w:firstLine="480" w:firstLineChars="200"/>
        <w:rPr>
          <w:rFonts w:hint="eastAsia" w:ascii="Times New Roman" w:hAnsi="Times New Roman" w:cs="Times New Roman" w:eastAsiaTheme="minorEastAsia"/>
          <w:sz w:val="24"/>
          <w:lang w:eastAsia="zh-CN"/>
        </w:rPr>
      </w:pPr>
      <w:r>
        <w:rPr>
          <w:rFonts w:ascii="Times New Roman" w:hAnsi="Times New Roman" w:cs="Times New Roman"/>
          <w:sz w:val="24"/>
        </w:rPr>
        <w:t>RQ</w:t>
      </w:r>
      <w:r>
        <w:rPr>
          <w:rFonts w:hint="eastAsia" w:ascii="Times New Roman" w:hAnsi="Times New Roman" w:cs="Times New Roman"/>
          <w:sz w:val="24"/>
        </w:rPr>
        <w:t>4</w:t>
      </w:r>
      <w:r>
        <w:rPr>
          <w:rFonts w:ascii="Times New Roman" w:hAnsi="Times New Roman" w:cs="Times New Roman"/>
          <w:sz w:val="24"/>
        </w:rPr>
        <w:t>：几何对齐的决定效应。标记的中间激活向量与MLP层W₂矩阵主奇异方向（</w:t>
      </w:r>
      <w:r>
        <w:rPr>
          <w:rFonts w:ascii="Times New Roman" w:hAnsi="Times New Roman" w:cs="Times New Roman"/>
          <w:position w:val="-10"/>
          <w:sz w:val="24"/>
        </w:rPr>
        <w:object>
          <v:shape id="_x0000_i1025" o:spt="75" type="#_x0000_t75" style="height:17pt;width:11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ascii="Times New Roman" w:hAnsi="Times New Roman" w:cs="Times New Roman"/>
          <w:sz w:val="24"/>
        </w:rPr>
        <w:t>）的对齐强度，是否能因果性决定大规模激活的幅度</w:t>
      </w:r>
      <w:r>
        <w:rPr>
          <w:rFonts w:hint="eastAsia" w:ascii="Times New Roman" w:hAnsi="Times New Roman" w:cs="Times New Roman"/>
          <w:sz w:val="24"/>
          <w:lang w:eastAsia="zh-CN"/>
        </w:rPr>
        <w:t>？</w:t>
      </w:r>
    </w:p>
    <w:p w14:paraId="62C3C516">
      <w:pPr>
        <w:spacing w:line="400" w:lineRule="exact"/>
        <w:ind w:firstLine="480" w:firstLineChars="200"/>
        <w:rPr>
          <w:rFonts w:hint="eastAsia" w:ascii="Times New Roman" w:hAnsi="Times New Roman" w:cs="Times New Roman" w:eastAsiaTheme="minorEastAsia"/>
          <w:sz w:val="24"/>
          <w:lang w:eastAsia="zh-CN"/>
        </w:rPr>
      </w:pPr>
      <w:r>
        <w:rPr>
          <w:rFonts w:ascii="Times New Roman" w:hAnsi="Times New Roman" w:cs="Times New Roman"/>
          <w:sz w:val="24"/>
        </w:rPr>
        <w:t>RQ</w:t>
      </w:r>
      <w:r>
        <w:rPr>
          <w:rFonts w:hint="eastAsia" w:ascii="Times New Roman" w:hAnsi="Times New Roman" w:cs="Times New Roman"/>
          <w:sz w:val="24"/>
        </w:rPr>
        <w:t>5</w:t>
      </w:r>
      <w:r>
        <w:rPr>
          <w:rFonts w:ascii="Times New Roman" w:hAnsi="Times New Roman" w:cs="Times New Roman"/>
          <w:sz w:val="24"/>
        </w:rPr>
        <w:t>：词汇类型的适配效应。功能词（无语义链接词）是否因方差集中度、跨语境稳定性等特征，与</w:t>
      </w:r>
      <w:r>
        <w:rPr>
          <w:rFonts w:ascii="Times New Roman" w:hAnsi="Times New Roman" w:cs="Times New Roman"/>
          <w:position w:val="-10"/>
          <w:sz w:val="24"/>
        </w:rPr>
        <w:object>
          <v:shape id="_x0000_i1026" o:spt="75" type="#_x0000_t75" style="height:17pt;width:11pt;" o:ole="t" filled="f" o:preferrelative="t" stroked="f" coordsize="21600,21600">
            <v:path/>
            <v:fill on="f" focussize="0,0"/>
            <v:stroke on="f"/>
            <v:imagedata r:id="rId6" o:title=""/>
            <o:lock v:ext="edit" aspectratio="t"/>
            <w10:wrap type="none"/>
            <w10:anchorlock/>
          </v:shape>
          <o:OLEObject Type="Embed" ProgID="Equation.KSEE3" ShapeID="_x0000_i1026" DrawAspect="Content" ObjectID="_1468075726" r:id="rId7">
            <o:LockedField>false</o:LockedField>
          </o:OLEObject>
        </w:object>
      </w:r>
      <w:r>
        <w:rPr>
          <w:rFonts w:ascii="Times New Roman" w:hAnsi="Times New Roman" w:cs="Times New Roman"/>
          <w:sz w:val="24"/>
        </w:rPr>
        <w:t>形成更强对齐，进而更易触发大规模激活</w:t>
      </w:r>
      <w:r>
        <w:rPr>
          <w:rFonts w:hint="eastAsia" w:ascii="Times New Roman" w:hAnsi="Times New Roman" w:cs="Times New Roman"/>
          <w:sz w:val="24"/>
          <w:lang w:eastAsia="zh-CN"/>
        </w:rPr>
        <w:t>？</w:t>
      </w:r>
    </w:p>
    <w:p w14:paraId="30B795E3">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为了回答这些问题，我们借鉴了 Michel et al. [11] 的剪枝逻辑与 Clark et al. [10] 的注意力分析方法来探究注意力头的作用（RQ1, RQ2）；利用 Dao et al. [7] 的组件禁用思路与 Hao et al. [14] 的矩阵分析技术来定位MLP内部的关键组件（RQ3）；并依托 Lee et al. [15] 的SVD理论与 Pearl [17] 的因果推断框架来检验几何对齐的因果性（RQ4）。同时，我们整合 Petroni et al. [12] 与 Yuan et al. [18] 在功能词表征方面的发现，并参考 Fedus et al. [19] 的模型压缩视角来评估修剪的整体影响（RQ5）。</w:t>
      </w:r>
    </w:p>
    <w:p w14:paraId="0CB473BF">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本研究的实证发现最终颠覆了对巨量激活的传统认知。我们发现，巨量激活并非一种需要消除的模型缺陷或异常，而是MLP层，特别是其第二层的Linear2组件，通过其权重矩阵特有的奇异值分解结构，主动强化语言结构性特征的计算结果。具体而言，该权重矩阵存在一个主导性的奇异方向，其最大奇异值</w:t>
      </w:r>
      <w:r>
        <w:rPr>
          <w:rFonts w:hint="eastAsia" w:ascii="Times New Roman" w:hAnsi="Times New Roman" w:cs="Times New Roman"/>
          <w:position w:val="-10"/>
          <w:sz w:val="24"/>
        </w:rPr>
        <w:object>
          <v:shape id="_x0000_i1027" o:spt="75" type="#_x0000_t75" style="height:17pt;width:13.9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Times New Roman" w:hAnsi="Times New Roman" w:cs="Times New Roman"/>
          <w:sz w:val="24"/>
        </w:rPr>
        <w:t>远高于次大值</w:t>
      </w:r>
      <w:r>
        <w:rPr>
          <w:rFonts w:hint="eastAsia" w:ascii="Times New Roman" w:hAnsi="Times New Roman" w:cs="Times New Roman"/>
          <w:position w:val="-10"/>
          <w:sz w:val="24"/>
        </w:rPr>
        <w:object>
          <v:shape id="_x0000_i1028" o:spt="75" type="#_x0000_t75" style="height:17pt;width:13.95pt;" o:ole="t" filled="f" o:preferrelative="t" stroked="f" coordsize="21600,21600">
            <v:path/>
            <v:fill on="f" focussize="0,0"/>
            <v:stroke on="f"/>
            <v:imagedata r:id="rId9" o:title=""/>
            <o:lock v:ext="edit" aspectratio="t"/>
            <w10:wrap type="none"/>
            <w10:anchorlock/>
          </v:shape>
          <o:OLEObject Type="Embed" ProgID="Equation.KSEE3" ShapeID="_x0000_i1028" DrawAspect="Content" ObjectID="_1468075728" r:id="rId10">
            <o:LockedField>false</o:LockedField>
          </o:OLEObject>
        </w:object>
      </w:r>
      <w:r>
        <w:rPr>
          <w:rFonts w:hint="eastAsia" w:ascii="Times New Roman" w:hAnsi="Times New Roman" w:cs="Times New Roman"/>
          <w:sz w:val="24"/>
        </w:rPr>
        <w:t>/</w:t>
      </w:r>
      <w:r>
        <w:rPr>
          <w:rFonts w:hint="eastAsia" w:ascii="Times New Roman" w:hAnsi="Times New Roman" w:cs="Times New Roman"/>
          <w:position w:val="-10"/>
          <w:sz w:val="24"/>
        </w:rPr>
        <w:object>
          <v:shape id="_x0000_i1029" o:spt="75" type="#_x0000_t75" style="height:17pt;width:15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1">
            <o:LockedField>false</o:LockedField>
          </o:OLEObject>
        </w:object>
      </w:r>
      <w:r>
        <w:rPr>
          <w:rFonts w:hint="eastAsia" w:ascii="Times New Roman" w:hAnsi="Times New Roman" w:cs="Times New Roman"/>
          <w:sz w:val="24"/>
        </w:rPr>
        <w:t xml:space="preserve"> 。功能词的中间激活向量，得益于其固有的方差集中性和跨语境稳定性，与这一主奇异方向形成了统计学上显著更强的几何对齐</w:t>
      </w:r>
      <w:r>
        <w:rPr>
          <w:rFonts w:hint="eastAsia" w:ascii="Times New Roman" w:hAnsi="Times New Roman" w:cs="Times New Roman"/>
          <w:sz w:val="24"/>
          <w:lang w:eastAsia="zh-CN"/>
        </w:rPr>
        <w:t>。</w:t>
      </w:r>
      <w:r>
        <w:rPr>
          <w:rFonts w:hint="eastAsia" w:ascii="Times New Roman" w:hAnsi="Times New Roman" w:cs="Times New Roman"/>
          <w:sz w:val="24"/>
        </w:rPr>
        <w:t>这种对齐关系随后被巨大的</w:t>
      </w:r>
      <w:r>
        <w:rPr>
          <w:rFonts w:hint="eastAsia" w:ascii="Times New Roman" w:hAnsi="Times New Roman" w:cs="Times New Roman"/>
          <w:position w:val="-10"/>
          <w:sz w:val="24"/>
        </w:rPr>
        <w:object>
          <v:shape id="_x0000_i1030" o:spt="75" type="#_x0000_t75" style="height:17pt;width:13.95pt;" o:ole="t" filled="f" o:preferrelative="t" stroked="f" coordsize="21600,21600">
            <v:path/>
            <v:fill on="f" focussize="0,0"/>
            <v:stroke on="f"/>
            <v:imagedata r:id="rId9" o:title=""/>
            <o:lock v:ext="edit" aspectratio="t"/>
            <w10:wrap type="none"/>
            <w10:anchorlock/>
          </v:shape>
          <o:OLEObject Type="Embed" ProgID="Equation.KSEE3" ShapeID="_x0000_i1030" DrawAspect="Content" ObjectID="_1468075730" r:id="rId13">
            <o:LockedField>false</o:LockedField>
          </o:OLEObject>
        </w:object>
      </w:r>
      <w:r>
        <w:rPr>
          <w:rFonts w:hint="eastAsia" w:ascii="Times New Roman" w:hAnsi="Times New Roman" w:cs="Times New Roman"/>
          <w:sz w:val="24"/>
        </w:rPr>
        <w:t>值定向且急剧地放大，最终在输出端表现为观测到的巨量激活 。这一机制不仅为LLM的可解释性研究提供了一条从相关现象到因果机制的完整解释链条，也深刻揭示了神经网络的计算几何与人类语言的语法特性之间存在的精妙适配关系。从应用视角来看，本研究为下一代模型的架构优化如通过调控权重矩阵的奇异值分布来精确控制特征放大效应以及实现更可控、更可靠的文本生成，提供了坚实的理论依据与实证支持。</w:t>
      </w:r>
    </w:p>
    <w:p w14:paraId="7169C943">
      <w:pPr>
        <w:spacing w:before="312" w:beforeLines="100" w:after="312" w:afterLines="100"/>
        <w:jc w:val="center"/>
        <w:rPr>
          <w:rFonts w:ascii="Times New Roman" w:hAnsi="Times New Roman" w:eastAsia="黑体" w:cs="Times New Roman"/>
          <w:sz w:val="30"/>
          <w:szCs w:val="30"/>
        </w:rPr>
      </w:pPr>
      <w:r>
        <w:rPr>
          <w:rFonts w:hint="eastAsia" w:ascii="Times New Roman" w:hAnsi="Times New Roman" w:eastAsia="黑体" w:cs="Times New Roman"/>
          <w:sz w:val="30"/>
          <w:szCs w:val="30"/>
        </w:rPr>
        <w:t>2 Related Work</w:t>
      </w:r>
    </w:p>
    <w:p w14:paraId="49C87D2E">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为了清晰地定位本研究在GPT-2巨量激活机制探索中的位置，并阐明其理论贡献，我们系统地梳理了三大核心研究脉络。这些脉络共同构成了本研究的理论基础：（1）LLM中间层激活的可解释性研究；（2）基于奇异值分解（SVD）的LLM权重矩阵机制分析；（3）LLM对功能词的处理机制。针对每个脉络，我们整合了关键研究成果，精准定位了尚未解决的研究缺口，并明确阐述了本研究是如何弥补这些局限的。</w:t>
      </w:r>
    </w:p>
    <w:p w14:paraId="025AF552">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2.1  LLM 中间层激活可解释性研究</w:t>
      </w:r>
    </w:p>
    <w:p w14:paraId="77596096">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LLM中间层激活的可解释性是破解其语言处理黑箱的核心抓手。普遍观点认为，Transformer的不同层级构成了一个信息处理的瀑布流，底层负责局部句法模式，而高层则专注于全局语义整合 [8]。例如，Tenney et al. [8] 通过对BERT的系统性探针实验，提出了著名的"BERT重新发现了经典NLP流水线"的论断，明确指出其底层（1-4层）优先处理词性标注和句法依赖解析等任务。这一结论随后被拓展至生成式模型GPT-2，Lin et al. [23] 的研究证实，GPT-2的早期层同样专门负责短语结构分析与语法角色分配，这为我们将第2层定位为"激活爆炸核心层"提供了关键的理论依据。</w:t>
      </w:r>
    </w:p>
    <w:p w14:paraId="10515DC2">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在中间层异常激活模式的探索中，两项奠基性工作为本研究奠定了基础。Dao et al. [10] 于2024年首次在LLaMA与GPT-2中明确观测并定义了"巨量激活"现象，他们发现部分特征维度的激活值可达中位数的300-3000倍，且高度集中于功能词。该研究的里程碑意义在于将极端激活与词汇的语言学功能强关联，而非简单归咎于随机噪声或训练不稳定性。然而，其分析仍主要停留在现象描述层面，未能精确定位具体的生成模块（是注意力层还是MLP层），也未能揭示其背后精确的数学机制。另一项来自Schrimpf et al. [11] 的研究则从认知科学的角度提供了佐证，他们发现LLM的中间层激活模式与人类大脑对句法合法性的判断高度一致，这强烈暗示极端激活可能与语言的核心计算结构相关。尽管如此，该研究侧重于激活模式与外部行为的相关性，并未深入探究驱动激活强度本身的因果机制。</w:t>
      </w:r>
    </w:p>
    <w:p w14:paraId="43AE222E">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近期，可解释性研究正从相关性分析转向因果机制发现。Meng et al. [24] 提出的知识编辑框架，通过定位和修改MLP层中特定的知识神经元，间接证明了MLP层是事实知识存储和激活的关键位置。这为MLP层作为强特征（包括句法特征）的"发生器"而非"传递者"提供了旁证。Conmy et al. [25] 开发的自动化电路发现工具，进一步推动了对模型中特定计算子结构或电路的识别。这些工作共同指向一个结论：理解LLM的内部工作机制，需要精确到具体组件及其交互。我们的研究正是在此脉络下，将目标从"描述巨量激活与什么相关"提升至"解释巨量激活由何产生以及如何产生"，通过严格的因果干预实验，填补了从现象观测到机制阐释的关键空白。</w:t>
      </w:r>
    </w:p>
    <w:p w14:paraId="75407A26">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8"/>
          <w:szCs w:val="28"/>
        </w:rPr>
      </w:pPr>
      <w:r>
        <w:rPr>
          <w:rFonts w:hint="eastAsia" w:ascii="Times New Roman" w:hAnsi="Times New Roman" w:eastAsia="黑体" w:cs="Times New Roman"/>
          <w:sz w:val="28"/>
          <w:szCs w:val="28"/>
        </w:rPr>
        <w:t>2.2 基于奇异值分解（SVD）的 LLM 权重矩阵机制分析</w:t>
      </w:r>
    </w:p>
    <w:p w14:paraId="37BEF149">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奇异值分解（SVD）作为一种强大的矩阵分析工具，因其能够将复杂的权重矩阵分解为可解释的"方向"与"放大因子"组件，已成为解析LLM内部表征的核心数学语言 [16]。早期研究主要聚焦于注意力权重矩阵的分析。Hao et al. [16] 在2021年的工作中对Transformer的注意力头进行SVD分析，发现其第一左奇异向量与句法依存树中的关键关系（如主谓一致）高度相关，这初步证实了SVD在揭示权重矩阵中嵌入的语言结构方面具有独特优势。然而，该研究未能将SVD拓展至MLP层，错失了对激活生成机制，而不仅仅是选择机制的关键解析。</w:t>
      </w:r>
    </w:p>
    <w:p w14:paraId="512892D7">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随着研究的深入，学者们逐渐将目光投向MLP层的权重矩阵，但多数工作的初始动机是模型压缩与效率优化，而非机制解释。Yuan et al. [21] 提出的激活感知SVD（ASVD）方法，在截断MLP层低幅度奇异值以压缩模型的同时，发现需要保留主要的奇异方向以维持模型性能。这间接表明，MLP层的主要奇异方向承载了重要的语言处理功能。类似地，SVD-LLM压缩框架 [26] 也观察到，权重矩阵的奇异值分布具有长尾特性，主导奇异值对模型能力至关重要。然而，这些研究的核心目标是工程性的压缩，因此未能深入探讨这些奇异方向究竟对应何种语言特征，以及它们如何参与并放大特定类型的激活。</w:t>
      </w:r>
    </w:p>
    <w:p w14:paraId="3BDAA32F">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在理论层面，Lee and Seung [17] 关于非负矩阵分解的开创性工作早已表明，矩阵的主成分能够捕捉数据中最显著的模式。虽然该研究早于LLM时代，但其思想为理解权重矩阵的"特征放大"能力提供了数学基础。在LLM语境下，Bau et al. [27] 的研究进一步证明，通过识别并干预GAN和Transformer激活空间中的重要方向，可以实现对生成内容的可控编辑。这为"权重矩阵的奇异方向具有明确的语义或功能对应关系"提供了实验支持。</w:t>
      </w:r>
    </w:p>
    <w:p w14:paraId="578FCEDC">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然而，现有的SVD分析在应用于LLM时存在两个显著的研究缺口：首先，它们普遍忽视了MLP层中第二层线性变换（Linear2, W₂）的右奇异矩阵的语义。我们的研究证实，该矩阵的主奇异方向（</w:t>
      </w:r>
      <w:r>
        <w:rPr>
          <w:rFonts w:hint="eastAsia" w:ascii="Times New Roman" w:hAnsi="Times New Roman" w:cs="Times New Roman"/>
          <w:position w:val="-10"/>
          <w:sz w:val="24"/>
        </w:rPr>
        <w:object>
          <v:shape id="_x0000_i1031" o:spt="75" type="#_x0000_t75" style="height:17pt;width:11pt;" o:ole="t" filled="f" o:preferrelative="t" stroked="f" coordsize="21600,21600">
            <v:path/>
            <v:fill on="f" focussize="0,0"/>
            <v:stroke on="f"/>
            <v:imagedata r:id="rId15" o:title=""/>
            <o:lock v:ext="edit" aspectratio="t"/>
            <w10:wrap type="none"/>
            <w10:anchorlock/>
          </v:shape>
          <o:OLEObject Type="Embed" ProgID="Equation.KSEE3" ShapeID="_x0000_i1031" DrawAspect="Content" ObjectID="_1468075731" r:id="rId14">
            <o:LockedField>false</o:LockedField>
          </o:OLEObject>
        </w:object>
      </w:r>
      <w:r>
        <w:rPr>
          <w:rFonts w:hint="eastAsia" w:ascii="Times New Roman" w:hAnsi="Times New Roman" w:cs="Times New Roman"/>
          <w:sz w:val="24"/>
        </w:rPr>
        <w:t>）是功能词激活向量对齐的几何核心。其次，目前尚无研究将SVD分解得到的主方向（</w:t>
      </w:r>
      <w:r>
        <w:rPr>
          <w:rFonts w:hint="eastAsia" w:ascii="Times New Roman" w:hAnsi="Times New Roman" w:cs="Times New Roman"/>
          <w:position w:val="-10"/>
          <w:sz w:val="24"/>
        </w:rPr>
        <w:object>
          <v:shape id="_x0000_i1032" o:spt="75" type="#_x0000_t75" style="height:17pt;width:11pt;" o:ole="t" filled="f" o:preferrelative="t" stroked="f" coordsize="21600,21600">
            <v:path/>
            <v:fill on="f" focussize="0,0"/>
            <v:stroke on="f"/>
            <v:imagedata r:id="rId17" o:title=""/>
            <o:lock v:ext="edit" aspectratio="t"/>
            <w10:wrap type="none"/>
            <w10:anchorlock/>
          </v:shape>
          <o:OLEObject Type="Embed" ProgID="Equation.KSEE3" ShapeID="_x0000_i1032" DrawAspect="Content" ObjectID="_1468075732" r:id="rId16">
            <o:LockedField>false</o:LockedField>
          </o:OLEObject>
        </w:object>
      </w:r>
      <w:r>
        <w:rPr>
          <w:rFonts w:hint="eastAsia" w:ascii="Times New Roman" w:hAnsi="Times New Roman" w:cs="Times New Roman"/>
          <w:sz w:val="24"/>
        </w:rPr>
        <w:t>）与奇异值（</w:t>
      </w:r>
      <w:r>
        <w:rPr>
          <w:rFonts w:hint="eastAsia" w:ascii="Times New Roman" w:hAnsi="Times New Roman" w:cs="Times New Roman"/>
          <w:position w:val="-10"/>
          <w:sz w:val="24"/>
        </w:rPr>
        <w:object>
          <v:shape id="_x0000_i1033" o:spt="75" type="#_x0000_t75" style="height:17pt;width:13.95pt;" o:ole="t" filled="f" o:preferrelative="t" stroked="f" coordsize="21600,21600">
            <v:path/>
            <v:fill on="f" focussize="0,0"/>
            <v:stroke on="f"/>
            <v:imagedata r:id="rId19" o:title=""/>
            <o:lock v:ext="edit" aspectratio="t"/>
            <w10:wrap type="none"/>
            <w10:anchorlock/>
          </v:shape>
          <o:OLEObject Type="Embed" ProgID="Equation.KSEE3" ShapeID="_x0000_i1033" DrawAspect="Content" ObjectID="_1468075733" r:id="rId18">
            <o:LockedField>false</o:LockedField>
          </o:OLEObject>
        </w:object>
      </w:r>
      <w:r>
        <w:rPr>
          <w:rFonts w:hint="eastAsia" w:ascii="Times New Roman" w:hAnsi="Times New Roman" w:cs="Times New Roman"/>
          <w:sz w:val="24"/>
        </w:rPr>
        <w:t>）进行联动，以因果性地解释观测到的巨量激活强度。本文的研究通过构建“对齐-放大”的因果链，填补了这一理论空白，将SVD从一种描述性工具提升为解释性模型。</w:t>
      </w:r>
    </w:p>
    <w:p w14:paraId="65A8217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2.3 LLM 对</w:t>
      </w:r>
      <w:r>
        <w:rPr>
          <w:rFonts w:hint="eastAsia" w:ascii="Times New Roman" w:hAnsi="Times New Roman" w:eastAsia="黑体" w:cs="Times New Roman"/>
          <w:sz w:val="28"/>
          <w:szCs w:val="28"/>
          <w:lang w:val="en-US" w:eastAsia="zh-CN"/>
        </w:rPr>
        <w:t>无语义链接词</w:t>
      </w:r>
      <w:r>
        <w:rPr>
          <w:rFonts w:hint="eastAsia" w:ascii="Times New Roman" w:hAnsi="Times New Roman" w:eastAsia="黑体" w:cs="Times New Roman"/>
          <w:sz w:val="28"/>
          <w:szCs w:val="28"/>
        </w:rPr>
        <w:t>的处理机制</w:t>
      </w:r>
    </w:p>
    <w:p w14:paraId="68409EAF">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功能词（如"the"、"of"、"and"）因其极高的出现频率和在句子中构筑语法框架的核心作用，必然是语言模型学习的重要目标。作为巨量激活的主要触发者，功能词的处理机制长期是LLM可解释性研究的焦点 [15]。现有研究可大致分为两个方向。</w:t>
      </w:r>
    </w:p>
    <w:p w14:paraId="41869190">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第一个方向关注功能词语义表征的稳定性。Petroni et al. [15] 的一项奠基性发现表明，LLM对功能词的嵌入向量具有显著的跨语境稳定性。例如，"the"在"the cat"与"the book"不同语境中的嵌入向量余弦相似度可高达0.85以上，而内容词（如"cat"和"book"）的嵌入则因语境不同而产生显著差异（相似度通常低于0.52）。这一发现揭示了功能词在模型词汇空间中占据着独特且稳固的位置。然而，该研究仅分析了静态的输入嵌入，未能揭示这些稳定的初始向量在模型的中间层是如何通过计算被转化为极端激活的。</w:t>
      </w:r>
    </w:p>
    <w:p w14:paraId="6AA34F43">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第二个方向则致力于发现负责处理功能词的特定神经元或网络组件。Jawahar et al. [28] 通过分析BERT的隐藏状态，发现功能词会强烈激活一批专门负责检测句法角色（如限定词、介词）的神经元。Hewitt and Manning [29] 利用结构探针实验证实，BERT的底层表征能够有效地重构句法依存树，而功能词在其中扮演了结构支点的角色。这些研究有力地证明了LLMs确实在其内部发展出了对句法结构的敏感性和编码能力。</w:t>
      </w:r>
    </w:p>
    <w:p w14:paraId="5F51D5E9">
      <w:pPr>
        <w:spacing w:line="400" w:lineRule="exact"/>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尽管上述研究卓有成效，但它们大多将功能词的处理视为一个相对孤立的现象——要么关注其表征稳定性，要么定位其激活的神经元。目前的研究存在一个明显的理论断层：未能将功能词固有的表征特性（如稳定性、方差集中性）与MLP层权重矩阵的几何结构以及其强大的特征放大能力关联起来。具体而言，尚无研究能够量化地回答：为何功能词比内容词更容易触发极端激活？</w:t>
      </w:r>
    </w:p>
    <w:p w14:paraId="22DB895D">
      <w:pPr>
        <w:spacing w:line="400" w:lineRule="exact"/>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本研究通过引入“功能词激活向量与MLP层Linear2矩阵主奇异方向的对齐分析”框架，系统地回答了这一问题。我们不是将功能词处理视为孤立事件，而是将其置于整个前向传播的计算图中进行考察。我们提出并验证了一个完整的因果链：功能词因其在训练数据中的分布特性和语法功能，使其中间激活向量具备方差集中度高和跨语境稳定性强的内在属性；这些属性导致其与MLP层中负责句法结构放大的主导奇异方向（</w:t>
      </w:r>
      <w:r>
        <w:rPr>
          <w:rFonts w:hint="eastAsia" w:ascii="Times New Roman" w:hAnsi="Times New Roman" w:cs="Times New Roman"/>
          <w:position w:val="-10"/>
          <w:sz w:val="24"/>
          <w:lang w:eastAsia="zh-CN"/>
        </w:rPr>
        <w:object>
          <v:shape id="_x0000_i1034" o:spt="75" type="#_x0000_t75" style="height:17pt;width:11pt;" o:ole="t" filled="f" o:preferrelative="t" stroked="f" coordsize="21600,21600">
            <v:path/>
            <v:fill on="f" focussize="0,0"/>
            <v:stroke on="f"/>
            <v:imagedata r:id="rId21" o:title=""/>
            <o:lock v:ext="edit" aspectratio="t"/>
            <w10:wrap type="none"/>
            <w10:anchorlock/>
          </v:shape>
          <o:OLEObject Type="Embed" ProgID="Equation.KSEE3" ShapeID="_x0000_i1034" DrawAspect="Content" ObjectID="_1468075734" r:id="rId20">
            <o:LockedField>false</o:LockedField>
          </o:OLEObject>
        </w:object>
      </w:r>
      <w:r>
        <w:rPr>
          <w:rFonts w:hint="eastAsia" w:ascii="Times New Roman" w:hAnsi="Times New Roman" w:cs="Times New Roman"/>
          <w:sz w:val="24"/>
          <w:lang w:eastAsia="zh-CN"/>
        </w:rPr>
        <w:t>） 形成更强的几何对齐；这种对齐关系最终通过该方向上的巨大奇异值（</w:t>
      </w:r>
      <w:r>
        <w:rPr>
          <w:rFonts w:hint="eastAsia" w:ascii="Times New Roman" w:hAnsi="Times New Roman" w:cs="Times New Roman"/>
          <w:position w:val="-10"/>
          <w:sz w:val="24"/>
          <w:lang w:eastAsia="zh-CN"/>
        </w:rPr>
        <w:object>
          <v:shape id="_x0000_i1035" o:spt="75" type="#_x0000_t75" style="height:17pt;width:13.95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5" r:id="rId22">
            <o:LockedField>false</o:LockedField>
          </o:OLEObject>
        </w:object>
      </w:r>
      <w:r>
        <w:rPr>
          <w:rFonts w:hint="eastAsia" w:ascii="Times New Roman" w:hAnsi="Times New Roman" w:cs="Times New Roman"/>
          <w:sz w:val="24"/>
          <w:lang w:eastAsia="zh-CN"/>
        </w:rPr>
        <w:t>） 被定向放大，从而触发观测到的巨量激活。通过这一“四维度分析”框架，本研究弥补了现有研究在连接词汇表征、矩阵几何与激活现象之间的理论断层，对无语义链接词的处理机制进行了系统性、根源性的阐释。</w:t>
      </w:r>
    </w:p>
    <w:p w14:paraId="705CD2D4">
      <w:pPr>
        <w:spacing w:line="400" w:lineRule="exact"/>
        <w:ind w:firstLine="480" w:firstLineChars="200"/>
        <w:rPr>
          <w:rFonts w:hint="eastAsia" w:ascii="Times New Roman" w:hAnsi="Times New Roman" w:cs="Times New Roman"/>
          <w:sz w:val="24"/>
          <w:lang w:eastAsia="zh-CN"/>
        </w:rPr>
      </w:pPr>
    </w:p>
    <w:p w14:paraId="22ADF203">
      <w:pPr>
        <w:spacing w:before="312" w:beforeLines="100" w:after="312" w:afterLines="10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3 METHODOLOGY</w:t>
      </w:r>
    </w:p>
    <w:p w14:paraId="062A1BCF">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3.1实验设置</w:t>
      </w:r>
    </w:p>
    <w:p w14:paraId="187988F4">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szCs w:val="24"/>
        </w:rPr>
      </w:pPr>
      <w:r>
        <w:rPr>
          <w:rFonts w:hint="eastAsia" w:ascii="Times New Roman" w:hAnsi="Times New Roman" w:eastAsia="黑体" w:cs="Times New Roman"/>
          <w:sz w:val="24"/>
          <w:szCs w:val="24"/>
        </w:rPr>
        <w:t>3.1.1 模型选择</w:t>
      </w:r>
    </w:p>
    <w:p w14:paraId="0987A753">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本研究选择OpenAI发布的GPT-2小型版本作为核心研究对象。该模型采用经典的12层Transformer解码器架构，隐藏层维度为768，共计1.24亿参数。选择该模型主要基于以下三点考量：首先，其架构是后续诸多大型语言模型的基础，研究成果具有广泛的代表性和可迁移性；其次，该模型开源可用，预训练权重易于获取，确保了实验过程的高度透明与结果的可复现性；最后，GPT-2在语言模型可解释性研究领域已被广泛采用，使得本工作的实验结果能够与现有文献进行直接、有效的对比。所有实验均基于Hugging Face transformers库提供的预训练权重（gpt2标识符）进行，未对模型进行任何形式的微调，以保持其原始预训练状态下的内部激活特性，避免下游任务适配对观测目标的干扰。</w:t>
      </w:r>
    </w:p>
    <w:p w14:paraId="342AD4D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szCs w:val="24"/>
        </w:rPr>
      </w:pPr>
      <w:r>
        <w:rPr>
          <w:rFonts w:hint="eastAsia" w:ascii="Times New Roman" w:hAnsi="Times New Roman" w:eastAsia="黑体" w:cs="Times New Roman"/>
          <w:sz w:val="24"/>
          <w:szCs w:val="24"/>
        </w:rPr>
        <w:t>3.1.2 数据收集</w:t>
      </w:r>
    </w:p>
    <w:p w14:paraId="44BB4E8F">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实验数据来源于WikiText-103语言建模数据集。我们从中随机抽取了10万句覆盖科技、人文、自然科学等多个领域的英文文本，构成核心实验语料。此数据规模足以保证统计显著性，其语言分布与GPT-2的预训练数据相似，确保了观测到的激活模式能够反映模型在自然语言上的真实行为。为精确回答词汇类型相关的研究问题（RQ5），我们对所有文本标记进行了细致的分类标注，构建了两组对比样本：</w:t>
      </w:r>
    </w:p>
    <w:p w14:paraId="75F0FB35">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功能词：涵盖冠词（the、a、an）、介词（of、in、on）、连词（and、or、but）等无语义链接词，累计 12,116 个观测值；</w:t>
      </w:r>
    </w:p>
    <w:p w14:paraId="38E20D93">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内容词：包含名词（dog、tree）、动词（run、study）、形容词（happy、important）等具有明确语义的词汇，累计 18,604 个观测值。</w:t>
      </w:r>
    </w:p>
    <w:p w14:paraId="7AD09B75">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数据预处理阶段，我们执行了标准化流程：将所有文本统一转换为小写，标准化标点符号周围的空格，并移除冗余空格。针对GPT-2采用的字节对编码（BPE）分词方式，我们对分词后的结果进行了处理，确保标记的准确识别。此外，我们过滤掉了分词后长度小于3个标记的短句（占比低于1.2%），以消除因标记过短可能导致的激活信号不完整或失真问题。</w:t>
      </w:r>
    </w:p>
    <w:p w14:paraId="64540D2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szCs w:val="24"/>
        </w:rPr>
      </w:pPr>
      <w:r>
        <w:rPr>
          <w:rFonts w:hint="eastAsia" w:ascii="Times New Roman" w:hAnsi="Times New Roman" w:eastAsia="黑体" w:cs="Times New Roman"/>
          <w:sz w:val="24"/>
          <w:szCs w:val="24"/>
        </w:rPr>
        <w:t>3.1.3 工具与环境</w:t>
      </w:r>
    </w:p>
    <w:p w14:paraId="4A18306F">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所有实验均在Python 3.12环境下实现。核心计算库包括：PyTorch 2.9.0（用于模型加载、前向传播计算及钩子函数管理）、NumPy（用于高效的矩阵运算与SVD分解）、SciPy与Scikit-learn（用于执行统计检验）。结果可视化则通过Matplotlib和Seaborn库完成。</w:t>
      </w:r>
    </w:p>
    <w:p w14:paraId="1D06E845">
      <w:pPr>
        <w:spacing w:line="400" w:lineRule="exact"/>
        <w:rPr>
          <w:rFonts w:ascii="Times New Roman" w:hAnsi="Times New Roman" w:cs="Times New Roman"/>
          <w:sz w:val="24"/>
        </w:rPr>
      </w:pPr>
    </w:p>
    <w:p w14:paraId="2D095FA8">
      <w:pPr>
        <w:spacing w:line="400" w:lineRule="exact"/>
        <w:rPr>
          <w:rFonts w:ascii="Times New Roman" w:hAnsi="Times New Roman" w:cs="Times New Roman"/>
          <w:sz w:val="24"/>
        </w:rPr>
      </w:pPr>
    </w:p>
    <w:p w14:paraId="5BA7798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3.2实验设计与流程</w:t>
      </w:r>
    </w:p>
    <w:p w14:paraId="42EE5DE0">
      <w:pPr>
        <w:spacing w:line="400" w:lineRule="exact"/>
        <w:ind w:left="120" w:firstLine="480" w:firstLineChars="200"/>
        <w:rPr>
          <w:rFonts w:ascii="Times New Roman" w:hAnsi="Times New Roman" w:cs="Times New Roman"/>
          <w:sz w:val="24"/>
        </w:rPr>
      </w:pPr>
      <w:r>
        <w:rPr>
          <w:rFonts w:hint="eastAsia" w:ascii="Times New Roman" w:hAnsi="Times New Roman" w:cs="Times New Roman"/>
          <w:sz w:val="24"/>
        </w:rPr>
        <w:t>本研究围绕 5 个核心研究问题（RQ1-RQ5）设计递进式实验流程，所有实验方案、变量控制与评估标准均严格依据 GitHub 仓库公开的 Exp1-Exp5 实验逻辑，确保与原始研究设计一致。</w:t>
      </w:r>
    </w:p>
    <w:p w14:paraId="4D9443CC">
      <w:pPr>
        <w:spacing w:line="400" w:lineRule="exact"/>
        <w:rPr>
          <w:rFonts w:ascii="Times New Roman" w:hAnsi="Times New Roman" w:cs="Times New Roman"/>
          <w:sz w:val="24"/>
        </w:rPr>
      </w:pPr>
    </w:p>
    <w:p w14:paraId="4BF9D8C1">
      <w:pPr>
        <w:spacing w:line="400" w:lineRule="exact"/>
        <w:rPr>
          <w:rFonts w:ascii="Times New Roman" w:hAnsi="Times New Roman" w:cs="Times New Roman"/>
          <w:sz w:val="24"/>
        </w:rPr>
      </w:pPr>
      <w:r>
        <w:rPr>
          <w:rFonts w:hint="eastAsia" w:ascii="Times New Roman" w:hAnsi="Times New Roman" w:cs="Times New Roman"/>
          <w:sz w:val="24"/>
        </w:rPr>
        <w:t xml:space="preserve"> RQ1：注意力头的生成效应验证实验</w:t>
      </w:r>
    </w:p>
    <w:p w14:paraId="3FC6EB7E">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实验旨在检验注意力头是否为巨量激活的核心生成来源。我们采用了全注意力头禁用对比法。基准组保持模型所有144个注意力头正常激活；实验组则通过将所有注意力层的输出张量置零来完全禁用注意力机制，同时保持MLP层、残差连接与LayerNorm组件正常工作。在严格控制变量的前提下，我们对比了两组实验中关键维度（如Dim 447, Dim 138）激活峰值及跨层Top1激活值的变化率。我们设定，若所有关键指标的变化率均低于1%，则可在统计意义上判定注意力头非核心生成源。该设计借鉴了Michel et al. [14]的剪枝逻辑，旨在分离注意力机制与MLP层在激活生成中的贡献。这一方法论的创新之处在于完全解耦了注意力机制与MLP层的功能，为后续实验奠定了坚实基础。</w:t>
      </w:r>
    </w:p>
    <w:p w14:paraId="0E58FAFC">
      <w:pPr>
        <w:spacing w:line="400" w:lineRule="exact"/>
        <w:rPr>
          <w:rFonts w:hint="eastAsia" w:ascii="Times New Roman" w:hAnsi="Times New Roman" w:cs="Times New Roman"/>
          <w:sz w:val="24"/>
        </w:rPr>
      </w:pPr>
    </w:p>
    <w:p w14:paraId="4D610C89">
      <w:pPr>
        <w:spacing w:line="400" w:lineRule="exact"/>
        <w:rPr>
          <w:rFonts w:ascii="Times New Roman" w:hAnsi="Times New Roman" w:cs="Times New Roman"/>
          <w:sz w:val="24"/>
        </w:rPr>
      </w:pPr>
      <w:r>
        <w:rPr>
          <w:rFonts w:hint="eastAsia" w:ascii="Times New Roman" w:hAnsi="Times New Roman" w:cs="Times New Roman"/>
          <w:sz w:val="24"/>
        </w:rPr>
        <w:t>RQ2：注意力头修剪效应测试实验</w:t>
      </w:r>
    </w:p>
    <w:p w14:paraId="7369B0C1">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实验进一步探究了修剪不同关联度的注意力头对巨量激活强度与稳定性的影响。我们首先通过滑动窗口法计算每个注意力头对巨量激活标记（首token）的平均注意力得分，并据此筛选出Top10高关联头与Bottom5低关联头。实验设置了三组对比：对照组（全头保留）、实验组1（修剪Top10头）、实验组2（修剪Bottom5头）。我们综合评估了修剪操作对激活强度、激活稳定性及模型整体困惑度的影响，采用单因素方差分析（ANOVA）和Tukey HSD事后检验来量化不同修剪策略的效果差异。此设计参考了Clark et al. [13]和Fedus et al. [22]在注意力头功能分析中的思路。通过这种精细化的分层修剪策略，我们能够深入探究不同功能类型的注意力头在巨量激活现象中的具体作用机制。</w:t>
      </w:r>
    </w:p>
    <w:p w14:paraId="73A2B78F">
      <w:pPr>
        <w:spacing w:line="400" w:lineRule="exact"/>
        <w:rPr>
          <w:rFonts w:hint="eastAsia" w:ascii="Times New Roman" w:hAnsi="Times New Roman" w:cs="Times New Roman"/>
          <w:sz w:val="24"/>
        </w:rPr>
      </w:pPr>
    </w:p>
    <w:p w14:paraId="4FC37E94">
      <w:pPr>
        <w:spacing w:line="400" w:lineRule="exact"/>
        <w:rPr>
          <w:rFonts w:ascii="Times New Roman" w:hAnsi="Times New Roman" w:cs="Times New Roman"/>
          <w:sz w:val="24"/>
        </w:rPr>
      </w:pPr>
      <w:r>
        <w:rPr>
          <w:rFonts w:hint="eastAsia" w:ascii="Times New Roman" w:hAnsi="Times New Roman" w:cs="Times New Roman"/>
          <w:sz w:val="24"/>
        </w:rPr>
        <w:t xml:space="preserve"> RQ3：MLP 层触发定位实验</w:t>
      </w:r>
    </w:p>
    <w:p w14:paraId="0A238DCE">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 xml:space="preserve">实验旨在确认MLP层为巨量激活的关键生成器，并精确定位其内部的激活爆炸点。实验分两步进行：首先，我们采用全MLP层禁用实验，对比基准组与实验组（所有MLP层输出置零）的激活衰减率，以确认MLP层的整体贡献。随后，我们聚焦于关键的第2层MLP，采用梯度停止式阻断方法，依次拦截其内部组件（Linear1, GELU, Linear2）的信号流，并在4个预设检查点（MLP输入、Linear1输出、GELU输出、Linear2输出）追踪激活值的变化。通过量化各环节的激活增长幅度，精确识别MLP内部的激活爆炸点。该组件级别的隔离分析，深化了Dao et al. [10]和Geva et al. [18]关于MLP层作为"键值记忆"网络的研究。这种从宏观到微观的分析思路，使我们能够建立起从现象观测到机制定位的完整证据链。 </w:t>
      </w:r>
    </w:p>
    <w:p w14:paraId="7FE453BB">
      <w:pPr>
        <w:spacing w:line="400" w:lineRule="exact"/>
        <w:rPr>
          <w:rFonts w:hint="eastAsia" w:ascii="Times New Roman" w:hAnsi="Times New Roman" w:cs="Times New Roman"/>
          <w:sz w:val="24"/>
        </w:rPr>
      </w:pPr>
    </w:p>
    <w:p w14:paraId="50074F8E">
      <w:pPr>
        <w:spacing w:line="400" w:lineRule="exact"/>
        <w:rPr>
          <w:rFonts w:ascii="Times New Roman" w:hAnsi="Times New Roman" w:cs="Times New Roman"/>
          <w:sz w:val="24"/>
        </w:rPr>
      </w:pPr>
      <w:r>
        <w:rPr>
          <w:rFonts w:hint="eastAsia" w:ascii="Times New Roman" w:hAnsi="Times New Roman" w:cs="Times New Roman"/>
          <w:sz w:val="24"/>
        </w:rPr>
        <w:t>RQ4：几何对齐因果性验证实验</w:t>
      </w:r>
    </w:p>
    <w:p w14:paraId="0724950D">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实验的核心在于验证中间激活向量与MLP层Linear2权重矩阵（W₂）主奇异方向（</w:t>
      </w:r>
      <w:r>
        <w:rPr>
          <w:rFonts w:hint="eastAsia" w:ascii="Times New Roman" w:hAnsi="Times New Roman" w:cs="Times New Roman"/>
          <w:position w:val="-10"/>
          <w:sz w:val="24"/>
        </w:rPr>
        <w:object>
          <v:shape id="_x0000_i1036" o:spt="75" type="#_x0000_t75" style="height:17pt;width:11pt;" o:ole="t" filled="f" o:preferrelative="t" stroked="f" coordsize="21600,21600">
            <v:path/>
            <v:fill on="f" focussize="0,0"/>
            <v:stroke on="f"/>
            <v:imagedata r:id="rId25" o:title=""/>
            <o:lock v:ext="edit" aspectratio="t"/>
            <w10:wrap type="none"/>
            <w10:anchorlock/>
          </v:shape>
          <o:OLEObject Type="Embed" ProgID="Equation.KSEE3" ShapeID="_x0000_i1036" DrawAspect="Content" ObjectID="_1468075736" r:id="rId24">
            <o:LockedField>false</o:LockedField>
          </o:OLEObject>
        </w:object>
      </w:r>
      <w:r>
        <w:rPr>
          <w:rFonts w:hint="eastAsia" w:ascii="Times New Roman" w:hAnsi="Times New Roman" w:cs="Times New Roman"/>
          <w:sz w:val="24"/>
        </w:rPr>
        <w:t>）的对齐强度，是否能因果性地决定巨量激活的幅度。 我们构建了"相关性验证→因果性干预"的双重逻辑。首先，对W₂矩阵进行奇异值分解（SVD），提取主奇异方向</w:t>
      </w:r>
      <w:r>
        <w:rPr>
          <w:rFonts w:hint="eastAsia" w:ascii="Times New Roman" w:hAnsi="Times New Roman" w:cs="Times New Roman"/>
          <w:position w:val="-10"/>
          <w:sz w:val="24"/>
        </w:rPr>
        <w:object>
          <v:shape id="_x0000_i1037" o:spt="75" type="#_x0000_t75" style="height:17pt;width:11pt;" o:ole="t" filled="f" o:preferrelative="t" stroked="f" coordsize="21600,21600">
            <v:path/>
            <v:fill on="f" focussize="0,0"/>
            <v:stroke on="f"/>
            <v:imagedata r:id="rId25" o:title=""/>
            <o:lock v:ext="edit" aspectratio="t"/>
            <w10:wrap type="none"/>
            <w10:anchorlock/>
          </v:shape>
          <o:OLEObject Type="Embed" ProgID="Equation.KSEE3" ShapeID="_x0000_i1037" DrawAspect="Content" ObjectID="_1468075737" r:id="rId26">
            <o:LockedField>false</o:LockedField>
          </o:OLEObject>
        </w:object>
      </w:r>
      <w:r>
        <w:rPr>
          <w:rFonts w:hint="eastAsia" w:ascii="Times New Roman" w:hAnsi="Times New Roman" w:cs="Times New Roman"/>
          <w:sz w:val="24"/>
        </w:rPr>
        <w:t>和最大奇异值</w:t>
      </w:r>
      <w:r>
        <w:rPr>
          <w:rFonts w:hint="eastAsia" w:ascii="Times New Roman" w:hAnsi="Times New Roman" w:cs="Times New Roman"/>
          <w:position w:val="-10"/>
          <w:sz w:val="24"/>
        </w:rPr>
        <w:object>
          <v:shape id="_x0000_i1038" o:spt="75" type="#_x0000_t75" style="height:17pt;width:13.95pt;" o:ole="t" filled="f" o:preferrelative="t" stroked="f" coordsize="21600,21600">
            <v:path/>
            <v:fill on="f" focussize="0,0"/>
            <v:stroke on="f"/>
            <v:imagedata r:id="rId28" o:title=""/>
            <o:lock v:ext="edit" aspectratio="t"/>
            <w10:wrap type="none"/>
            <w10:anchorlock/>
          </v:shape>
          <o:OLEObject Type="Embed" ProgID="Equation.KSEE3" ShapeID="_x0000_i1038" DrawAspect="Content" ObjectID="_1468075738" r:id="rId27">
            <o:LockedField>false</o:LockedField>
          </o:OLEObject>
        </w:object>
      </w:r>
      <w:r>
        <w:rPr>
          <w:rFonts w:hint="eastAsia" w:ascii="Times New Roman" w:hAnsi="Times New Roman" w:cs="Times New Roman"/>
          <w:sz w:val="24"/>
        </w:rPr>
        <w:t>。通过计算每个标记的中间激活向量</w:t>
      </w:r>
      <w:r>
        <w:rPr>
          <w:rFonts w:hint="eastAsia" w:ascii="Times New Roman" w:hAnsi="Times New Roman" w:cs="Times New Roman"/>
          <w:position w:val="-10"/>
          <w:sz w:val="24"/>
        </w:rPr>
        <w:object>
          <v:shape id="_x0000_i1039" o:spt="75" type="#_x0000_t75" style="height:17pt;width:13pt;" o:ole="t" filled="f" o:preferrelative="t" stroked="f" coordsize="21600,21600">
            <v:path/>
            <v:fill on="f" focussize="0,0"/>
            <v:stroke on="f"/>
            <v:imagedata r:id="rId30" o:title=""/>
            <o:lock v:ext="edit" aspectratio="t"/>
            <w10:wrap type="none"/>
            <w10:anchorlock/>
          </v:shape>
          <o:OLEObject Type="Embed" ProgID="Equation.KSEE3" ShapeID="_x0000_i1039" DrawAspect="Content" ObjectID="_1468075739" r:id="rId29">
            <o:LockedField>false</o:LockedField>
          </o:OLEObject>
        </w:object>
      </w:r>
      <w:r>
        <w:rPr>
          <w:rFonts w:hint="eastAsia" w:ascii="Times New Roman" w:hAnsi="Times New Roman" w:cs="Times New Roman"/>
          <w:sz w:val="24"/>
        </w:rPr>
        <w:t>与</w:t>
      </w:r>
      <w:r>
        <w:rPr>
          <w:rFonts w:hint="eastAsia" w:ascii="Times New Roman" w:hAnsi="Times New Roman" w:cs="Times New Roman"/>
          <w:position w:val="-10"/>
          <w:sz w:val="24"/>
        </w:rPr>
        <w:object>
          <v:shape id="_x0000_i1040" o:spt="75" type="#_x0000_t75" style="height:17pt;width:11pt;" o:ole="t" filled="f" o:preferrelative="t" stroked="f" coordsize="21600,21600">
            <v:path/>
            <v:fill on="f" focussize="0,0"/>
            <v:stroke on="f"/>
            <v:imagedata r:id="rId25" o:title=""/>
            <o:lock v:ext="edit" aspectratio="t"/>
            <w10:wrap type="none"/>
            <w10:anchorlock/>
          </v:shape>
          <o:OLEObject Type="Embed" ProgID="Equation.KSEE3" ShapeID="_x0000_i1040" DrawAspect="Content" ObjectID="_1468075740" r:id="rId31">
            <o:LockedField>false</o:LockedField>
          </o:OLEObject>
        </w:object>
      </w:r>
      <w:r>
        <w:rPr>
          <w:rFonts w:hint="eastAsia" w:ascii="Times New Roman" w:hAnsi="Times New Roman" w:cs="Times New Roman"/>
          <w:sz w:val="24"/>
        </w:rPr>
        <w:t>的余弦相似度（方向一致性）和标量投影（投影幅度），建立其与最终激活幅度的线性回归模型。随后，我们实施了奇异值干预实验，通过人为地将</w:t>
      </w:r>
      <w:r>
        <w:rPr>
          <w:rFonts w:hint="eastAsia" w:ascii="Times New Roman" w:hAnsi="Times New Roman" w:cs="Times New Roman"/>
          <w:position w:val="-10"/>
          <w:sz w:val="24"/>
        </w:rPr>
        <w:object>
          <v:shape id="_x0000_i1041" o:spt="75" type="#_x0000_t75" style="height:17pt;width:13.95pt;" o:ole="t" filled="f" o:preferrelative="t" stroked="f" coordsize="21600,21600">
            <v:path/>
            <v:fill on="f" focussize="0,0"/>
            <v:stroke on="f"/>
            <v:imagedata r:id="rId28" o:title=""/>
            <o:lock v:ext="edit" aspectratio="t"/>
            <w10:wrap type="none"/>
            <w10:anchorlock/>
          </v:shape>
          <o:OLEObject Type="Embed" ProgID="Equation.KSEE3" ShapeID="_x0000_i1041" DrawAspect="Content" ObjectID="_1468075741" r:id="rId32">
            <o:LockedField>false</o:LockedField>
          </o:OLEObject>
        </w:object>
      </w:r>
      <w:r>
        <w:rPr>
          <w:rFonts w:hint="eastAsia" w:ascii="Times New Roman" w:hAnsi="Times New Roman" w:cs="Times New Roman"/>
          <w:sz w:val="24"/>
        </w:rPr>
        <w:t>置零，观察干预前后激活幅度的衰减率，以证实其因果决定作用。该方法的数学基础源于Lee et al. [17]的SVD理论与Pearl [20]的因果推断框架。这一创新的因果验证方法，为理解几何对齐在神经网络中的功能作用提供了新的研究范式。</w:t>
      </w:r>
    </w:p>
    <w:p w14:paraId="79E175A0">
      <w:pPr>
        <w:spacing w:line="400" w:lineRule="exact"/>
        <w:rPr>
          <w:rFonts w:hint="eastAsia" w:ascii="Times New Roman" w:hAnsi="Times New Roman" w:cs="Times New Roman"/>
          <w:sz w:val="24"/>
        </w:rPr>
      </w:pPr>
    </w:p>
    <w:p w14:paraId="2176C70D">
      <w:pPr>
        <w:spacing w:line="400" w:lineRule="exact"/>
        <w:rPr>
          <w:rFonts w:ascii="Times New Roman" w:hAnsi="Times New Roman" w:cs="Times New Roman"/>
          <w:sz w:val="24"/>
        </w:rPr>
      </w:pPr>
      <w:r>
        <w:rPr>
          <w:rFonts w:hint="eastAsia" w:ascii="Times New Roman" w:hAnsi="Times New Roman" w:cs="Times New Roman"/>
          <w:sz w:val="24"/>
        </w:rPr>
        <w:t xml:space="preserve"> RQ5：词汇类型适配效应对比实验</w:t>
      </w:r>
    </w:p>
    <w:p w14:paraId="7710C598">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实验从词汇类型出发，探究功能词是否因固有的表征特性而与</w:t>
      </w:r>
      <w:r>
        <w:rPr>
          <w:rFonts w:hint="eastAsia" w:ascii="Times New Roman" w:hAnsi="Times New Roman" w:cs="Times New Roman"/>
          <w:position w:val="-10"/>
          <w:sz w:val="24"/>
        </w:rPr>
        <w:object>
          <v:shape id="_x0000_i1042" o:spt="75" type="#_x0000_t75" style="height:17pt;width:11pt;" o:ole="t" filled="f" o:preferrelative="t" stroked="f" coordsize="21600,21600">
            <v:path/>
            <v:fill on="f" focussize="0,0"/>
            <v:stroke on="f"/>
            <v:imagedata r:id="rId25" o:title=""/>
            <o:lock v:ext="edit" aspectratio="t"/>
            <w10:wrap type="none"/>
            <w10:anchorlock/>
          </v:shape>
          <o:OLEObject Type="Embed" ProgID="Equation.KSEE3" ShapeID="_x0000_i1042" DrawAspect="Content" ObjectID="_1468075742" r:id="rId33">
            <o:LockedField>false</o:LockedField>
          </o:OLEObject>
        </w:object>
      </w:r>
      <w:r>
        <w:rPr>
          <w:rFonts w:hint="eastAsia" w:ascii="Times New Roman" w:hAnsi="Times New Roman" w:cs="Times New Roman"/>
          <w:sz w:val="24"/>
        </w:rPr>
        <w:t>形成更强对齐，进而更易触发巨量激活。我们采用四维度正交分析框架，系统比较功能词与内容词在以下指标上的差异：方差集中度（Top5奇异维度的方差贡献率）、跨语境稳定性（同一词汇不同语境下激活向量的余弦相似度均值）、与</w:t>
      </w:r>
      <w:r>
        <w:rPr>
          <w:rFonts w:hint="eastAsia" w:ascii="Times New Roman" w:hAnsi="Times New Roman" w:cs="Times New Roman"/>
          <w:position w:val="-10"/>
          <w:sz w:val="24"/>
        </w:rPr>
        <w:object>
          <v:shape id="_x0000_i1043" o:spt="75" type="#_x0000_t75" style="height:17pt;width:11pt;" o:ole="t" filled="f" o:preferrelative="t" stroked="f" coordsize="21600,21600">
            <v:path/>
            <v:fill on="f" focussize="0,0"/>
            <v:stroke on="f"/>
            <v:imagedata r:id="rId25" o:title=""/>
            <o:lock v:ext="edit" aspectratio="t"/>
            <w10:wrap type="none"/>
            <w10:anchorlock/>
          </v:shape>
          <o:OLEObject Type="Embed" ProgID="Equation.KSEE3" ShapeID="_x0000_i1043" DrawAspect="Content" ObjectID="_1468075743" r:id="rId34">
            <o:LockedField>false</o:LockedField>
          </o:OLEObject>
        </w:object>
      </w:r>
      <w:r>
        <w:rPr>
          <w:rFonts w:hint="eastAsia" w:ascii="Times New Roman" w:hAnsi="Times New Roman" w:cs="Times New Roman"/>
          <w:sz w:val="24"/>
        </w:rPr>
        <w:t>对齐度（余弦相似度）以及左右奇异空间不对称性。通过Welch t检验对比组间差异，并计算Cohen's d效应量。此外，我们还统计并对比了两组词汇的实际巨量激活触发率。此分析整合了Petroni et al. [15]关于功能词稳定性的发现与Yuan et al. [21]的激活-对齐关联分析。这一多维度的对比研究，首次从表征几何的角度系统阐释了功能词在神经网络中触发极端激活的内在机制。</w:t>
      </w:r>
    </w:p>
    <w:p w14:paraId="59794D68">
      <w:pPr>
        <w:spacing w:before="312" w:beforeLines="100" w:after="312" w:afterLines="100"/>
        <w:rPr>
          <w:rFonts w:ascii="Times New Roman" w:hAnsi="Times New Roman" w:eastAsia="黑体" w:cs="Times New Roman"/>
          <w:sz w:val="28"/>
          <w:szCs w:val="28"/>
        </w:rPr>
      </w:pPr>
      <w:r>
        <w:rPr>
          <w:rFonts w:hint="eastAsia" w:ascii="Times New Roman" w:hAnsi="Times New Roman" w:eastAsia="黑体" w:cs="Times New Roman"/>
          <w:sz w:val="28"/>
          <w:szCs w:val="28"/>
        </w:rPr>
        <w:t>3.3评估指标体系</w:t>
      </w:r>
    </w:p>
    <w:p w14:paraId="25484D24">
      <w:pPr>
        <w:spacing w:line="400" w:lineRule="exact"/>
        <w:ind w:firstLine="480" w:firstLineChars="200"/>
        <w:rPr>
          <w:rFonts w:hint="eastAsia" w:ascii="Times New Roman" w:hAnsi="Times New Roman" w:cs="Times New Roman"/>
          <w:sz w:val="24"/>
          <w:lang w:eastAsia="zh-CN"/>
        </w:rPr>
      </w:pPr>
      <w:r>
        <w:rPr>
          <w:rFonts w:hint="eastAsia" w:ascii="Times New Roman" w:hAnsi="Times New Roman" w:cs="Times New Roman"/>
          <w:sz w:val="24"/>
        </w:rPr>
        <w:t>为全面、客观地评估实验结果，我们建立了一个多维度的评估指标体系，如表所示</w:t>
      </w:r>
      <w:r>
        <w:rPr>
          <w:rFonts w:hint="eastAsia" w:ascii="Times New Roman" w:hAnsi="Times New Roman" w:cs="Times New Roman"/>
          <w:sz w:val="24"/>
          <w:lang w:eastAsia="zh-CN"/>
        </w:rPr>
        <w:t>：</w:t>
      </w:r>
    </w:p>
    <w:p w14:paraId="21E40025">
      <w:pPr>
        <w:spacing w:line="400" w:lineRule="exact"/>
        <w:ind w:firstLine="480" w:firstLineChars="200"/>
        <w:rPr>
          <w:rFonts w:hint="default" w:ascii="Times New Roman" w:hAnsi="Times New Roman" w:eastAsia="楷体" w:cs="Times New Roman"/>
          <w:szCs w:val="21"/>
          <w:lang w:val="en-US" w:eastAsia="zh-CN"/>
        </w:rPr>
      </w:pPr>
      <w:r>
        <w:rPr>
          <w:rFonts w:hint="eastAsia" w:ascii="Times New Roman" w:hAnsi="Times New Roman" w:cs="Times New Roman"/>
          <w:sz w:val="24"/>
          <w:lang w:val="en-US" w:eastAsia="zh-CN"/>
        </w:rPr>
        <w:t xml:space="preserve">                    </w:t>
      </w:r>
      <w:r>
        <w:rPr>
          <w:rFonts w:hint="eastAsia" w:ascii="Times New Roman" w:hAnsi="Times New Roman" w:eastAsia="楷体" w:cs="Times New Roman"/>
          <w:szCs w:val="21"/>
          <w:lang w:val="en-US" w:eastAsia="zh-CN"/>
        </w:rPr>
        <w:t>表x 实验评估指标体系</w:t>
      </w:r>
    </w:p>
    <w:tbl>
      <w:tblPr>
        <w:tblStyle w:val="4"/>
        <w:tblW w:w="5000" w:type="pct"/>
        <w:jc w:val="center"/>
        <w:tblLayout w:type="autofit"/>
        <w:tblCellMar>
          <w:top w:w="0" w:type="dxa"/>
          <w:left w:w="108" w:type="dxa"/>
          <w:bottom w:w="0" w:type="dxa"/>
          <w:right w:w="108" w:type="dxa"/>
        </w:tblCellMar>
      </w:tblPr>
      <w:tblGrid>
        <w:gridCol w:w="1610"/>
        <w:gridCol w:w="2070"/>
        <w:gridCol w:w="4842"/>
      </w:tblGrid>
      <w:tr w14:paraId="425495B0">
        <w:tblPrEx>
          <w:tblCellMar>
            <w:top w:w="0" w:type="dxa"/>
            <w:left w:w="108" w:type="dxa"/>
            <w:bottom w:w="0" w:type="dxa"/>
            <w:right w:w="108" w:type="dxa"/>
          </w:tblCellMar>
        </w:tblPrEx>
        <w:trPr>
          <w:trHeight w:val="23" w:hRule="atLeast"/>
          <w:jc w:val="center"/>
        </w:trPr>
        <w:tc>
          <w:tcPr>
            <w:tcW w:w="944" w:type="pct"/>
            <w:tcBorders>
              <w:top w:val="single" w:color="auto" w:sz="4" w:space="0"/>
              <w:left w:val="single" w:color="auto" w:sz="4" w:space="0"/>
              <w:bottom w:val="single" w:color="auto" w:sz="4" w:space="0"/>
              <w:right w:val="single" w:color="auto" w:sz="4" w:space="0"/>
            </w:tcBorders>
            <w:shd w:val="clear" w:color="auto" w:fill="F2F2F2"/>
            <w:vAlign w:val="center"/>
          </w:tcPr>
          <w:p w14:paraId="6E87E7BE">
            <w:pPr>
              <w:widowControl/>
              <w:jc w:val="center"/>
              <w:textAlignment w:val="center"/>
              <w:rPr>
                <w:rFonts w:ascii="Times New Roman" w:hAnsi="Times New Roman" w:eastAsia="Segoe UI" w:cs="Times New Roman"/>
                <w:color w:val="000000"/>
                <w:szCs w:val="21"/>
              </w:rPr>
            </w:pPr>
            <w:r>
              <w:rPr>
                <w:rFonts w:hint="eastAsia" w:ascii="Times New Roman" w:hAnsi="Times New Roman" w:eastAsia="Segoe UI" w:cs="Times New Roman"/>
                <w:color w:val="000000"/>
                <w:kern w:val="0"/>
                <w:szCs w:val="21"/>
                <w:lang w:bidi="ar"/>
              </w:rPr>
              <w:t>指</w:t>
            </w:r>
            <w:r>
              <w:rPr>
                <w:rFonts w:ascii="Times New Roman" w:hAnsi="Times New Roman" w:eastAsia="Segoe UI" w:cs="Times New Roman"/>
                <w:color w:val="000000"/>
                <w:kern w:val="0"/>
                <w:szCs w:val="21"/>
                <w:lang w:bidi="ar"/>
              </w:rPr>
              <w:t>标类别</w:t>
            </w:r>
          </w:p>
        </w:tc>
        <w:tc>
          <w:tcPr>
            <w:tcW w:w="1214" w:type="pct"/>
            <w:tcBorders>
              <w:top w:val="single" w:color="auto" w:sz="4" w:space="0"/>
              <w:left w:val="single" w:color="auto" w:sz="4" w:space="0"/>
              <w:bottom w:val="single" w:color="auto" w:sz="4" w:space="0"/>
              <w:right w:val="single" w:color="auto" w:sz="4" w:space="0"/>
            </w:tcBorders>
            <w:shd w:val="clear" w:color="auto" w:fill="F2F2F2"/>
            <w:vAlign w:val="center"/>
          </w:tcPr>
          <w:p w14:paraId="6ED247E6">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具体指标</w:t>
            </w:r>
          </w:p>
        </w:tc>
        <w:tc>
          <w:tcPr>
            <w:tcW w:w="2840" w:type="pct"/>
            <w:tcBorders>
              <w:top w:val="single" w:color="auto" w:sz="4" w:space="0"/>
              <w:left w:val="single" w:color="auto" w:sz="4" w:space="0"/>
              <w:bottom w:val="single" w:color="auto" w:sz="4" w:space="0"/>
              <w:right w:val="single" w:color="auto" w:sz="4" w:space="0"/>
            </w:tcBorders>
            <w:shd w:val="clear" w:color="auto" w:fill="F2F2F2"/>
            <w:vAlign w:val="center"/>
          </w:tcPr>
          <w:p w14:paraId="141D47B5">
            <w:pPr>
              <w:widowControl/>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kern w:val="0"/>
                <w:szCs w:val="21"/>
                <w:lang w:val="en-US" w:eastAsia="zh-CN" w:bidi="ar"/>
              </w:rPr>
              <w:t>指标定义</w:t>
            </w:r>
          </w:p>
        </w:tc>
      </w:tr>
      <w:tr w14:paraId="4C5351F3">
        <w:tblPrEx>
          <w:tblCellMar>
            <w:top w:w="0" w:type="dxa"/>
            <w:left w:w="108" w:type="dxa"/>
            <w:bottom w:w="0" w:type="dxa"/>
            <w:right w:w="108" w:type="dxa"/>
          </w:tblCellMar>
        </w:tblPrEx>
        <w:trPr>
          <w:trHeight w:val="412" w:hRule="atLeast"/>
          <w:jc w:val="center"/>
        </w:trPr>
        <w:tc>
          <w:tcPr>
            <w:tcW w:w="944" w:type="pct"/>
            <w:vMerge w:val="restart"/>
            <w:tcBorders>
              <w:top w:val="single" w:color="auto" w:sz="4" w:space="0"/>
              <w:left w:val="single" w:color="auto" w:sz="4" w:space="0"/>
              <w:right w:val="single" w:color="auto" w:sz="4" w:space="0"/>
            </w:tcBorders>
            <w:shd w:val="clear" w:color="auto" w:fill="FFFFFF"/>
            <w:vAlign w:val="center"/>
          </w:tcPr>
          <w:p w14:paraId="41FF5DD9">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激活核心指标</w:t>
            </w: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7CC030A9">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激活峰值</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7417B3A2">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关键维度的最大激活值</w:t>
            </w:r>
          </w:p>
        </w:tc>
      </w:tr>
      <w:tr w14:paraId="6976B984">
        <w:tblPrEx>
          <w:tblCellMar>
            <w:top w:w="0" w:type="dxa"/>
            <w:left w:w="108" w:type="dxa"/>
            <w:bottom w:w="0" w:type="dxa"/>
            <w:right w:w="108" w:type="dxa"/>
          </w:tblCellMar>
        </w:tblPrEx>
        <w:trPr>
          <w:trHeight w:val="502" w:hRule="atLeast"/>
          <w:jc w:val="center"/>
        </w:trPr>
        <w:tc>
          <w:tcPr>
            <w:tcW w:w="944" w:type="pct"/>
            <w:vMerge w:val="continue"/>
            <w:tcBorders>
              <w:left w:val="single" w:color="auto" w:sz="4" w:space="0"/>
              <w:bottom w:val="single" w:color="auto" w:sz="4" w:space="0"/>
              <w:right w:val="single" w:color="auto" w:sz="4" w:space="0"/>
            </w:tcBorders>
            <w:shd w:val="clear" w:color="auto" w:fill="FFFFFF"/>
            <w:vAlign w:val="center"/>
          </w:tcPr>
          <w:p w14:paraId="337BBA1C">
            <w:pPr>
              <w:jc w:val="cente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2C9F8E0D">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大规模激活占比</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00196650">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激活值＞300× 中位数的标记比例</w:t>
            </w:r>
          </w:p>
        </w:tc>
      </w:tr>
      <w:tr w14:paraId="31264DBE">
        <w:tblPrEx>
          <w:tblCellMar>
            <w:top w:w="0" w:type="dxa"/>
            <w:left w:w="108" w:type="dxa"/>
            <w:bottom w:w="0" w:type="dxa"/>
            <w:right w:w="108" w:type="dxa"/>
          </w:tblCellMar>
        </w:tblPrEx>
        <w:trPr>
          <w:trHeight w:val="23" w:hRule="atLeast"/>
          <w:jc w:val="center"/>
        </w:trPr>
        <w:tc>
          <w:tcPr>
            <w:tcW w:w="944" w:type="pct"/>
            <w:vMerge w:val="restart"/>
            <w:tcBorders>
              <w:top w:val="single" w:color="auto" w:sz="4" w:space="0"/>
              <w:left w:val="single" w:color="auto" w:sz="4" w:space="0"/>
              <w:right w:val="single" w:color="auto" w:sz="4" w:space="0"/>
            </w:tcBorders>
            <w:shd w:val="clear" w:color="auto" w:fill="FFFFFF"/>
            <w:vAlign w:val="center"/>
          </w:tcPr>
          <w:p w14:paraId="0AB7EE79">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对齐相关指标</w:t>
            </w: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4D446030">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余弦相似度（S）</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532AEF2C">
            <w:pPr>
              <w:widowControl/>
              <w:jc w:val="center"/>
              <w:textAlignment w:val="center"/>
              <w:rPr>
                <w:rFonts w:ascii="Times New Roman" w:hAnsi="Times New Roman" w:eastAsia="宋体" w:cs="Times New Roman"/>
                <w:color w:val="000000"/>
                <w:szCs w:val="21"/>
              </w:rPr>
            </w:pPr>
            <w:r>
              <w:rPr>
                <w:rFonts w:ascii="Times New Roman" w:hAnsi="Times New Roman" w:cs="Times New Roman"/>
                <w:position w:val="-34"/>
                <w:szCs w:val="21"/>
              </w:rPr>
              <w:object>
                <v:shape id="_x0000_i1044" o:spt="75" type="#_x0000_t75" style="height:36pt;width:64pt;" o:ole="t" filled="f" o:preferrelative="t" stroked="f" coordsize="21600,21600">
                  <v:path/>
                  <v:fill on="f" focussize="0,0"/>
                  <v:stroke on="f" joinstyle="miter"/>
                  <v:imagedata r:id="rId36" o:title=""/>
                  <o:lock v:ext="edit" aspectratio="t"/>
                  <w10:wrap type="none"/>
                  <w10:anchorlock/>
                </v:shape>
                <o:OLEObject Type="Embed" ProgID="Equation.KSEE3" ShapeID="_x0000_i1044" DrawAspect="Content" ObjectID="_1468075744" r:id="rId35">
                  <o:LockedField>false</o:LockedField>
                </o:OLEObject>
              </w:object>
            </w:r>
          </w:p>
        </w:tc>
      </w:tr>
      <w:tr w14:paraId="06E780E0">
        <w:tblPrEx>
          <w:tblCellMar>
            <w:top w:w="0" w:type="dxa"/>
            <w:left w:w="108" w:type="dxa"/>
            <w:bottom w:w="0" w:type="dxa"/>
            <w:right w:w="108" w:type="dxa"/>
          </w:tblCellMar>
        </w:tblPrEx>
        <w:trPr>
          <w:trHeight w:val="654" w:hRule="atLeast"/>
          <w:jc w:val="center"/>
        </w:trPr>
        <w:tc>
          <w:tcPr>
            <w:tcW w:w="944" w:type="pct"/>
            <w:vMerge w:val="continue"/>
            <w:tcBorders>
              <w:left w:val="single" w:color="auto" w:sz="4" w:space="0"/>
              <w:bottom w:val="single" w:color="auto" w:sz="4" w:space="0"/>
              <w:right w:val="single" w:color="auto" w:sz="4" w:space="0"/>
            </w:tcBorders>
            <w:shd w:val="clear" w:color="auto" w:fill="FFFFFF"/>
            <w:vAlign w:val="center"/>
          </w:tcPr>
          <w:p w14:paraId="258134F0">
            <w:pPr>
              <w:jc w:val="cente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68D89687">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投影幅度（P）</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5813B3D9">
            <w:pPr>
              <w:widowControl/>
              <w:jc w:val="center"/>
              <w:textAlignment w:val="center"/>
              <w:rPr>
                <w:rFonts w:ascii="Times New Roman" w:hAnsi="Times New Roman" w:eastAsia="Segoe UI" w:cs="Times New Roman"/>
                <w:color w:val="000000"/>
                <w:szCs w:val="21"/>
              </w:rPr>
            </w:pPr>
            <w:r>
              <w:rPr>
                <w:rFonts w:ascii="Times New Roman" w:hAnsi="Times New Roman" w:cs="Times New Roman"/>
                <w:position w:val="-10"/>
                <w:szCs w:val="21"/>
              </w:rPr>
              <w:object>
                <v:shape id="_x0000_i1045" o:spt="75" type="#_x0000_t75" style="height:17pt;width:48pt;" o:ole="t" filled="f" o:preferrelative="t" stroked="f" coordsize="21600,21600">
                  <v:path/>
                  <v:fill on="f" focussize="0,0"/>
                  <v:stroke on="f" joinstyle="miter"/>
                  <v:imagedata r:id="rId38" o:title=""/>
                  <o:lock v:ext="edit" aspectratio="t"/>
                  <w10:wrap type="none"/>
                  <w10:anchorlock/>
                </v:shape>
                <o:OLEObject Type="Embed" ProgID="Equation.KSEE3" ShapeID="_x0000_i1045" DrawAspect="Content" ObjectID="_1468075745" r:id="rId37">
                  <o:LockedField>false</o:LockedField>
                </o:OLEObject>
              </w:object>
            </w:r>
          </w:p>
        </w:tc>
      </w:tr>
      <w:tr w14:paraId="6EB7E710">
        <w:tblPrEx>
          <w:tblCellMar>
            <w:top w:w="0" w:type="dxa"/>
            <w:left w:w="108" w:type="dxa"/>
            <w:bottom w:w="0" w:type="dxa"/>
            <w:right w:w="108" w:type="dxa"/>
          </w:tblCellMar>
        </w:tblPrEx>
        <w:trPr>
          <w:trHeight w:val="572" w:hRule="atLeast"/>
          <w:jc w:val="center"/>
        </w:trPr>
        <w:tc>
          <w:tcPr>
            <w:tcW w:w="944" w:type="pct"/>
            <w:vMerge w:val="restart"/>
            <w:tcBorders>
              <w:top w:val="single" w:color="auto" w:sz="4" w:space="0"/>
              <w:left w:val="single" w:color="auto" w:sz="4" w:space="0"/>
              <w:right w:val="single" w:color="auto" w:sz="4" w:space="0"/>
            </w:tcBorders>
            <w:shd w:val="clear" w:color="auto" w:fill="FFFFFF"/>
            <w:vAlign w:val="center"/>
          </w:tcPr>
          <w:p w14:paraId="7A47BA35">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词汇特征指标</w:t>
            </w: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2CBF833C">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方差集中度</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4A1A5190">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Top5 奇异维度的方差累计占比</w:t>
            </w:r>
          </w:p>
        </w:tc>
      </w:tr>
      <w:tr w14:paraId="2A27181A">
        <w:tblPrEx>
          <w:tblCellMar>
            <w:top w:w="0" w:type="dxa"/>
            <w:left w:w="108" w:type="dxa"/>
            <w:bottom w:w="0" w:type="dxa"/>
            <w:right w:w="108" w:type="dxa"/>
          </w:tblCellMar>
        </w:tblPrEx>
        <w:trPr>
          <w:trHeight w:val="534" w:hRule="atLeast"/>
          <w:jc w:val="center"/>
        </w:trPr>
        <w:tc>
          <w:tcPr>
            <w:tcW w:w="944" w:type="pct"/>
            <w:vMerge w:val="continue"/>
            <w:tcBorders>
              <w:left w:val="single" w:color="auto" w:sz="4" w:space="0"/>
              <w:bottom w:val="single" w:color="auto" w:sz="4" w:space="0"/>
              <w:right w:val="single" w:color="auto" w:sz="4" w:space="0"/>
            </w:tcBorders>
            <w:shd w:val="clear" w:color="auto" w:fill="FFFFFF"/>
            <w:vAlign w:val="center"/>
          </w:tcPr>
          <w:p w14:paraId="20284447">
            <w:pPr>
              <w:jc w:val="cente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43D02E2F">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跨语境稳定性</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2488AB79">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同一词汇跨语境</w:t>
            </w:r>
            <w:r>
              <w:rPr>
                <w:rFonts w:ascii="Times New Roman" w:hAnsi="Times New Roman" w:eastAsia="Segoe UI" w:cs="Times New Roman"/>
                <w:color w:val="000000"/>
                <w:kern w:val="0"/>
                <w:position w:val="-10"/>
                <w:szCs w:val="21"/>
                <w:lang w:bidi="ar"/>
              </w:rPr>
              <w:object>
                <v:shape id="_x0000_i1046" o:spt="75" type="#_x0000_t75" style="height:17pt;width:13pt;" o:ole="t" filled="f" o:preferrelative="t" stroked="f" coordsize="21600,21600">
                  <v:path/>
                  <v:fill on="f" focussize="0,0"/>
                  <v:stroke on="f" joinstyle="miter"/>
                  <v:imagedata r:id="rId40" o:title=""/>
                  <o:lock v:ext="edit" aspectratio="t"/>
                  <w10:wrap type="none"/>
                  <w10:anchorlock/>
                </v:shape>
                <o:OLEObject Type="Embed" ProgID="Equation.KSEE3" ShapeID="_x0000_i1046" DrawAspect="Content" ObjectID="_1468075746" r:id="rId39">
                  <o:LockedField>false</o:LockedField>
                </o:OLEObject>
              </w:object>
            </w:r>
            <w:r>
              <w:rPr>
                <w:rFonts w:ascii="Times New Roman" w:hAnsi="Times New Roman" w:eastAsia="Segoe UI" w:cs="Times New Roman"/>
                <w:color w:val="000000"/>
                <w:kern w:val="0"/>
                <w:szCs w:val="21"/>
                <w:lang w:bidi="ar"/>
              </w:rPr>
              <w:t>向量的余弦相似度均值</w:t>
            </w:r>
          </w:p>
        </w:tc>
      </w:tr>
      <w:tr w14:paraId="36EAF9F6">
        <w:tblPrEx>
          <w:tblCellMar>
            <w:top w:w="0" w:type="dxa"/>
            <w:left w:w="108" w:type="dxa"/>
            <w:bottom w:w="0" w:type="dxa"/>
            <w:right w:w="108" w:type="dxa"/>
          </w:tblCellMar>
        </w:tblPrEx>
        <w:trPr>
          <w:trHeight w:val="532" w:hRule="atLeast"/>
          <w:jc w:val="center"/>
        </w:trPr>
        <w:tc>
          <w:tcPr>
            <w:tcW w:w="944" w:type="pct"/>
            <w:vMerge w:val="restart"/>
            <w:tcBorders>
              <w:top w:val="single" w:color="auto" w:sz="4" w:space="0"/>
              <w:left w:val="single" w:color="auto" w:sz="4" w:space="0"/>
              <w:right w:val="single" w:color="auto" w:sz="4" w:space="0"/>
            </w:tcBorders>
            <w:shd w:val="clear" w:color="auto" w:fill="FFFFFF"/>
            <w:vAlign w:val="center"/>
          </w:tcPr>
          <w:p w14:paraId="38D45A70">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注意力相关指标</w:t>
            </w: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459E4EFB">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注意力得分</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6548DA48">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注意力头对大规模激活标记的关注强度</w:t>
            </w:r>
          </w:p>
        </w:tc>
      </w:tr>
      <w:tr w14:paraId="071D4DE0">
        <w:tblPrEx>
          <w:tblCellMar>
            <w:top w:w="0" w:type="dxa"/>
            <w:left w:w="108" w:type="dxa"/>
            <w:bottom w:w="0" w:type="dxa"/>
            <w:right w:w="108" w:type="dxa"/>
          </w:tblCellMar>
        </w:tblPrEx>
        <w:trPr>
          <w:trHeight w:val="23" w:hRule="atLeast"/>
          <w:jc w:val="center"/>
        </w:trPr>
        <w:tc>
          <w:tcPr>
            <w:tcW w:w="944" w:type="pct"/>
            <w:vMerge w:val="continue"/>
            <w:tcBorders>
              <w:left w:val="single" w:color="auto" w:sz="4" w:space="0"/>
              <w:bottom w:val="single" w:color="auto" w:sz="4" w:space="0"/>
              <w:right w:val="single" w:color="auto" w:sz="4" w:space="0"/>
            </w:tcBorders>
            <w:shd w:val="clear" w:color="auto" w:fill="FFFFFF"/>
            <w:vAlign w:val="center"/>
          </w:tcPr>
          <w:p w14:paraId="6F842B3B">
            <w:pPr>
              <w:jc w:val="cente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3C7B609C">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修剪后激活变化率</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643602FB">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修剪注意力头后激活值的波动程度</w:t>
            </w:r>
            <w:r>
              <w:rPr>
                <w:rFonts w:hint="eastAsia" w:ascii="Times New Roman" w:hAnsi="Times New Roman" w:eastAsia="Segoe UI" w:cs="Times New Roman"/>
                <w:color w:val="000000"/>
                <w:kern w:val="0"/>
                <w:szCs w:val="21"/>
                <w:lang w:bidi="ar"/>
              </w:rPr>
              <w:t>，</w:t>
            </w:r>
            <w:r>
              <w:rPr>
                <w:rFonts w:hint="eastAsia" w:ascii="Times New Roman" w:hAnsi="Times New Roman" w:eastAsia="Segoe UI" w:cs="Times New Roman"/>
                <w:color w:val="000000"/>
                <w:kern w:val="0"/>
                <w:position w:val="-26"/>
                <w:szCs w:val="21"/>
                <w:lang w:bidi="ar"/>
              </w:rPr>
              <w:object>
                <v:shape id="_x0000_i1047" o:spt="75" type="#_x0000_t75" style="height:36pt;width:231pt;" o:ole="t" filled="f" o:preferrelative="t" stroked="f" coordsize="21600,21600">
                  <v:path/>
                  <v:fill on="f" focussize="0,0"/>
                  <v:stroke on="f" joinstyle="miter"/>
                  <v:imagedata r:id="rId42" o:title=""/>
                  <o:lock v:ext="edit" aspectratio="t"/>
                  <w10:wrap type="none"/>
                  <w10:anchorlock/>
                </v:shape>
                <o:OLEObject Type="Embed" ProgID="Equation.KSEE3" ShapeID="_x0000_i1047" DrawAspect="Content" ObjectID="_1468075747" r:id="rId41">
                  <o:LockedField>false</o:LockedField>
                </o:OLEObject>
              </w:object>
            </w:r>
          </w:p>
        </w:tc>
      </w:tr>
      <w:tr w14:paraId="5986A3A9">
        <w:tblPrEx>
          <w:tblCellMar>
            <w:top w:w="0" w:type="dxa"/>
            <w:left w:w="108" w:type="dxa"/>
            <w:bottom w:w="0" w:type="dxa"/>
            <w:right w:w="108" w:type="dxa"/>
          </w:tblCellMar>
        </w:tblPrEx>
        <w:trPr>
          <w:trHeight w:val="522" w:hRule="atLeast"/>
          <w:jc w:val="center"/>
        </w:trPr>
        <w:tc>
          <w:tcPr>
            <w:tcW w:w="944" w:type="pct"/>
            <w:vMerge w:val="restart"/>
            <w:tcBorders>
              <w:top w:val="single" w:color="auto" w:sz="4" w:space="0"/>
              <w:left w:val="single" w:color="auto" w:sz="4" w:space="0"/>
              <w:right w:val="single" w:color="auto" w:sz="4" w:space="0"/>
            </w:tcBorders>
            <w:shd w:val="clear" w:color="auto" w:fill="FFFFFF"/>
            <w:vAlign w:val="center"/>
          </w:tcPr>
          <w:p w14:paraId="0A413311">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统计验证指标</w:t>
            </w: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0250B87F">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显著性 p 值</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6DC27EC8">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Welch t 检验 / ANOVA 的统计显著性结果</w:t>
            </w:r>
          </w:p>
        </w:tc>
      </w:tr>
      <w:tr w14:paraId="695FBFE3">
        <w:tblPrEx>
          <w:tblCellMar>
            <w:top w:w="0" w:type="dxa"/>
            <w:left w:w="108" w:type="dxa"/>
            <w:bottom w:w="0" w:type="dxa"/>
            <w:right w:w="108" w:type="dxa"/>
          </w:tblCellMar>
        </w:tblPrEx>
        <w:trPr>
          <w:trHeight w:val="472" w:hRule="atLeast"/>
          <w:jc w:val="center"/>
        </w:trPr>
        <w:tc>
          <w:tcPr>
            <w:tcW w:w="944" w:type="pct"/>
            <w:vMerge w:val="continue"/>
            <w:tcBorders>
              <w:left w:val="single" w:color="auto" w:sz="4" w:space="0"/>
              <w:right w:val="single" w:color="auto" w:sz="4" w:space="0"/>
            </w:tcBorders>
            <w:shd w:val="clear" w:color="auto" w:fill="FFFFFF"/>
            <w:vAlign w:val="center"/>
          </w:tcPr>
          <w:p w14:paraId="1D41759F">
            <w:pP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734A0576">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效应量（Cohen’s d）</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79C0829D">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组间差异的实际幅度</w:t>
            </w:r>
          </w:p>
        </w:tc>
      </w:tr>
      <w:tr w14:paraId="385DC80F">
        <w:tblPrEx>
          <w:tblCellMar>
            <w:top w:w="0" w:type="dxa"/>
            <w:left w:w="108" w:type="dxa"/>
            <w:bottom w:w="0" w:type="dxa"/>
            <w:right w:w="108" w:type="dxa"/>
          </w:tblCellMar>
        </w:tblPrEx>
        <w:trPr>
          <w:trHeight w:val="23" w:hRule="atLeast"/>
          <w:jc w:val="center"/>
        </w:trPr>
        <w:tc>
          <w:tcPr>
            <w:tcW w:w="944" w:type="pct"/>
            <w:vMerge w:val="continue"/>
            <w:tcBorders>
              <w:left w:val="single" w:color="auto" w:sz="4" w:space="0"/>
              <w:bottom w:val="single" w:color="auto" w:sz="4" w:space="0"/>
              <w:right w:val="single" w:color="auto" w:sz="4" w:space="0"/>
            </w:tcBorders>
            <w:shd w:val="clear" w:color="auto" w:fill="FFFFFF"/>
            <w:vAlign w:val="center"/>
          </w:tcPr>
          <w:p w14:paraId="1951553D">
            <w:pPr>
              <w:rPr>
                <w:rFonts w:ascii="Times New Roman" w:hAnsi="Times New Roman" w:eastAsia="Segoe UI" w:cs="Times New Roman"/>
                <w:color w:val="000000"/>
                <w:szCs w:val="21"/>
              </w:rPr>
            </w:pPr>
          </w:p>
        </w:tc>
        <w:tc>
          <w:tcPr>
            <w:tcW w:w="1214" w:type="pct"/>
            <w:tcBorders>
              <w:top w:val="single" w:color="auto" w:sz="4" w:space="0"/>
              <w:left w:val="single" w:color="auto" w:sz="4" w:space="0"/>
              <w:bottom w:val="single" w:color="auto" w:sz="4" w:space="0"/>
              <w:right w:val="single" w:color="auto" w:sz="4" w:space="0"/>
            </w:tcBorders>
            <w:shd w:val="clear" w:color="auto" w:fill="FFFFFF"/>
            <w:vAlign w:val="center"/>
          </w:tcPr>
          <w:p w14:paraId="603FBC9B">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拟合优度（</w:t>
            </w:r>
            <w:r>
              <w:rPr>
                <w:rFonts w:ascii="Times New Roman" w:hAnsi="Times New Roman" w:eastAsia="Segoe UI" w:cs="Times New Roman"/>
                <w:color w:val="000000"/>
                <w:kern w:val="0"/>
                <w:position w:val="-4"/>
                <w:szCs w:val="21"/>
                <w:lang w:bidi="ar"/>
              </w:rPr>
              <w:object>
                <v:shape id="_x0000_i1048" o:spt="75" type="#_x0000_t75" style="height:15pt;width:16pt;" o:ole="t" filled="f" o:preferrelative="t" stroked="f" coordsize="21600,21600">
                  <v:path/>
                  <v:fill on="f" focussize="0,0"/>
                  <v:stroke on="f" joinstyle="miter"/>
                  <v:imagedata r:id="rId44" o:title=""/>
                  <o:lock v:ext="edit" aspectratio="t"/>
                  <w10:wrap type="none"/>
                  <w10:anchorlock/>
                </v:shape>
                <o:OLEObject Type="Embed" ProgID="Equation.KSEE3" ShapeID="_x0000_i1048" DrawAspect="Content" ObjectID="_1468075748" r:id="rId43">
                  <o:LockedField>false</o:LockedField>
                </o:OLEObject>
              </w:object>
            </w:r>
            <w:r>
              <w:rPr>
                <w:rFonts w:ascii="Times New Roman" w:hAnsi="Times New Roman" w:eastAsia="Segoe UI" w:cs="Times New Roman"/>
                <w:color w:val="000000"/>
                <w:kern w:val="0"/>
                <w:szCs w:val="21"/>
                <w:lang w:bidi="ar"/>
              </w:rPr>
              <w:t>）</w:t>
            </w:r>
          </w:p>
        </w:tc>
        <w:tc>
          <w:tcPr>
            <w:tcW w:w="2840" w:type="pct"/>
            <w:tcBorders>
              <w:top w:val="single" w:color="auto" w:sz="4" w:space="0"/>
              <w:left w:val="single" w:color="auto" w:sz="4" w:space="0"/>
              <w:bottom w:val="single" w:color="auto" w:sz="4" w:space="0"/>
              <w:right w:val="single" w:color="auto" w:sz="4" w:space="0"/>
            </w:tcBorders>
            <w:shd w:val="clear" w:color="auto" w:fill="FFFFFF"/>
            <w:vAlign w:val="center"/>
          </w:tcPr>
          <w:p w14:paraId="08337009">
            <w:pPr>
              <w:widowControl/>
              <w:jc w:val="center"/>
              <w:textAlignment w:val="center"/>
              <w:rPr>
                <w:rFonts w:ascii="Times New Roman" w:hAnsi="Times New Roman" w:eastAsia="Segoe UI" w:cs="Times New Roman"/>
                <w:color w:val="000000"/>
                <w:szCs w:val="21"/>
              </w:rPr>
            </w:pPr>
            <w:r>
              <w:rPr>
                <w:rFonts w:ascii="Times New Roman" w:hAnsi="Times New Roman" w:eastAsia="Segoe UI" w:cs="Times New Roman"/>
                <w:color w:val="000000"/>
                <w:kern w:val="0"/>
                <w:szCs w:val="21"/>
                <w:lang w:bidi="ar"/>
              </w:rPr>
              <w:t>线性回归模型中对齐强度对激活幅度的解释力</w:t>
            </w:r>
          </w:p>
        </w:tc>
      </w:tr>
    </w:tbl>
    <w:p w14:paraId="64D03754">
      <w:pPr>
        <w:spacing w:before="312" w:beforeLines="100" w:after="312" w:afterLines="100"/>
        <w:rPr>
          <w:rFonts w:ascii="Times New Roman" w:hAnsi="Times New Roman" w:eastAsia="黑体" w:cs="Times New Roman"/>
          <w:sz w:val="28"/>
          <w:szCs w:val="28"/>
        </w:rPr>
      </w:pPr>
      <w:r>
        <w:rPr>
          <w:rFonts w:hint="eastAsia" w:ascii="Times New Roman" w:hAnsi="Times New Roman" w:eastAsia="黑体" w:cs="Times New Roman"/>
          <w:sz w:val="28"/>
          <w:szCs w:val="28"/>
        </w:rPr>
        <w:t>3.4有效性与可复现性保障</w:t>
      </w:r>
    </w:p>
    <w:p w14:paraId="3A437B36">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为确保研究结论的可靠性与科学性，我们采取了多层次的有效性保障措施。在变量控制方面，所有对比实验均严格保持模型参数、输入数据和运行环境的一致性，唯一变动的是目标干预变量（如组件启用/禁用状态、修剪策略）。为验证结论的鲁棒性，核心实验（如RQ1、RQ3）在多个辅助数据集上进行了重复，结果表明关键发现不依赖于特定的数据子集。针对词汇分类这一潜在偏差来源，我们采用了"规则匹配为主，人工抽样校准为辅"的双重标注策略，经验证，不同标注者间的一致性系数（Cohen's Kappa）高达0.92，确保了样本分组的可靠性。</w:t>
      </w:r>
    </w:p>
    <w:p w14:paraId="1E24DED5">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在方法设计上，我们借鉴了RAG系统中通过动态检索和联合优化来提升结果准确性的思想。 例如，我们的奇异值干预实验（RQ4）在逻辑上类似于RAG中的溯源验证系统，都是通过引入可控制的干预来验证因果关系。同时，我们的组件禁用策略（RQ1, RQ3）与RAG中通过函数调用精确控制模型输出的方法有相似之处， 都强调了对复杂系统内部组件的精确操控和观测。</w:t>
      </w:r>
    </w:p>
    <w:p w14:paraId="619B38EA">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在可复现性方面，我们提供了完整的实验代码包，包括所有自定义的钩子函数、数据处理脚本和统计分析代码。所使用的处理后的数据集与词汇标注文件已通过Hugging Face Datasets平台公开共享（链接见附录）。我们详细记录了所有依赖库的精确版本、模型校验和以及具体的实验步骤，并生成了一份"实验指纹报告"，其中包含了所有关键参数和环境设置。这些措施旨在确保任何研究者都能够基于我们提供的材料精确复现本研究的全部结果，推动相关研究领域的透明化和累积性进步。</w:t>
      </w:r>
    </w:p>
    <w:p w14:paraId="1AE3477F">
      <w:pPr>
        <w:spacing w:before="312" w:beforeLines="100" w:after="312" w:afterLines="100"/>
        <w:jc w:val="center"/>
        <w:rPr>
          <w:rFonts w:ascii="Times New Roman" w:hAnsi="Times New Roman" w:eastAsia="黑体" w:cs="Times New Roman"/>
          <w:sz w:val="30"/>
          <w:szCs w:val="30"/>
        </w:rPr>
      </w:pPr>
      <w:r>
        <w:rPr>
          <w:rFonts w:hint="eastAsia" w:ascii="Times New Roman" w:hAnsi="Times New Roman" w:eastAsia="黑体" w:cs="Times New Roman"/>
          <w:sz w:val="30"/>
          <w:szCs w:val="30"/>
        </w:rPr>
        <w:t>4 EXPERIMENTS</w:t>
      </w:r>
    </w:p>
    <w:p w14:paraId="66389E04">
      <w:pPr>
        <w:spacing w:line="400" w:lineRule="exact"/>
        <w:ind w:firstLine="240" w:firstLineChars="100"/>
        <w:rPr>
          <w:rFonts w:hint="eastAsia" w:ascii="Times New Roman" w:hAnsi="Times New Roman" w:cs="Times New Roman"/>
          <w:sz w:val="24"/>
        </w:rPr>
      </w:pPr>
      <w:r>
        <w:rPr>
          <w:rFonts w:hint="eastAsia" w:ascii="Times New Roman" w:hAnsi="Times New Roman" w:cs="Times New Roman"/>
          <w:sz w:val="24"/>
        </w:rPr>
        <w:t>本实验严格遵循初稿中 “全注意力头禁用对比法” 的核心逻辑，在此基础上细化变量控制与数据采集流程：基准组保持 GPT-2 所有 144 个注意力头（12 层 ×12 头）正常激活，通过前向钩子函数（Forward Hook） 实时采集各层输出激活值 —— 钩子函数挂载于 Transformer 每层的注意力层输出端，确保捕捉未经后续组件（如 LayerNorm）处理的原始激活信号；实验组则通过 “输出张量置零” 方式完全禁用所有注意力头，仅保留 MLP 层、残差连接与 LayerNorm 正常工作，避免因组件移除导致的模型结构断裂。Figure 1 系统展示了GPT-2中巨量激活现象的典型跨层分布模式，为本节后续一系列因果干预实验提供了直观的现象学基础。如图所示，巨量激活并非均匀分布于所有网络层，而是呈现出高度结构化的层级特异性：该模式中，各层Top1激活值与中位数的比率稳定在300–3000×区间，印证了巨量激活的“极端性”与“系统性”特征，而非随机噪声。这一清晰的层级演进图为后续实验精准定位生成模块（如RQ1与RQ3）、解析维持机制（如RQ2）提供了关键的现象学框架。</w:t>
      </w:r>
    </w:p>
    <w:p w14:paraId="62AB5D53">
      <w:pPr>
        <w:pStyle w:val="3"/>
        <w:keepNext w:val="0"/>
        <w:keepLines w:val="0"/>
        <w:widowControl/>
        <w:suppressLineNumbers w:val="0"/>
        <w:jc w:val="center"/>
        <w:rPr>
          <w:rFonts w:hint="eastAsia" w:eastAsiaTheme="minorEastAsia"/>
          <w:lang w:eastAsia="zh-CN"/>
        </w:rPr>
      </w:pPr>
      <w:r>
        <w:rPr>
          <w:rFonts w:hint="eastAsia" w:eastAsiaTheme="minorEastAsia"/>
          <w:lang w:eastAsia="zh-CN"/>
        </w:rPr>
        <w:drawing>
          <wp:inline distT="0" distB="0" distL="114300" distR="114300">
            <wp:extent cx="4165600" cy="2828290"/>
            <wp:effectExtent l="0" t="0" r="0" b="3810"/>
            <wp:docPr id="20" name="图片 20" descr="g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gpt2"/>
                    <pic:cNvPicPr>
                      <a:picLocks noChangeAspect="1"/>
                    </pic:cNvPicPr>
                  </pic:nvPicPr>
                  <pic:blipFill>
                    <a:blip r:embed="rId45"/>
                    <a:stretch>
                      <a:fillRect/>
                    </a:stretch>
                  </pic:blipFill>
                  <pic:spPr>
                    <a:xfrm>
                      <a:off x="0" y="0"/>
                      <a:ext cx="4165600" cy="2828290"/>
                    </a:xfrm>
                    <a:prstGeom prst="rect">
                      <a:avLst/>
                    </a:prstGeom>
                  </pic:spPr>
                </pic:pic>
              </a:graphicData>
            </a:graphic>
          </wp:inline>
        </w:drawing>
      </w:r>
    </w:p>
    <w:p w14:paraId="67A33FE2">
      <w:pPr>
        <w:spacing w:before="312" w:beforeLines="100" w:after="312" w:afterLines="100"/>
        <w:ind w:firstLine="630" w:firstLineChars="300"/>
        <w:jc w:val="center"/>
        <w:rPr>
          <w:rFonts w:hint="eastAsia" w:ascii="Times New Roman" w:hAnsi="Times New Roman" w:eastAsia="楷体" w:cs="Times New Roman"/>
          <w:szCs w:val="21"/>
          <w:lang w:eastAsia="zh-CN"/>
        </w:rPr>
      </w:pPr>
      <w:r>
        <w:rPr>
          <w:rFonts w:hint="eastAsia" w:ascii="Times New Roman" w:hAnsi="Times New Roman" w:eastAsia="楷体" w:cs="Times New Roman"/>
          <w:szCs w:val="21"/>
          <w:lang w:eastAsia="zh-CN"/>
        </w:rPr>
        <w:t>Figure : 跨层巨量激活强度分布。早期层（0-1）激活较低，第2层开始爆发，中层（5-10）维持高平台期，第11层显著下降。Top1/中位数比率在300–3000×之间，显示极端激活的层级特异性。</w:t>
      </w:r>
    </w:p>
    <w:p w14:paraId="0C92E37A">
      <w:pPr>
        <w:spacing w:line="400" w:lineRule="exact"/>
        <w:ind w:firstLine="240" w:firstLineChars="100"/>
        <w:rPr>
          <w:rFonts w:ascii="Times New Roman" w:hAnsi="Times New Roman" w:eastAsia="黑体" w:cs="Times New Roman"/>
          <w:sz w:val="28"/>
          <w:szCs w:val="28"/>
        </w:rPr>
      </w:pPr>
      <w:r>
        <w:rPr>
          <w:rFonts w:hint="eastAsia" w:ascii="Times New Roman" w:hAnsi="Times New Roman" w:cs="Times New Roman"/>
          <w:sz w:val="24"/>
        </w:rPr>
        <w:t>数据采集覆盖 WikiText-103 筛选数据集的 10 万句文本，采用 “分层抽样” 策略：按文本领域（如科技、人文、自然科学）各抽取 1/3 样本，确保数据代表性；同时针对大规模激活集中的关键维度（Dim 447、Dim 138），设置 “逐层逐维度” 采样频率（每 10 个 token 记录 1 次激活值），而非全局均匀采样，提升数据针对性。预处理阶段，除原有标准化操作外，额外过滤 BPE 分词后长度＜3 的短标记（占比＜1.2%），避免因标记过短导致的激活值失真。</w:t>
      </w:r>
    </w:p>
    <w:p w14:paraId="7A2D7E68">
      <w:pPr>
        <w:spacing w:before="312" w:beforeLines="100" w:after="312" w:afterLines="100"/>
        <w:rPr>
          <w:rFonts w:ascii="Times New Roman" w:hAnsi="Times New Roman" w:eastAsia="黑体" w:cs="Times New Roman"/>
          <w:sz w:val="28"/>
          <w:szCs w:val="28"/>
        </w:rPr>
      </w:pPr>
      <w:r>
        <w:rPr>
          <w:rFonts w:hint="eastAsia" w:ascii="Times New Roman" w:hAnsi="Times New Roman" w:eastAsia="黑体" w:cs="Times New Roman"/>
          <w:sz w:val="28"/>
          <w:szCs w:val="28"/>
        </w:rPr>
        <w:t>4.1：注意力头的生成效应验证实验</w:t>
      </w:r>
    </w:p>
    <w:p w14:paraId="3E5759BC">
      <w:pPr>
        <w:spacing w:line="400" w:lineRule="exact"/>
        <w:ind w:firstLine="240" w:firstLineChars="100"/>
        <w:rPr>
          <w:rFonts w:hint="eastAsia" w:ascii="Times New Roman" w:hAnsi="Times New Roman" w:cs="Times New Roman"/>
          <w:sz w:val="24"/>
        </w:rPr>
      </w:pPr>
      <w:r>
        <w:rPr>
          <w:rFonts w:hint="eastAsia" w:ascii="Times New Roman" w:hAnsi="Times New Roman" w:cs="Times New Roman"/>
          <w:sz w:val="24"/>
        </w:rPr>
        <w:t>大规模激活的核心特征是 “维度特异性极端值爆发”（激活值达中位数 300~3000 倍），其生成需满足 “特征放大” 或 “信号聚焦” 的机制前提。注意力机制的本质是序列依赖关系建模—— 通过计算 token 间的注意力得分，实现全局上下文的对齐与整合，其输出是分布式的关联特征，而非定向的激活放大。与之相反，激活生成需要模块具备 “信号增强” 能力（如权重矩阵的投影放大），这与注意力机制的设计目标存在本质割裂。</w:t>
      </w:r>
    </w:p>
    <w:p w14:paraId="71BFA8E0">
      <w:pPr>
        <w:spacing w:line="400" w:lineRule="exact"/>
        <w:ind w:firstLine="240" w:firstLineChars="100"/>
        <w:rPr>
          <w:rFonts w:hint="eastAsia" w:ascii="Times New Roman" w:hAnsi="Times New Roman" w:cs="Times New Roman"/>
          <w:sz w:val="24"/>
        </w:rPr>
      </w:pPr>
    </w:p>
    <w:tbl>
      <w:tblPr>
        <w:tblStyle w:val="4"/>
        <w:tblW w:w="4998" w:type="pct"/>
        <w:tblInd w:w="0" w:type="dxa"/>
        <w:tblLayout w:type="autofit"/>
        <w:tblCellMar>
          <w:top w:w="0" w:type="dxa"/>
          <w:left w:w="108" w:type="dxa"/>
          <w:bottom w:w="0" w:type="dxa"/>
          <w:right w:w="108" w:type="dxa"/>
        </w:tblCellMar>
      </w:tblPr>
      <w:tblGrid>
        <w:gridCol w:w="2586"/>
        <w:gridCol w:w="1519"/>
        <w:gridCol w:w="1372"/>
        <w:gridCol w:w="1372"/>
        <w:gridCol w:w="1670"/>
      </w:tblGrid>
      <w:tr w14:paraId="330141DF">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381A682D">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指标</w:t>
            </w:r>
          </w:p>
        </w:tc>
        <w:tc>
          <w:tcPr>
            <w:tcW w:w="891" w:type="pct"/>
            <w:tcBorders>
              <w:top w:val="single" w:color="auto" w:sz="4" w:space="0"/>
              <w:left w:val="single" w:color="auto" w:sz="4" w:space="0"/>
              <w:bottom w:val="single" w:color="auto" w:sz="4" w:space="0"/>
              <w:right w:val="single" w:color="auto" w:sz="4" w:space="0"/>
            </w:tcBorders>
            <w:noWrap/>
            <w:vAlign w:val="center"/>
          </w:tcPr>
          <w:p w14:paraId="681B48E2">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Baseline</w:t>
            </w:r>
          </w:p>
        </w:tc>
        <w:tc>
          <w:tcPr>
            <w:tcW w:w="805" w:type="pct"/>
            <w:tcBorders>
              <w:top w:val="single" w:color="auto" w:sz="4" w:space="0"/>
              <w:left w:val="single" w:color="auto" w:sz="4" w:space="0"/>
              <w:bottom w:val="single" w:color="auto" w:sz="4" w:space="0"/>
              <w:right w:val="single" w:color="auto" w:sz="4" w:space="0"/>
            </w:tcBorders>
            <w:noWrap/>
            <w:vAlign w:val="center"/>
          </w:tcPr>
          <w:p w14:paraId="79C7EB54">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全部头禁用</w:t>
            </w:r>
          </w:p>
        </w:tc>
        <w:tc>
          <w:tcPr>
            <w:tcW w:w="805" w:type="pct"/>
            <w:tcBorders>
              <w:top w:val="single" w:color="auto" w:sz="4" w:space="0"/>
              <w:left w:val="single" w:color="auto" w:sz="4" w:space="0"/>
              <w:bottom w:val="single" w:color="auto" w:sz="4" w:space="0"/>
              <w:right w:val="single" w:color="auto" w:sz="4" w:space="0"/>
            </w:tcBorders>
            <w:noWrap/>
            <w:vAlign w:val="center"/>
          </w:tcPr>
          <w:p w14:paraId="059BDE92">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变化</w:t>
            </w:r>
          </w:p>
        </w:tc>
        <w:tc>
          <w:tcPr>
            <w:tcW w:w="980" w:type="pct"/>
            <w:tcBorders>
              <w:top w:val="single" w:color="auto" w:sz="4" w:space="0"/>
              <w:left w:val="single" w:color="auto" w:sz="4" w:space="0"/>
              <w:bottom w:val="single" w:color="auto" w:sz="4" w:space="0"/>
              <w:right w:val="single" w:color="auto" w:sz="4" w:space="0"/>
            </w:tcBorders>
            <w:noWrap/>
            <w:vAlign w:val="center"/>
          </w:tcPr>
          <w:p w14:paraId="47B62DA1">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百分比变化</w:t>
            </w:r>
          </w:p>
        </w:tc>
      </w:tr>
      <w:tr w14:paraId="6F6F4733">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5248CD52">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Dim 447（峰值）</w:t>
            </w:r>
          </w:p>
        </w:tc>
        <w:tc>
          <w:tcPr>
            <w:tcW w:w="891" w:type="pct"/>
            <w:tcBorders>
              <w:top w:val="single" w:color="auto" w:sz="4" w:space="0"/>
              <w:left w:val="single" w:color="auto" w:sz="4" w:space="0"/>
              <w:bottom w:val="single" w:color="auto" w:sz="4" w:space="0"/>
              <w:right w:val="single" w:color="auto" w:sz="4" w:space="0"/>
            </w:tcBorders>
            <w:noWrap/>
            <w:vAlign w:val="center"/>
          </w:tcPr>
          <w:p w14:paraId="4DF99D4D">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3021.33</w:t>
            </w:r>
          </w:p>
        </w:tc>
        <w:tc>
          <w:tcPr>
            <w:tcW w:w="805" w:type="pct"/>
            <w:tcBorders>
              <w:top w:val="single" w:color="auto" w:sz="4" w:space="0"/>
              <w:left w:val="single" w:color="auto" w:sz="4" w:space="0"/>
              <w:bottom w:val="single" w:color="auto" w:sz="4" w:space="0"/>
              <w:right w:val="single" w:color="auto" w:sz="4" w:space="0"/>
            </w:tcBorders>
            <w:noWrap/>
            <w:vAlign w:val="center"/>
          </w:tcPr>
          <w:p w14:paraId="7C147CFE">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3040.47</w:t>
            </w:r>
          </w:p>
        </w:tc>
        <w:tc>
          <w:tcPr>
            <w:tcW w:w="805" w:type="pct"/>
            <w:tcBorders>
              <w:top w:val="single" w:color="auto" w:sz="4" w:space="0"/>
              <w:left w:val="single" w:color="auto" w:sz="4" w:space="0"/>
              <w:bottom w:val="single" w:color="auto" w:sz="4" w:space="0"/>
              <w:right w:val="single" w:color="auto" w:sz="4" w:space="0"/>
            </w:tcBorders>
            <w:noWrap/>
            <w:vAlign w:val="center"/>
          </w:tcPr>
          <w:p w14:paraId="390C1D4D">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19.13</w:t>
            </w:r>
          </w:p>
        </w:tc>
        <w:tc>
          <w:tcPr>
            <w:tcW w:w="980" w:type="pct"/>
            <w:tcBorders>
              <w:top w:val="single" w:color="auto" w:sz="4" w:space="0"/>
              <w:left w:val="single" w:color="auto" w:sz="4" w:space="0"/>
              <w:bottom w:val="single" w:color="auto" w:sz="4" w:space="0"/>
              <w:right w:val="single" w:color="auto" w:sz="4" w:space="0"/>
            </w:tcBorders>
            <w:noWrap/>
            <w:vAlign w:val="center"/>
          </w:tcPr>
          <w:p w14:paraId="20CCE4B9">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+0.63% ✅</w:t>
            </w:r>
          </w:p>
        </w:tc>
      </w:tr>
      <w:tr w14:paraId="5BD7AE24">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1B0B5FFF">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Dim 138（峰值）</w:t>
            </w:r>
          </w:p>
        </w:tc>
        <w:tc>
          <w:tcPr>
            <w:tcW w:w="891" w:type="pct"/>
            <w:tcBorders>
              <w:top w:val="single" w:color="auto" w:sz="4" w:space="0"/>
              <w:left w:val="single" w:color="auto" w:sz="4" w:space="0"/>
              <w:bottom w:val="single" w:color="auto" w:sz="4" w:space="0"/>
              <w:right w:val="single" w:color="auto" w:sz="4" w:space="0"/>
            </w:tcBorders>
            <w:noWrap/>
            <w:vAlign w:val="center"/>
          </w:tcPr>
          <w:p w14:paraId="1E6E85D7">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796.37</w:t>
            </w:r>
          </w:p>
        </w:tc>
        <w:tc>
          <w:tcPr>
            <w:tcW w:w="805" w:type="pct"/>
            <w:tcBorders>
              <w:top w:val="single" w:color="auto" w:sz="4" w:space="0"/>
              <w:left w:val="single" w:color="auto" w:sz="4" w:space="0"/>
              <w:bottom w:val="single" w:color="auto" w:sz="4" w:space="0"/>
              <w:right w:val="single" w:color="auto" w:sz="4" w:space="0"/>
            </w:tcBorders>
            <w:noWrap/>
            <w:vAlign w:val="center"/>
          </w:tcPr>
          <w:p w14:paraId="11115888">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795.73</w:t>
            </w:r>
          </w:p>
        </w:tc>
        <w:tc>
          <w:tcPr>
            <w:tcW w:w="805" w:type="pct"/>
            <w:tcBorders>
              <w:top w:val="single" w:color="auto" w:sz="4" w:space="0"/>
              <w:left w:val="single" w:color="auto" w:sz="4" w:space="0"/>
              <w:bottom w:val="single" w:color="auto" w:sz="4" w:space="0"/>
              <w:right w:val="single" w:color="auto" w:sz="4" w:space="0"/>
            </w:tcBorders>
            <w:noWrap/>
            <w:vAlign w:val="center"/>
          </w:tcPr>
          <w:p w14:paraId="617E218F">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-0.63</w:t>
            </w:r>
          </w:p>
        </w:tc>
        <w:tc>
          <w:tcPr>
            <w:tcW w:w="980" w:type="pct"/>
            <w:tcBorders>
              <w:top w:val="single" w:color="auto" w:sz="4" w:space="0"/>
              <w:left w:val="single" w:color="auto" w:sz="4" w:space="0"/>
              <w:bottom w:val="single" w:color="auto" w:sz="4" w:space="0"/>
              <w:right w:val="single" w:color="auto" w:sz="4" w:space="0"/>
            </w:tcBorders>
            <w:noWrap/>
            <w:vAlign w:val="center"/>
          </w:tcPr>
          <w:p w14:paraId="3EDA6814">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-0.08% ✅</w:t>
            </w:r>
          </w:p>
        </w:tc>
      </w:tr>
      <w:tr w14:paraId="39359EF6">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7C4083F9">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Layer 2 Top1</w:t>
            </w:r>
          </w:p>
        </w:tc>
        <w:tc>
          <w:tcPr>
            <w:tcW w:w="891" w:type="pct"/>
            <w:tcBorders>
              <w:top w:val="single" w:color="auto" w:sz="4" w:space="0"/>
              <w:left w:val="single" w:color="auto" w:sz="4" w:space="0"/>
              <w:bottom w:val="single" w:color="auto" w:sz="4" w:space="0"/>
              <w:right w:val="single" w:color="auto" w:sz="4" w:space="0"/>
            </w:tcBorders>
            <w:noWrap/>
            <w:vAlign w:val="center"/>
          </w:tcPr>
          <w:p w14:paraId="5213F30C">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2475.27</w:t>
            </w:r>
          </w:p>
        </w:tc>
        <w:tc>
          <w:tcPr>
            <w:tcW w:w="805" w:type="pct"/>
            <w:tcBorders>
              <w:top w:val="single" w:color="auto" w:sz="4" w:space="0"/>
              <w:left w:val="single" w:color="auto" w:sz="4" w:space="0"/>
              <w:bottom w:val="single" w:color="auto" w:sz="4" w:space="0"/>
              <w:right w:val="single" w:color="auto" w:sz="4" w:space="0"/>
            </w:tcBorders>
            <w:noWrap/>
            <w:vAlign w:val="center"/>
          </w:tcPr>
          <w:p w14:paraId="625FFC7B">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2519.4</w:t>
            </w:r>
          </w:p>
        </w:tc>
        <w:tc>
          <w:tcPr>
            <w:tcW w:w="805" w:type="pct"/>
            <w:tcBorders>
              <w:top w:val="single" w:color="auto" w:sz="4" w:space="0"/>
              <w:left w:val="single" w:color="auto" w:sz="4" w:space="0"/>
              <w:bottom w:val="single" w:color="auto" w:sz="4" w:space="0"/>
              <w:right w:val="single" w:color="auto" w:sz="4" w:space="0"/>
            </w:tcBorders>
            <w:noWrap/>
            <w:vAlign w:val="center"/>
          </w:tcPr>
          <w:p w14:paraId="1765F4D2">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44.13</w:t>
            </w:r>
          </w:p>
        </w:tc>
        <w:tc>
          <w:tcPr>
            <w:tcW w:w="980" w:type="pct"/>
            <w:tcBorders>
              <w:top w:val="single" w:color="auto" w:sz="4" w:space="0"/>
              <w:left w:val="single" w:color="auto" w:sz="4" w:space="0"/>
              <w:bottom w:val="single" w:color="auto" w:sz="4" w:space="0"/>
              <w:right w:val="single" w:color="auto" w:sz="4" w:space="0"/>
            </w:tcBorders>
            <w:noWrap/>
            <w:vAlign w:val="center"/>
          </w:tcPr>
          <w:p w14:paraId="3D6DD29D">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+1.78% ✅</w:t>
            </w:r>
          </w:p>
        </w:tc>
      </w:tr>
      <w:tr w14:paraId="31635F90">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5920199C">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Layer 5 Top1</w:t>
            </w:r>
          </w:p>
        </w:tc>
        <w:tc>
          <w:tcPr>
            <w:tcW w:w="891" w:type="pct"/>
            <w:tcBorders>
              <w:top w:val="single" w:color="auto" w:sz="4" w:space="0"/>
              <w:left w:val="single" w:color="auto" w:sz="4" w:space="0"/>
              <w:bottom w:val="single" w:color="auto" w:sz="4" w:space="0"/>
              <w:right w:val="single" w:color="auto" w:sz="4" w:space="0"/>
            </w:tcBorders>
            <w:noWrap/>
            <w:vAlign w:val="center"/>
          </w:tcPr>
          <w:p w14:paraId="3F835222">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2891.73</w:t>
            </w:r>
          </w:p>
        </w:tc>
        <w:tc>
          <w:tcPr>
            <w:tcW w:w="805" w:type="pct"/>
            <w:tcBorders>
              <w:top w:val="single" w:color="auto" w:sz="4" w:space="0"/>
              <w:left w:val="single" w:color="auto" w:sz="4" w:space="0"/>
              <w:bottom w:val="single" w:color="auto" w:sz="4" w:space="0"/>
              <w:right w:val="single" w:color="auto" w:sz="4" w:space="0"/>
            </w:tcBorders>
            <w:noWrap/>
            <w:vAlign w:val="center"/>
          </w:tcPr>
          <w:p w14:paraId="2BF2C1BD">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2922.27</w:t>
            </w:r>
          </w:p>
        </w:tc>
        <w:tc>
          <w:tcPr>
            <w:tcW w:w="805" w:type="pct"/>
            <w:tcBorders>
              <w:top w:val="single" w:color="auto" w:sz="4" w:space="0"/>
              <w:left w:val="single" w:color="auto" w:sz="4" w:space="0"/>
              <w:bottom w:val="single" w:color="auto" w:sz="4" w:space="0"/>
              <w:right w:val="single" w:color="auto" w:sz="4" w:space="0"/>
            </w:tcBorders>
            <w:noWrap/>
            <w:vAlign w:val="center"/>
          </w:tcPr>
          <w:p w14:paraId="1AFF2BE8">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30.53</w:t>
            </w:r>
          </w:p>
        </w:tc>
        <w:tc>
          <w:tcPr>
            <w:tcW w:w="980" w:type="pct"/>
            <w:tcBorders>
              <w:top w:val="single" w:color="auto" w:sz="4" w:space="0"/>
              <w:left w:val="single" w:color="auto" w:sz="4" w:space="0"/>
              <w:bottom w:val="single" w:color="auto" w:sz="4" w:space="0"/>
              <w:right w:val="single" w:color="auto" w:sz="4" w:space="0"/>
            </w:tcBorders>
            <w:noWrap/>
            <w:vAlign w:val="center"/>
          </w:tcPr>
          <w:p w14:paraId="4A441841">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+1.06% ✅</w:t>
            </w:r>
          </w:p>
        </w:tc>
      </w:tr>
      <w:tr w14:paraId="44C56BC8">
        <w:tblPrEx>
          <w:tblCellMar>
            <w:top w:w="0" w:type="dxa"/>
            <w:left w:w="108" w:type="dxa"/>
            <w:bottom w:w="0" w:type="dxa"/>
            <w:right w:w="108" w:type="dxa"/>
          </w:tblCellMar>
        </w:tblPrEx>
        <w:trPr>
          <w:trHeight w:val="280" w:hRule="atLeast"/>
        </w:trPr>
        <w:tc>
          <w:tcPr>
            <w:tcW w:w="1517" w:type="pct"/>
            <w:tcBorders>
              <w:top w:val="single" w:color="auto" w:sz="4" w:space="0"/>
              <w:left w:val="single" w:color="auto" w:sz="4" w:space="0"/>
              <w:bottom w:val="single" w:color="auto" w:sz="4" w:space="0"/>
              <w:right w:val="single" w:color="auto" w:sz="4" w:space="0"/>
            </w:tcBorders>
            <w:noWrap/>
            <w:vAlign w:val="center"/>
          </w:tcPr>
          <w:p w14:paraId="4C55EB02">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Layer 10 Top1</w:t>
            </w:r>
          </w:p>
        </w:tc>
        <w:tc>
          <w:tcPr>
            <w:tcW w:w="891" w:type="pct"/>
            <w:tcBorders>
              <w:top w:val="single" w:color="auto" w:sz="4" w:space="0"/>
              <w:left w:val="single" w:color="auto" w:sz="4" w:space="0"/>
              <w:bottom w:val="single" w:color="auto" w:sz="4" w:space="0"/>
              <w:right w:val="single" w:color="auto" w:sz="4" w:space="0"/>
            </w:tcBorders>
            <w:noWrap/>
            <w:vAlign w:val="center"/>
          </w:tcPr>
          <w:p w14:paraId="17258173">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3021.33</w:t>
            </w:r>
          </w:p>
        </w:tc>
        <w:tc>
          <w:tcPr>
            <w:tcW w:w="805" w:type="pct"/>
            <w:tcBorders>
              <w:top w:val="single" w:color="auto" w:sz="4" w:space="0"/>
              <w:left w:val="single" w:color="auto" w:sz="4" w:space="0"/>
              <w:bottom w:val="single" w:color="auto" w:sz="4" w:space="0"/>
              <w:right w:val="single" w:color="auto" w:sz="4" w:space="0"/>
            </w:tcBorders>
            <w:noWrap/>
            <w:vAlign w:val="center"/>
          </w:tcPr>
          <w:p w14:paraId="14E3C477">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3040.47</w:t>
            </w:r>
          </w:p>
        </w:tc>
        <w:tc>
          <w:tcPr>
            <w:tcW w:w="805" w:type="pct"/>
            <w:tcBorders>
              <w:top w:val="single" w:color="auto" w:sz="4" w:space="0"/>
              <w:left w:val="single" w:color="auto" w:sz="4" w:space="0"/>
              <w:bottom w:val="single" w:color="auto" w:sz="4" w:space="0"/>
              <w:right w:val="single" w:color="auto" w:sz="4" w:space="0"/>
            </w:tcBorders>
            <w:noWrap/>
            <w:vAlign w:val="center"/>
          </w:tcPr>
          <w:p w14:paraId="00F4B8BD">
            <w:pPr>
              <w:widowControl/>
              <w:jc w:val="righ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19.13</w:t>
            </w:r>
          </w:p>
        </w:tc>
        <w:tc>
          <w:tcPr>
            <w:tcW w:w="980" w:type="pct"/>
            <w:tcBorders>
              <w:top w:val="single" w:color="auto" w:sz="4" w:space="0"/>
              <w:left w:val="single" w:color="auto" w:sz="4" w:space="0"/>
              <w:bottom w:val="single" w:color="auto" w:sz="4" w:space="0"/>
              <w:right w:val="single" w:color="auto" w:sz="4" w:space="0"/>
            </w:tcBorders>
            <w:noWrap/>
            <w:vAlign w:val="center"/>
          </w:tcPr>
          <w:p w14:paraId="475FE448">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+0.63% ✅</w:t>
            </w:r>
          </w:p>
        </w:tc>
      </w:tr>
    </w:tbl>
    <w:p w14:paraId="64C4C3DA">
      <w:pPr>
        <w:spacing w:line="400" w:lineRule="exact"/>
        <w:ind w:firstLine="240" w:firstLineChars="100"/>
        <w:rPr>
          <w:rFonts w:ascii="Times New Roman" w:hAnsi="Times New Roman" w:cs="Times New Roman"/>
          <w:sz w:val="24"/>
        </w:rPr>
      </w:pPr>
    </w:p>
    <w:p w14:paraId="6B9A671F">
      <w:pPr>
        <w:spacing w:line="400" w:lineRule="exact"/>
        <w:ind w:firstLine="240" w:firstLineChars="100"/>
        <w:rPr>
          <w:rFonts w:ascii="Times New Roman" w:hAnsi="Times New Roman" w:cs="Times New Roman"/>
          <w:sz w:val="24"/>
        </w:rPr>
      </w:pPr>
      <w:r>
        <w:rPr>
          <w:rFonts w:hint="eastAsia" w:ascii="Times New Roman" w:hAnsi="Times New Roman" w:cs="Times New Roman"/>
          <w:sz w:val="24"/>
        </w:rPr>
        <w:t>表</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清晰地展示了禁用所有注意力头前后，关键激活指标的对比情况。数据显示，所有指标的变化率均低于±2%的实验误差容忍阈值。具体而言，最具代表性的Dim 447峰值仅变化+0.63%，而Dim 138峰值的变化率更是低至-0.08%。跨层Top1激活值的变化范围也集中在+0.63%至+1.78%之间，未观察到任何具有实质意义的衰减。</w:t>
      </w:r>
    </w:p>
    <w:p w14:paraId="1D7303CE">
      <w:pPr>
        <w:pStyle w:val="3"/>
        <w:widowControl/>
        <w:jc w:val="center"/>
      </w:pPr>
      <w:r>
        <w:drawing>
          <wp:inline distT="0" distB="0" distL="114300" distR="114300">
            <wp:extent cx="3980815" cy="3169920"/>
            <wp:effectExtent l="0" t="0" r="6985" b="508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46"/>
                    <a:stretch>
                      <a:fillRect/>
                    </a:stretch>
                  </pic:blipFill>
                  <pic:spPr>
                    <a:xfrm>
                      <a:off x="0" y="0"/>
                      <a:ext cx="3980815" cy="3169920"/>
                    </a:xfrm>
                    <a:prstGeom prst="rect">
                      <a:avLst/>
                    </a:prstGeom>
                    <a:noFill/>
                    <a:ln w="9525">
                      <a:noFill/>
                    </a:ln>
                  </pic:spPr>
                </pic:pic>
              </a:graphicData>
            </a:graphic>
          </wp:inline>
        </w:drawing>
      </w:r>
    </w:p>
    <w:p w14:paraId="6065ACE8">
      <w:pPr>
        <w:spacing w:before="312" w:beforeLines="100" w:after="312" w:afterLines="100"/>
        <w:ind w:firstLine="630" w:firstLineChars="300"/>
        <w:jc w:val="center"/>
        <w:rPr>
          <w:rFonts w:ascii="Times New Roman" w:hAnsi="Times New Roman" w:eastAsia="楷体" w:cs="Times New Roman"/>
          <w:szCs w:val="21"/>
        </w:rPr>
      </w:pPr>
      <w:r>
        <w:rPr>
          <w:rFonts w:ascii="Times New Roman" w:hAnsi="Times New Roman" w:eastAsia="楷体" w:cs="Times New Roman"/>
          <w:szCs w:val="21"/>
        </w:rPr>
        <w:t xml:space="preserve">图：Baseline </w:t>
      </w:r>
      <w:r>
        <w:rPr>
          <w:rFonts w:hint="eastAsia" w:ascii="Times New Roman" w:hAnsi="Times New Roman" w:eastAsia="楷体" w:cs="Times New Roman"/>
          <w:szCs w:val="21"/>
          <w:lang w:val="en-US" w:eastAsia="zh-CN"/>
        </w:rPr>
        <w:t>与</w:t>
      </w:r>
      <w:r>
        <w:rPr>
          <w:rFonts w:ascii="Times New Roman" w:hAnsi="Times New Roman" w:eastAsia="楷体" w:cs="Times New Roman"/>
          <w:szCs w:val="21"/>
        </w:rPr>
        <w:t>全禁用 Top1 激活值对比</w:t>
      </w:r>
    </w:p>
    <w:p w14:paraId="37A72D87">
      <w:pPr>
        <w:spacing w:line="400" w:lineRule="exact"/>
        <w:ind w:firstLine="240" w:firstLineChars="100"/>
        <w:rPr>
          <w:rFonts w:hint="eastAsia" w:ascii="Times New Roman" w:hAnsi="Times New Roman" w:cs="Times New Roman"/>
          <w:sz w:val="24"/>
        </w:rPr>
      </w:pPr>
      <w:r>
        <w:rPr>
          <w:rFonts w:hint="eastAsia" w:ascii="Times New Roman" w:hAnsi="Times New Roman" w:cs="Times New Roman"/>
          <w:sz w:val="24"/>
        </w:rPr>
        <w:t xml:space="preserve">图（Baseline </w:t>
      </w:r>
      <w:r>
        <w:rPr>
          <w:rFonts w:hint="eastAsia" w:ascii="Times New Roman" w:hAnsi="Times New Roman" w:cs="Times New Roman"/>
          <w:sz w:val="24"/>
          <w:lang w:val="en-US" w:eastAsia="zh-CN"/>
        </w:rPr>
        <w:t>与</w:t>
      </w:r>
      <w:r>
        <w:rPr>
          <w:rFonts w:hint="eastAsia" w:ascii="Times New Roman" w:hAnsi="Times New Roman" w:cs="Times New Roman"/>
          <w:sz w:val="24"/>
        </w:rPr>
        <w:t>全禁用 Top1 激活值对比）：两组实验的跨层 Top1 激活值曲线呈现近乎完全重合的趋势（重合度 &gt; 98%）。其中，Layer 2 的激活峰值差异仅 44.13，Layer 10 的差异 19.13，曲线波动幅度均 &lt; 2%，直观反映注意力头禁用未改变激活的整体分布模式。特别是在标志激活爆发的第2层至第10层的平台期，未观察到明显的曲线断层或下降，这表明注意力机制的缺失并未改变大规模激活的整体分布与维持模式。</w:t>
      </w:r>
    </w:p>
    <w:p w14:paraId="0FAF13E6">
      <w:pPr>
        <w:pStyle w:val="3"/>
        <w:widowControl/>
        <w:rPr>
          <w:rFonts w:ascii="Times New Roman" w:hAnsi="Times New Roman"/>
        </w:rPr>
      </w:pPr>
    </w:p>
    <w:p w14:paraId="4A9B1AB9">
      <w:pPr>
        <w:pStyle w:val="3"/>
        <w:widowControl/>
        <w:jc w:val="center"/>
      </w:pPr>
      <w:r>
        <w:drawing>
          <wp:inline distT="0" distB="0" distL="114300" distR="114300">
            <wp:extent cx="4060825" cy="2218055"/>
            <wp:effectExtent l="0" t="0" r="317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7"/>
                    <a:stretch>
                      <a:fillRect/>
                    </a:stretch>
                  </pic:blipFill>
                  <pic:spPr>
                    <a:xfrm>
                      <a:off x="0" y="0"/>
                      <a:ext cx="4060825" cy="2218055"/>
                    </a:xfrm>
                    <a:prstGeom prst="rect">
                      <a:avLst/>
                    </a:prstGeom>
                    <a:noFill/>
                    <a:ln w="9525">
                      <a:noFill/>
                    </a:ln>
                  </pic:spPr>
                </pic:pic>
              </a:graphicData>
            </a:graphic>
          </wp:inline>
        </w:drawing>
      </w:r>
    </w:p>
    <w:p w14:paraId="3B5CFF94">
      <w:pPr>
        <w:keepNext w:val="0"/>
        <w:keepLines w:val="0"/>
        <w:pageBreakBefore w:val="0"/>
        <w:widowControl w:val="0"/>
        <w:kinsoku/>
        <w:wordWrap/>
        <w:overflowPunct/>
        <w:topLinePunct w:val="0"/>
        <w:autoSpaceDE/>
        <w:autoSpaceDN/>
        <w:bidi w:val="0"/>
        <w:adjustRightInd/>
        <w:snapToGrid/>
        <w:ind w:firstLine="630" w:firstLineChars="300"/>
        <w:jc w:val="center"/>
        <w:textAlignment w:val="auto"/>
        <w:rPr>
          <w:rFonts w:ascii="Times New Roman" w:hAnsi="Times New Roman" w:eastAsia="楷体" w:cs="Times New Roman"/>
          <w:szCs w:val="21"/>
        </w:rPr>
      </w:pPr>
      <w:r>
        <w:rPr>
          <w:rFonts w:hint="eastAsia" w:ascii="Times New Roman" w:hAnsi="Times New Roman" w:eastAsia="楷体" w:cs="Times New Roman"/>
          <w:szCs w:val="21"/>
        </w:rPr>
        <w:t>图 ：Dimension 447/138 跨层稳定性</w:t>
      </w:r>
    </w:p>
    <w:p w14:paraId="79C59878">
      <w:pPr>
        <w:spacing w:line="400" w:lineRule="exact"/>
        <w:ind w:firstLine="240" w:firstLineChars="100"/>
        <w:rPr>
          <w:rFonts w:ascii="Times New Roman" w:hAnsi="Times New Roman" w:cs="Times New Roman"/>
          <w:sz w:val="24"/>
        </w:rPr>
      </w:pPr>
      <w:r>
        <w:rPr>
          <w:rFonts w:hint="eastAsia" w:ascii="Times New Roman" w:hAnsi="Times New Roman" w:cs="Times New Roman"/>
          <w:sz w:val="24"/>
        </w:rPr>
        <w:t>Dim 447与Dim 138在所有Transformer层中的激活强度在两组实验间保持高度一致。Dim 447在2~10层的平均变化率为0.63%（标准差0.21%），Dim 138的平均变化率为-0.08%（标准差0.15%），所有层的变化率均小于1%，进一步证实了大规模激活的强度不依赖于注意力头的正常工作。</w:t>
      </w:r>
      <w:r>
        <w:rPr>
          <w:rFonts w:hint="eastAsia" w:ascii="Times New Roman" w:hAnsi="Times New Roman" w:cs="Times New Roman"/>
          <w:sz w:val="24"/>
          <w:lang w:val="en-US" w:eastAsia="zh-CN"/>
        </w:rPr>
        <w:t>基于此发现</w:t>
      </w:r>
      <w:r>
        <w:rPr>
          <w:rFonts w:hint="eastAsia" w:ascii="Times New Roman" w:hAnsi="Times New Roman" w:cs="Times New Roman"/>
          <w:sz w:val="24"/>
        </w:rPr>
        <w:t>，我们通过配对t检验对两组实验的激活值分布进行了统计验证。结果显示，所有关键指标的p值均远大于0.05的显著性水平（Dim 447: t=0.32, p=0.75; Dim 138: t=-0.11, p=0.91; 跨层Top1: t=0.87, p=0.38），表明两组数据无统计学上的显著差异。这一结果</w:t>
      </w:r>
      <w:r>
        <w:rPr>
          <w:rFonts w:hint="eastAsia" w:ascii="Times New Roman" w:hAnsi="Times New Roman" w:cs="Times New Roman"/>
          <w:sz w:val="24"/>
          <w:lang w:val="en-US" w:eastAsia="zh-CN"/>
        </w:rPr>
        <w:t>有力论证</w:t>
      </w:r>
      <w:r>
        <w:rPr>
          <w:rFonts w:hint="eastAsia" w:ascii="Times New Roman" w:hAnsi="Times New Roman" w:cs="Times New Roman"/>
          <w:sz w:val="24"/>
        </w:rPr>
        <w:t>了 “注意力头不参与大规模激活生成” 的核心假设 —— 即使在激活爆炸的 Layer 2，Dim 447 的强度仍保持稳定，未因注意力机制缺失而坍塌。</w:t>
      </w:r>
    </w:p>
    <w:p w14:paraId="2C772D47">
      <w:pPr>
        <w:spacing w:before="312" w:beforeLines="100" w:after="312" w:afterLines="100"/>
        <w:rPr>
          <w:rFonts w:ascii="Times New Roman" w:hAnsi="Times New Roman" w:eastAsia="楷体" w:cs="Times New Roman"/>
          <w:szCs w:val="21"/>
        </w:rPr>
      </w:pPr>
      <w:r>
        <w:rPr>
          <w:rFonts w:hint="eastAsia" w:ascii="Times New Roman" w:hAnsi="Times New Roman" w:eastAsia="楷体" w:cs="Times New Roman"/>
          <w:szCs w:val="21"/>
        </w:rPr>
        <w:drawing>
          <wp:inline distT="0" distB="0" distL="114300" distR="114300">
            <wp:extent cx="5795645" cy="2202180"/>
            <wp:effectExtent l="0" t="0" r="825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8"/>
                    <a:stretch>
                      <a:fillRect/>
                    </a:stretch>
                  </pic:blipFill>
                  <pic:spPr>
                    <a:xfrm>
                      <a:off x="0" y="0"/>
                      <a:ext cx="5795645" cy="2202180"/>
                    </a:xfrm>
                    <a:prstGeom prst="rect">
                      <a:avLst/>
                    </a:prstGeom>
                    <a:noFill/>
                    <a:ln w="9525">
                      <a:noFill/>
                    </a:ln>
                  </pic:spPr>
                </pic:pic>
              </a:graphicData>
            </a:graphic>
          </wp:inline>
        </w:drawing>
      </w:r>
    </w:p>
    <w:p w14:paraId="7310D608">
      <w:pPr>
        <w:spacing w:before="312" w:beforeLines="100" w:after="312" w:afterLines="100"/>
        <w:ind w:firstLine="630" w:firstLineChars="300"/>
        <w:jc w:val="center"/>
        <w:rPr>
          <w:rFonts w:ascii="Times New Roman" w:hAnsi="Times New Roman" w:eastAsia="楷体" w:cs="Times New Roman"/>
          <w:szCs w:val="21"/>
        </w:rPr>
      </w:pPr>
      <w:r>
        <w:rPr>
          <w:rFonts w:hint="eastAsia" w:ascii="Times New Roman" w:hAnsi="Times New Roman" w:eastAsia="楷体" w:cs="Times New Roman"/>
          <w:szCs w:val="21"/>
        </w:rPr>
        <w:t>图 ：所有图层和指标的百分比变化热图</w:t>
      </w:r>
    </w:p>
    <w:p w14:paraId="67EFD78E">
      <w:pPr>
        <w:spacing w:line="400" w:lineRule="exact"/>
        <w:rPr>
          <w:rFonts w:ascii="Times New Roman" w:hAnsi="Times New Roman" w:cs="Times New Roman"/>
          <w:sz w:val="24"/>
        </w:rPr>
      </w:pPr>
    </w:p>
    <w:p w14:paraId="772D5D17">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热图中各层、各指标的百分比变化集中在 ±2% 的颜色区间内（无红色 / 蓝色极端色块）。其中，Dim 447 的最大变化率为 Layer 5 的 + 1.3%，Dim 138 的最大变化率为 Layer 0 的 - 0.2%，中位数激活值的变化率均 &lt; 0.5%。这种全局低波动特征，进一步证实注意力头对激活值的贡献可忽略不计。</w:t>
      </w:r>
    </w:p>
    <w:p w14:paraId="54CDF2C6">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采用配对 t 检验对两组实验的激活值分布进行差异检验，结果显示：Dim 447 的 t 值 = 0.32（df=999，p=0.75&gt;0.05），Dim 138 的 t 值 =-0.11（df=999，p=0.91&gt;0.05），跨层 Top1 激活值的 t 值 = 0.87（df=999，p=0.38&gt;0.05），所有指标均无统计学显著差异。</w:t>
      </w:r>
    </w:p>
    <w:p w14:paraId="7A304AA2">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实验结果表明，完全禁用注意力机制对大规模激活的强度与分布模式未产生实质性影响。这一反直觉的发现强有力地证明，注意力头并非大规模激活的生成源。相反，它们更可能扮演着“激活读取器”的角色，即对模型中已存在的、由其他组件产生的强激活信号进行关注和利用。因此，大规模激活的核心来源需进一步指向Transformer架构中的其他组件，如MLP层。</w:t>
      </w:r>
    </w:p>
    <w:p w14:paraId="5434CFEF">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关键发现：注意力头在 Layer 0~10 中仅扮演 “激活读取器” 角色 —— 通过注意力得分关注已生成的大规模激活（如 Layer 5 Head1 的得分 0.828），但不参与激活生成；大规模激活的核心来源需进一步指向 MLP 层、LayerNorm 或残差连接。</w:t>
      </w:r>
    </w:p>
    <w:p w14:paraId="0919E9E1">
      <w:pPr>
        <w:spacing w:before="312" w:beforeLines="100" w:after="312" w:afterLines="100"/>
        <w:rPr>
          <w:rFonts w:ascii="Times New Roman" w:hAnsi="Times New Roman" w:eastAsia="黑体" w:cs="Times New Roman"/>
          <w:sz w:val="28"/>
          <w:szCs w:val="28"/>
        </w:rPr>
      </w:pPr>
      <w:r>
        <w:rPr>
          <w:rFonts w:hint="eastAsia" w:ascii="Times New Roman" w:hAnsi="Times New Roman" w:eastAsia="黑体" w:cs="Times New Roman"/>
          <w:sz w:val="28"/>
          <w:szCs w:val="28"/>
        </w:rPr>
        <w:t>4.2：注意力头的修剪效应</w:t>
      </w:r>
    </w:p>
    <w:p w14:paraId="422E1F5A">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在确认注意力头非生成源的基础上，本实验进一步探究其对大规模激活的调节作用。我们通过选择性修剪与大规模激活标记关联度不同的注意力头，检验其对激活强度与模型整体性能的影响。本实验基于 “注意力得分排序 + 分层修剪” 逻辑，首先通过滑动窗口法计算每个注意力头对大规模激活标记（首 token）的平均注意力得分（窗口大小 = 100 句），排除句长 &lt; 5token 的短文本干扰（占比 &lt; 3%）。筛选出的 Top10 高关联头中，7 个集中于 Layer 5~7（深层），3 个位于 Layer 2~3（浅层），平均得分 0.68±0.12；Bottom5 低关联头均分布于 Layer 0、4、11（边缘层），平均得分 0.0015±0.0008，两类头的得分差异达 453 倍（Cohen’s d=8.2，p&lt;0.001），确保分组有效性。实验设置对照组（全头激活）、实验组 1（剪 Top10 头）、实验组 2（剪 Bottom5 头），每组均重复 3 次实验取均值，避免随机种子导致的误差，核心评估指标的采样周期与 4.1 保持一致。</w:t>
      </w:r>
    </w:p>
    <w:p w14:paraId="7E758586">
      <w:pPr>
        <w:pStyle w:val="3"/>
        <w:widowControl/>
        <w:jc w:val="center"/>
      </w:pPr>
      <w:r>
        <w:drawing>
          <wp:inline distT="0" distB="0" distL="114300" distR="114300">
            <wp:extent cx="3616960" cy="2499995"/>
            <wp:effectExtent l="0" t="0" r="2540" b="1905"/>
            <wp:docPr id="13"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descr="IMG_256"/>
                    <pic:cNvPicPr>
                      <a:picLocks noChangeAspect="1"/>
                    </pic:cNvPicPr>
                  </pic:nvPicPr>
                  <pic:blipFill>
                    <a:blip r:embed="rId49"/>
                    <a:stretch>
                      <a:fillRect/>
                    </a:stretch>
                  </pic:blipFill>
                  <pic:spPr>
                    <a:xfrm>
                      <a:off x="0" y="0"/>
                      <a:ext cx="3616960" cy="2499995"/>
                    </a:xfrm>
                    <a:prstGeom prst="rect">
                      <a:avLst/>
                    </a:prstGeom>
                    <a:noFill/>
                    <a:ln w="9525">
                      <a:noFill/>
                    </a:ln>
                  </pic:spPr>
                </pic:pic>
              </a:graphicData>
            </a:graphic>
          </wp:inline>
        </w:drawing>
      </w:r>
    </w:p>
    <w:p w14:paraId="7D9070F8">
      <w:pPr>
        <w:spacing w:before="312" w:beforeLines="100" w:after="312" w:afterLines="100"/>
        <w:ind w:firstLine="630" w:firstLineChars="300"/>
        <w:jc w:val="center"/>
        <w:rPr>
          <w:rFonts w:ascii="Times New Roman" w:hAnsi="Times New Roman" w:eastAsia="楷体" w:cs="Times New Roman"/>
          <w:szCs w:val="21"/>
        </w:rPr>
      </w:pPr>
      <w:r>
        <w:rPr>
          <w:rFonts w:hint="eastAsia" w:ascii="Times New Roman" w:hAnsi="Times New Roman" w:eastAsia="楷体" w:cs="Times New Roman"/>
          <w:szCs w:val="21"/>
        </w:rPr>
        <w:t>图2：注意力头对Massive Activation Token（第一个token）的关注度</w:t>
      </w:r>
    </w:p>
    <w:p w14:paraId="294ACDB6">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剪枝实验的平均变化率显示：实验组 1 的激活强度最大变化为 Layer 11 的 + 0.73%，中位数变化率 + 0.06%；实验组 2 的最大变化为 Layer 0 的 - 2.64%，中位数变化率 - 0.57%。两组的模型性能（WikiText-103 困惑度）均无显著波动：对照组 28.76，实验组 128.81，实验组 228.73，差异 &lt; 0.2%，证实修剪未导致灾难性性能下降。</w:t>
      </w:r>
    </w:p>
    <w:p w14:paraId="35C27D15">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Layer 5 Head1（得分 0.828）对首 token 的关注度显著高于其他头，但剪枝后其对应 Layer 5 的 Dim 447 激活值仅下降 0.32%（图 5），说明该头仅 “聚焦” 激活而非 “生成” 激活。此外，浅层头（如 Layer 2 Head7，得分 0.568）的剪枝影响与深层头无差异，进一步验证注意力头的非生成属性。</w:t>
      </w:r>
    </w:p>
    <w:p w14:paraId="39232558">
      <w:pPr>
        <w:keepNext w:val="0"/>
        <w:keepLines w:val="0"/>
        <w:pageBreakBefore w:val="0"/>
        <w:widowControl w:val="0"/>
        <w:kinsoku/>
        <w:wordWrap/>
        <w:overflowPunct/>
        <w:topLinePunct w:val="0"/>
        <w:autoSpaceDE/>
        <w:autoSpaceDN/>
        <w:bidi w:val="0"/>
        <w:adjustRightInd/>
        <w:snapToGrid/>
        <w:ind w:firstLine="630" w:firstLineChars="300"/>
        <w:jc w:val="center"/>
        <w:textAlignment w:val="auto"/>
        <w:rPr>
          <w:rFonts w:hint="eastAsia" w:ascii="Times New Roman" w:hAnsi="Times New Roman" w:eastAsia="楷体" w:cs="Times New Roman"/>
          <w:szCs w:val="21"/>
        </w:rPr>
      </w:pPr>
    </w:p>
    <w:p w14:paraId="014570CA">
      <w:pPr>
        <w:keepNext w:val="0"/>
        <w:keepLines w:val="0"/>
        <w:pageBreakBefore w:val="0"/>
        <w:widowControl w:val="0"/>
        <w:kinsoku/>
        <w:wordWrap/>
        <w:overflowPunct/>
        <w:topLinePunct w:val="0"/>
        <w:autoSpaceDE/>
        <w:autoSpaceDN/>
        <w:bidi w:val="0"/>
        <w:adjustRightInd/>
        <w:snapToGrid/>
        <w:ind w:firstLine="630" w:firstLineChars="300"/>
        <w:jc w:val="center"/>
        <w:textAlignment w:val="auto"/>
        <w:rPr>
          <w:rFonts w:ascii="Times New Roman" w:hAnsi="Times New Roman" w:eastAsia="楷体" w:cs="Times New Roman"/>
          <w:szCs w:val="21"/>
        </w:rPr>
      </w:pPr>
      <w:r>
        <w:rPr>
          <w:rFonts w:hint="eastAsia" w:ascii="Times New Roman" w:hAnsi="Times New Roman" w:eastAsia="楷体" w:cs="Times New Roman"/>
          <w:szCs w:val="21"/>
        </w:rPr>
        <w:t>Table  Top 10 最重要的头：</w:t>
      </w:r>
    </w:p>
    <w:tbl>
      <w:tblPr>
        <w:tblStyle w:val="4"/>
        <w:tblW w:w="8519" w:type="dxa"/>
        <w:jc w:val="center"/>
        <w:tblLayout w:type="autofit"/>
        <w:tblCellMar>
          <w:top w:w="0" w:type="dxa"/>
          <w:left w:w="108" w:type="dxa"/>
          <w:bottom w:w="0" w:type="dxa"/>
          <w:right w:w="108" w:type="dxa"/>
        </w:tblCellMar>
      </w:tblPr>
      <w:tblGrid>
        <w:gridCol w:w="952"/>
        <w:gridCol w:w="1006"/>
        <w:gridCol w:w="1004"/>
        <w:gridCol w:w="2417"/>
        <w:gridCol w:w="3140"/>
      </w:tblGrid>
      <w:tr w14:paraId="6D6EFC21">
        <w:tblPrEx>
          <w:tblCellMar>
            <w:top w:w="0" w:type="dxa"/>
            <w:left w:w="108" w:type="dxa"/>
            <w:bottom w:w="0" w:type="dxa"/>
            <w:right w:w="108" w:type="dxa"/>
          </w:tblCellMar>
        </w:tblPrEx>
        <w:trPr>
          <w:trHeight w:val="0" w:hRule="atLeast"/>
          <w:tblHeader/>
          <w:jc w:val="center"/>
        </w:trPr>
        <w:tc>
          <w:tcPr>
            <w:tcW w:w="952" w:type="dxa"/>
            <w:tcBorders>
              <w:top w:val="single" w:color="auto" w:sz="12" w:space="0"/>
              <w:left w:val="nil"/>
              <w:bottom w:val="single" w:color="auto" w:sz="4" w:space="0"/>
              <w:right w:val="nil"/>
            </w:tcBorders>
            <w:shd w:val="clear" w:color="auto" w:fill="FFFFFF"/>
            <w:vAlign w:val="center"/>
          </w:tcPr>
          <w:p w14:paraId="6004A6E9">
            <w:pPr>
              <w:widowControl/>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Rank</w:t>
            </w:r>
          </w:p>
        </w:tc>
        <w:tc>
          <w:tcPr>
            <w:tcW w:w="1006" w:type="dxa"/>
            <w:tcBorders>
              <w:top w:val="single" w:color="auto" w:sz="12" w:space="0"/>
              <w:left w:val="nil"/>
              <w:bottom w:val="single" w:color="auto" w:sz="4" w:space="0"/>
              <w:right w:val="nil"/>
            </w:tcBorders>
            <w:shd w:val="clear" w:color="auto" w:fill="FFFFFF"/>
            <w:vAlign w:val="center"/>
          </w:tcPr>
          <w:p w14:paraId="2D8414F5">
            <w:pPr>
              <w:widowControl/>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Layer</w:t>
            </w:r>
          </w:p>
        </w:tc>
        <w:tc>
          <w:tcPr>
            <w:tcW w:w="1004" w:type="dxa"/>
            <w:tcBorders>
              <w:top w:val="single" w:color="auto" w:sz="12" w:space="0"/>
              <w:left w:val="nil"/>
              <w:bottom w:val="single" w:color="auto" w:sz="4" w:space="0"/>
              <w:right w:val="nil"/>
            </w:tcBorders>
            <w:shd w:val="clear" w:color="auto" w:fill="FFFFFF"/>
            <w:vAlign w:val="center"/>
          </w:tcPr>
          <w:p w14:paraId="3F24D7EA">
            <w:pPr>
              <w:widowControl/>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Head</w:t>
            </w:r>
          </w:p>
        </w:tc>
        <w:tc>
          <w:tcPr>
            <w:tcW w:w="2417" w:type="dxa"/>
            <w:tcBorders>
              <w:top w:val="single" w:color="auto" w:sz="12" w:space="0"/>
              <w:left w:val="nil"/>
              <w:bottom w:val="single" w:color="auto" w:sz="4" w:space="0"/>
              <w:right w:val="nil"/>
            </w:tcBorders>
            <w:shd w:val="clear" w:color="auto" w:fill="FFFFFF"/>
            <w:vAlign w:val="center"/>
          </w:tcPr>
          <w:p w14:paraId="037C0ED8">
            <w:pPr>
              <w:widowControl/>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Attention Score</w:t>
            </w:r>
          </w:p>
        </w:tc>
        <w:tc>
          <w:tcPr>
            <w:tcW w:w="3140" w:type="dxa"/>
            <w:tcBorders>
              <w:top w:val="single" w:color="auto" w:sz="12" w:space="0"/>
              <w:left w:val="nil"/>
              <w:bottom w:val="single" w:color="auto" w:sz="4" w:space="0"/>
              <w:right w:val="nil"/>
            </w:tcBorders>
            <w:shd w:val="clear" w:color="auto" w:fill="FFFFFF"/>
            <w:vAlign w:val="center"/>
          </w:tcPr>
          <w:p w14:paraId="495217FC">
            <w:pPr>
              <w:widowControl/>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Description</w:t>
            </w:r>
          </w:p>
        </w:tc>
      </w:tr>
      <w:tr w14:paraId="5B831591">
        <w:tblPrEx>
          <w:tblCellMar>
            <w:top w:w="0" w:type="dxa"/>
            <w:left w:w="108" w:type="dxa"/>
            <w:bottom w:w="0" w:type="dxa"/>
            <w:right w:w="108" w:type="dxa"/>
          </w:tblCellMar>
        </w:tblPrEx>
        <w:trPr>
          <w:trHeight w:val="0" w:hRule="atLeast"/>
          <w:jc w:val="center"/>
        </w:trPr>
        <w:tc>
          <w:tcPr>
            <w:tcW w:w="952" w:type="dxa"/>
            <w:tcBorders>
              <w:top w:val="single" w:color="auto" w:sz="4" w:space="0"/>
              <w:left w:val="nil"/>
              <w:bottom w:val="nil"/>
              <w:right w:val="nil"/>
            </w:tcBorders>
            <w:shd w:val="clear" w:color="auto" w:fill="FFFFFF"/>
            <w:vAlign w:val="center"/>
          </w:tcPr>
          <w:p w14:paraId="55CB792B">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w:t>
            </w:r>
          </w:p>
        </w:tc>
        <w:tc>
          <w:tcPr>
            <w:tcW w:w="1006" w:type="dxa"/>
            <w:tcBorders>
              <w:top w:val="single" w:color="auto" w:sz="4" w:space="0"/>
              <w:left w:val="nil"/>
              <w:bottom w:val="nil"/>
              <w:right w:val="nil"/>
            </w:tcBorders>
            <w:shd w:val="clear" w:color="auto" w:fill="FFFFFF"/>
            <w:vAlign w:val="center"/>
          </w:tcPr>
          <w:p w14:paraId="79F45822">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w:t>
            </w:r>
          </w:p>
        </w:tc>
        <w:tc>
          <w:tcPr>
            <w:tcW w:w="1004" w:type="dxa"/>
            <w:tcBorders>
              <w:top w:val="single" w:color="auto" w:sz="4" w:space="0"/>
              <w:left w:val="nil"/>
              <w:bottom w:val="nil"/>
              <w:right w:val="nil"/>
            </w:tcBorders>
            <w:shd w:val="clear" w:color="auto" w:fill="FFFFFF"/>
            <w:vAlign w:val="center"/>
          </w:tcPr>
          <w:p w14:paraId="2DE617AC">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w:t>
            </w:r>
          </w:p>
        </w:tc>
        <w:tc>
          <w:tcPr>
            <w:tcW w:w="2417" w:type="dxa"/>
            <w:tcBorders>
              <w:top w:val="single" w:color="auto" w:sz="4" w:space="0"/>
              <w:left w:val="nil"/>
              <w:bottom w:val="nil"/>
              <w:right w:val="nil"/>
            </w:tcBorders>
            <w:shd w:val="clear" w:color="auto" w:fill="FFFFFF"/>
            <w:vAlign w:val="center"/>
          </w:tcPr>
          <w:p w14:paraId="6F26FD1E">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0.828</w:t>
            </w:r>
          </w:p>
        </w:tc>
        <w:tc>
          <w:tcPr>
            <w:tcW w:w="3140" w:type="dxa"/>
            <w:tcBorders>
              <w:top w:val="single" w:color="auto" w:sz="4" w:space="0"/>
              <w:left w:val="nil"/>
              <w:bottom w:val="nil"/>
              <w:right w:val="nil"/>
            </w:tcBorders>
            <w:shd w:val="clear" w:color="auto" w:fill="FFFFFF"/>
            <w:vAlign w:val="center"/>
          </w:tcPr>
          <w:p w14:paraId="45C96DB8">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Highest overall</w:t>
            </w:r>
          </w:p>
        </w:tc>
      </w:tr>
      <w:tr w14:paraId="6556E714">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6F8FA"/>
            <w:vAlign w:val="center"/>
          </w:tcPr>
          <w:p w14:paraId="4EDF40D4">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w:t>
            </w:r>
          </w:p>
        </w:tc>
        <w:tc>
          <w:tcPr>
            <w:tcW w:w="1006" w:type="dxa"/>
            <w:tcBorders>
              <w:top w:val="nil"/>
              <w:left w:val="nil"/>
              <w:bottom w:val="nil"/>
              <w:right w:val="nil"/>
            </w:tcBorders>
            <w:shd w:val="clear" w:color="auto" w:fill="F6F8FA"/>
            <w:vAlign w:val="center"/>
          </w:tcPr>
          <w:p w14:paraId="65C6E718">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w:t>
            </w:r>
          </w:p>
        </w:tc>
        <w:tc>
          <w:tcPr>
            <w:tcW w:w="1004" w:type="dxa"/>
            <w:tcBorders>
              <w:top w:val="nil"/>
              <w:left w:val="nil"/>
              <w:bottom w:val="nil"/>
              <w:right w:val="nil"/>
            </w:tcBorders>
            <w:shd w:val="clear" w:color="auto" w:fill="F6F8FA"/>
            <w:vAlign w:val="center"/>
          </w:tcPr>
          <w:p w14:paraId="1A9C7B02">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w:t>
            </w:r>
          </w:p>
        </w:tc>
        <w:tc>
          <w:tcPr>
            <w:tcW w:w="2417" w:type="dxa"/>
            <w:tcBorders>
              <w:top w:val="nil"/>
              <w:left w:val="nil"/>
              <w:bottom w:val="nil"/>
              <w:right w:val="nil"/>
            </w:tcBorders>
            <w:shd w:val="clear" w:color="auto" w:fill="F6F8FA"/>
            <w:vAlign w:val="center"/>
          </w:tcPr>
          <w:p w14:paraId="0027B5CD">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0.796</w:t>
            </w:r>
          </w:p>
        </w:tc>
        <w:tc>
          <w:tcPr>
            <w:tcW w:w="3140" w:type="dxa"/>
            <w:tcBorders>
              <w:top w:val="nil"/>
              <w:left w:val="nil"/>
              <w:bottom w:val="nil"/>
              <w:right w:val="nil"/>
            </w:tcBorders>
            <w:shd w:val="clear" w:color="auto" w:fill="F6F8FA"/>
            <w:vAlign w:val="center"/>
          </w:tcPr>
          <w:p w14:paraId="0E76242F">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Deep layer specialist</w:t>
            </w:r>
          </w:p>
        </w:tc>
      </w:tr>
      <w:tr w14:paraId="541D653B">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FFFFF"/>
            <w:vAlign w:val="center"/>
          </w:tcPr>
          <w:p w14:paraId="51EBE7D3">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3</w:t>
            </w:r>
          </w:p>
        </w:tc>
        <w:tc>
          <w:tcPr>
            <w:tcW w:w="1006" w:type="dxa"/>
            <w:tcBorders>
              <w:top w:val="nil"/>
              <w:left w:val="nil"/>
              <w:bottom w:val="nil"/>
              <w:right w:val="nil"/>
            </w:tcBorders>
            <w:shd w:val="clear" w:color="auto" w:fill="FFFFFF"/>
            <w:vAlign w:val="center"/>
          </w:tcPr>
          <w:p w14:paraId="62297BD7">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7</w:t>
            </w:r>
          </w:p>
        </w:tc>
        <w:tc>
          <w:tcPr>
            <w:tcW w:w="1004" w:type="dxa"/>
            <w:tcBorders>
              <w:top w:val="nil"/>
              <w:left w:val="nil"/>
              <w:bottom w:val="nil"/>
              <w:right w:val="nil"/>
            </w:tcBorders>
            <w:shd w:val="clear" w:color="auto" w:fill="FFFFFF"/>
            <w:vAlign w:val="center"/>
          </w:tcPr>
          <w:p w14:paraId="6C80E069">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w:t>
            </w:r>
          </w:p>
        </w:tc>
        <w:tc>
          <w:tcPr>
            <w:tcW w:w="2417" w:type="dxa"/>
            <w:tcBorders>
              <w:top w:val="nil"/>
              <w:left w:val="nil"/>
              <w:bottom w:val="nil"/>
              <w:right w:val="nil"/>
            </w:tcBorders>
            <w:shd w:val="clear" w:color="auto" w:fill="FFFFFF"/>
            <w:vAlign w:val="center"/>
          </w:tcPr>
          <w:p w14:paraId="272E1F45">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0.796</w:t>
            </w:r>
          </w:p>
        </w:tc>
        <w:tc>
          <w:tcPr>
            <w:tcW w:w="3140" w:type="dxa"/>
            <w:tcBorders>
              <w:top w:val="nil"/>
              <w:left w:val="nil"/>
              <w:bottom w:val="nil"/>
              <w:right w:val="nil"/>
            </w:tcBorders>
            <w:shd w:val="clear" w:color="auto" w:fill="FFFFFF"/>
            <w:vAlign w:val="center"/>
          </w:tcPr>
          <w:p w14:paraId="2F726F1D">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Deep layer specialist</w:t>
            </w:r>
          </w:p>
        </w:tc>
      </w:tr>
      <w:tr w14:paraId="6832CC2C">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6F8FA"/>
            <w:vAlign w:val="center"/>
          </w:tcPr>
          <w:p w14:paraId="06C15D08">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4</w:t>
            </w:r>
          </w:p>
        </w:tc>
        <w:tc>
          <w:tcPr>
            <w:tcW w:w="1006" w:type="dxa"/>
            <w:tcBorders>
              <w:top w:val="nil"/>
              <w:left w:val="nil"/>
              <w:bottom w:val="nil"/>
              <w:right w:val="nil"/>
            </w:tcBorders>
            <w:shd w:val="clear" w:color="auto" w:fill="F6F8FA"/>
            <w:vAlign w:val="center"/>
          </w:tcPr>
          <w:p w14:paraId="431AB228">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10</w:t>
            </w:r>
          </w:p>
        </w:tc>
        <w:tc>
          <w:tcPr>
            <w:tcW w:w="1004" w:type="dxa"/>
            <w:tcBorders>
              <w:top w:val="nil"/>
              <w:left w:val="nil"/>
              <w:bottom w:val="nil"/>
              <w:right w:val="nil"/>
            </w:tcBorders>
            <w:shd w:val="clear" w:color="auto" w:fill="F6F8FA"/>
            <w:vAlign w:val="center"/>
          </w:tcPr>
          <w:p w14:paraId="72316F7C">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w:t>
            </w:r>
          </w:p>
        </w:tc>
        <w:tc>
          <w:tcPr>
            <w:tcW w:w="2417" w:type="dxa"/>
            <w:tcBorders>
              <w:top w:val="nil"/>
              <w:left w:val="nil"/>
              <w:bottom w:val="nil"/>
              <w:right w:val="nil"/>
            </w:tcBorders>
            <w:shd w:val="clear" w:color="auto" w:fill="F6F8FA"/>
            <w:vAlign w:val="center"/>
          </w:tcPr>
          <w:p w14:paraId="6D8EE8C5">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0.737</w:t>
            </w:r>
          </w:p>
        </w:tc>
        <w:tc>
          <w:tcPr>
            <w:tcW w:w="3140" w:type="dxa"/>
            <w:tcBorders>
              <w:top w:val="nil"/>
              <w:left w:val="nil"/>
              <w:bottom w:val="nil"/>
              <w:right w:val="nil"/>
            </w:tcBorders>
            <w:shd w:val="clear" w:color="auto" w:fill="F6F8FA"/>
            <w:vAlign w:val="center"/>
          </w:tcPr>
          <w:p w14:paraId="1E84D02B">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Late layer focus</w:t>
            </w:r>
          </w:p>
        </w:tc>
      </w:tr>
      <w:tr w14:paraId="262B8777">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FFFFF"/>
            <w:vAlign w:val="center"/>
          </w:tcPr>
          <w:p w14:paraId="7FCFA9EB">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w:t>
            </w:r>
          </w:p>
        </w:tc>
        <w:tc>
          <w:tcPr>
            <w:tcW w:w="1006" w:type="dxa"/>
            <w:tcBorders>
              <w:top w:val="nil"/>
              <w:left w:val="nil"/>
              <w:bottom w:val="nil"/>
              <w:right w:val="nil"/>
            </w:tcBorders>
            <w:shd w:val="clear" w:color="auto" w:fill="FFFFFF"/>
            <w:vAlign w:val="center"/>
          </w:tcPr>
          <w:p w14:paraId="5CB698D3">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w:t>
            </w:r>
          </w:p>
        </w:tc>
        <w:tc>
          <w:tcPr>
            <w:tcW w:w="1004" w:type="dxa"/>
            <w:tcBorders>
              <w:top w:val="nil"/>
              <w:left w:val="nil"/>
              <w:bottom w:val="nil"/>
              <w:right w:val="nil"/>
            </w:tcBorders>
            <w:shd w:val="clear" w:color="auto" w:fill="FFFFFF"/>
            <w:vAlign w:val="center"/>
          </w:tcPr>
          <w:p w14:paraId="6411CB9D">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w:t>
            </w:r>
          </w:p>
        </w:tc>
        <w:tc>
          <w:tcPr>
            <w:tcW w:w="2417" w:type="dxa"/>
            <w:tcBorders>
              <w:top w:val="nil"/>
              <w:left w:val="nil"/>
              <w:bottom w:val="nil"/>
              <w:right w:val="nil"/>
            </w:tcBorders>
            <w:shd w:val="clear" w:color="auto" w:fill="FFFFFF"/>
            <w:vAlign w:val="center"/>
          </w:tcPr>
          <w:p w14:paraId="19BD34A2">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0.726</w:t>
            </w:r>
          </w:p>
        </w:tc>
        <w:tc>
          <w:tcPr>
            <w:tcW w:w="3140" w:type="dxa"/>
            <w:tcBorders>
              <w:top w:val="nil"/>
              <w:left w:val="nil"/>
              <w:bottom w:val="nil"/>
              <w:right w:val="nil"/>
            </w:tcBorders>
            <w:shd w:val="clear" w:color="auto" w:fill="FFFFFF"/>
            <w:vAlign w:val="center"/>
          </w:tcPr>
          <w:p w14:paraId="0A98E23A">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Mid-layer cluster</w:t>
            </w:r>
          </w:p>
        </w:tc>
      </w:tr>
      <w:tr w14:paraId="424B360A">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6F8FA"/>
            <w:vAlign w:val="center"/>
          </w:tcPr>
          <w:p w14:paraId="6EF8A324">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w:t>
            </w:r>
          </w:p>
        </w:tc>
        <w:tc>
          <w:tcPr>
            <w:tcW w:w="1006" w:type="dxa"/>
            <w:tcBorders>
              <w:top w:val="nil"/>
              <w:left w:val="nil"/>
              <w:bottom w:val="nil"/>
              <w:right w:val="nil"/>
            </w:tcBorders>
            <w:shd w:val="clear" w:color="auto" w:fill="F6F8FA"/>
            <w:vAlign w:val="center"/>
          </w:tcPr>
          <w:p w14:paraId="53977DC9">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7</w:t>
            </w:r>
          </w:p>
        </w:tc>
        <w:tc>
          <w:tcPr>
            <w:tcW w:w="1004" w:type="dxa"/>
            <w:tcBorders>
              <w:top w:val="nil"/>
              <w:left w:val="nil"/>
              <w:bottom w:val="nil"/>
              <w:right w:val="nil"/>
            </w:tcBorders>
            <w:shd w:val="clear" w:color="auto" w:fill="F6F8FA"/>
            <w:vAlign w:val="center"/>
          </w:tcPr>
          <w:p w14:paraId="75C15C76">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4</w:t>
            </w:r>
          </w:p>
        </w:tc>
        <w:tc>
          <w:tcPr>
            <w:tcW w:w="2417" w:type="dxa"/>
            <w:tcBorders>
              <w:top w:val="nil"/>
              <w:left w:val="nil"/>
              <w:bottom w:val="nil"/>
              <w:right w:val="nil"/>
            </w:tcBorders>
            <w:shd w:val="clear" w:color="auto" w:fill="F6F8FA"/>
            <w:vAlign w:val="center"/>
          </w:tcPr>
          <w:p w14:paraId="16050FE8">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0.733</w:t>
            </w:r>
          </w:p>
        </w:tc>
        <w:tc>
          <w:tcPr>
            <w:tcW w:w="3140" w:type="dxa"/>
            <w:tcBorders>
              <w:top w:val="nil"/>
              <w:left w:val="nil"/>
              <w:bottom w:val="nil"/>
              <w:right w:val="nil"/>
            </w:tcBorders>
            <w:shd w:val="clear" w:color="auto" w:fill="F6F8FA"/>
            <w:vAlign w:val="center"/>
          </w:tcPr>
          <w:p w14:paraId="5B4006A1">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Deep layer</w:t>
            </w:r>
          </w:p>
        </w:tc>
      </w:tr>
      <w:tr w14:paraId="03ADFE9C">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FFFFF"/>
            <w:vAlign w:val="center"/>
          </w:tcPr>
          <w:p w14:paraId="5A64F885">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7</w:t>
            </w:r>
          </w:p>
        </w:tc>
        <w:tc>
          <w:tcPr>
            <w:tcW w:w="1006" w:type="dxa"/>
            <w:tcBorders>
              <w:top w:val="nil"/>
              <w:left w:val="nil"/>
              <w:bottom w:val="nil"/>
              <w:right w:val="nil"/>
            </w:tcBorders>
            <w:shd w:val="clear" w:color="auto" w:fill="FFFFFF"/>
            <w:vAlign w:val="center"/>
          </w:tcPr>
          <w:p w14:paraId="6E9EECD1">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w:t>
            </w:r>
          </w:p>
        </w:tc>
        <w:tc>
          <w:tcPr>
            <w:tcW w:w="1004" w:type="dxa"/>
            <w:tcBorders>
              <w:top w:val="nil"/>
              <w:left w:val="nil"/>
              <w:bottom w:val="nil"/>
              <w:right w:val="nil"/>
            </w:tcBorders>
            <w:shd w:val="clear" w:color="auto" w:fill="FFFFFF"/>
            <w:vAlign w:val="center"/>
          </w:tcPr>
          <w:p w14:paraId="61EFFA58">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8</w:t>
            </w:r>
          </w:p>
        </w:tc>
        <w:tc>
          <w:tcPr>
            <w:tcW w:w="2417" w:type="dxa"/>
            <w:tcBorders>
              <w:top w:val="nil"/>
              <w:left w:val="nil"/>
              <w:bottom w:val="nil"/>
              <w:right w:val="nil"/>
            </w:tcBorders>
            <w:shd w:val="clear" w:color="auto" w:fill="FFFFFF"/>
            <w:vAlign w:val="center"/>
          </w:tcPr>
          <w:p w14:paraId="4E63FBE0">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0.72</w:t>
            </w:r>
          </w:p>
        </w:tc>
        <w:tc>
          <w:tcPr>
            <w:tcW w:w="3140" w:type="dxa"/>
            <w:tcBorders>
              <w:top w:val="nil"/>
              <w:left w:val="nil"/>
              <w:bottom w:val="nil"/>
              <w:right w:val="nil"/>
            </w:tcBorders>
            <w:shd w:val="clear" w:color="auto" w:fill="FFFFFF"/>
            <w:vAlign w:val="center"/>
          </w:tcPr>
          <w:p w14:paraId="6CC2AE84">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Mid-layer cluster</w:t>
            </w:r>
          </w:p>
        </w:tc>
      </w:tr>
      <w:tr w14:paraId="7BFC1DFB">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6F8FA"/>
            <w:vAlign w:val="center"/>
          </w:tcPr>
          <w:p w14:paraId="450D5581">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8</w:t>
            </w:r>
          </w:p>
        </w:tc>
        <w:tc>
          <w:tcPr>
            <w:tcW w:w="1006" w:type="dxa"/>
            <w:tcBorders>
              <w:top w:val="nil"/>
              <w:left w:val="nil"/>
              <w:bottom w:val="nil"/>
              <w:right w:val="nil"/>
            </w:tcBorders>
            <w:shd w:val="clear" w:color="auto" w:fill="F6F8FA"/>
            <w:vAlign w:val="center"/>
          </w:tcPr>
          <w:p w14:paraId="2B95FD7F">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w:t>
            </w:r>
          </w:p>
        </w:tc>
        <w:tc>
          <w:tcPr>
            <w:tcW w:w="1004" w:type="dxa"/>
            <w:tcBorders>
              <w:top w:val="nil"/>
              <w:left w:val="nil"/>
              <w:bottom w:val="nil"/>
              <w:right w:val="nil"/>
            </w:tcBorders>
            <w:shd w:val="clear" w:color="auto" w:fill="F6F8FA"/>
            <w:vAlign w:val="center"/>
          </w:tcPr>
          <w:p w14:paraId="342ABD7D">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9</w:t>
            </w:r>
          </w:p>
        </w:tc>
        <w:tc>
          <w:tcPr>
            <w:tcW w:w="2417" w:type="dxa"/>
            <w:tcBorders>
              <w:top w:val="nil"/>
              <w:left w:val="nil"/>
              <w:bottom w:val="nil"/>
              <w:right w:val="nil"/>
            </w:tcBorders>
            <w:shd w:val="clear" w:color="auto" w:fill="F6F8FA"/>
            <w:vAlign w:val="center"/>
          </w:tcPr>
          <w:p w14:paraId="66B441C5">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0.701</w:t>
            </w:r>
          </w:p>
        </w:tc>
        <w:tc>
          <w:tcPr>
            <w:tcW w:w="3140" w:type="dxa"/>
            <w:tcBorders>
              <w:top w:val="nil"/>
              <w:left w:val="nil"/>
              <w:bottom w:val="nil"/>
              <w:right w:val="nil"/>
            </w:tcBorders>
            <w:shd w:val="clear" w:color="auto" w:fill="F6F8FA"/>
            <w:vAlign w:val="center"/>
          </w:tcPr>
          <w:p w14:paraId="2C4C08D8">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Deep layer</w:t>
            </w:r>
          </w:p>
        </w:tc>
      </w:tr>
      <w:tr w14:paraId="7DDAF28A">
        <w:tblPrEx>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shd w:val="clear" w:color="auto" w:fill="FFFFFF"/>
            <w:vAlign w:val="center"/>
          </w:tcPr>
          <w:p w14:paraId="12172C62">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9</w:t>
            </w:r>
          </w:p>
        </w:tc>
        <w:tc>
          <w:tcPr>
            <w:tcW w:w="1006" w:type="dxa"/>
            <w:tcBorders>
              <w:top w:val="nil"/>
              <w:left w:val="nil"/>
              <w:bottom w:val="nil"/>
              <w:right w:val="nil"/>
            </w:tcBorders>
            <w:shd w:val="clear" w:color="auto" w:fill="FFFFFF"/>
            <w:vAlign w:val="center"/>
          </w:tcPr>
          <w:p w14:paraId="1E0E6B5E">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w:t>
            </w:r>
          </w:p>
        </w:tc>
        <w:tc>
          <w:tcPr>
            <w:tcW w:w="1004" w:type="dxa"/>
            <w:tcBorders>
              <w:top w:val="nil"/>
              <w:left w:val="nil"/>
              <w:bottom w:val="nil"/>
              <w:right w:val="nil"/>
            </w:tcBorders>
            <w:shd w:val="clear" w:color="auto" w:fill="FFFFFF"/>
            <w:vAlign w:val="center"/>
          </w:tcPr>
          <w:p w14:paraId="2A39BEBB">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7</w:t>
            </w:r>
          </w:p>
        </w:tc>
        <w:tc>
          <w:tcPr>
            <w:tcW w:w="2417" w:type="dxa"/>
            <w:tcBorders>
              <w:top w:val="nil"/>
              <w:left w:val="nil"/>
              <w:bottom w:val="nil"/>
              <w:right w:val="nil"/>
            </w:tcBorders>
            <w:shd w:val="clear" w:color="auto" w:fill="FFFFFF"/>
            <w:vAlign w:val="center"/>
          </w:tcPr>
          <w:p w14:paraId="0456CDA6">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0.568</w:t>
            </w:r>
          </w:p>
        </w:tc>
        <w:tc>
          <w:tcPr>
            <w:tcW w:w="3140" w:type="dxa"/>
            <w:tcBorders>
              <w:top w:val="nil"/>
              <w:left w:val="nil"/>
              <w:bottom w:val="nil"/>
              <w:right w:val="nil"/>
            </w:tcBorders>
            <w:shd w:val="clear" w:color="auto" w:fill="FFFFFF"/>
            <w:vAlign w:val="center"/>
          </w:tcPr>
          <w:p w14:paraId="111C183F">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Early important head</w:t>
            </w:r>
          </w:p>
        </w:tc>
      </w:tr>
      <w:tr w14:paraId="1B5BCD92">
        <w:tblPrEx>
          <w:tblCellMar>
            <w:top w:w="0" w:type="dxa"/>
            <w:left w:w="108" w:type="dxa"/>
            <w:bottom w:w="0" w:type="dxa"/>
            <w:right w:w="108" w:type="dxa"/>
          </w:tblCellMar>
        </w:tblPrEx>
        <w:trPr>
          <w:trHeight w:val="0" w:hRule="atLeast"/>
          <w:jc w:val="center"/>
        </w:trPr>
        <w:tc>
          <w:tcPr>
            <w:tcW w:w="952" w:type="dxa"/>
            <w:tcBorders>
              <w:top w:val="nil"/>
              <w:left w:val="nil"/>
              <w:bottom w:val="single" w:color="auto" w:sz="12" w:space="0"/>
              <w:right w:val="nil"/>
            </w:tcBorders>
            <w:shd w:val="clear" w:color="auto" w:fill="F6F8FA"/>
            <w:vAlign w:val="center"/>
          </w:tcPr>
          <w:p w14:paraId="5397872D">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10</w:t>
            </w:r>
          </w:p>
        </w:tc>
        <w:tc>
          <w:tcPr>
            <w:tcW w:w="1006" w:type="dxa"/>
            <w:tcBorders>
              <w:top w:val="nil"/>
              <w:left w:val="nil"/>
              <w:bottom w:val="single" w:color="auto" w:sz="12" w:space="0"/>
              <w:right w:val="nil"/>
            </w:tcBorders>
            <w:shd w:val="clear" w:color="auto" w:fill="F6F8FA"/>
            <w:vAlign w:val="center"/>
          </w:tcPr>
          <w:p w14:paraId="7729AAAD">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8</w:t>
            </w:r>
          </w:p>
        </w:tc>
        <w:tc>
          <w:tcPr>
            <w:tcW w:w="1004" w:type="dxa"/>
            <w:tcBorders>
              <w:top w:val="nil"/>
              <w:left w:val="nil"/>
              <w:bottom w:val="single" w:color="auto" w:sz="12" w:space="0"/>
              <w:right w:val="nil"/>
            </w:tcBorders>
            <w:shd w:val="clear" w:color="auto" w:fill="F6F8FA"/>
            <w:vAlign w:val="center"/>
          </w:tcPr>
          <w:p w14:paraId="1485AD2E">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4</w:t>
            </w:r>
          </w:p>
        </w:tc>
        <w:tc>
          <w:tcPr>
            <w:tcW w:w="2417" w:type="dxa"/>
            <w:tcBorders>
              <w:top w:val="nil"/>
              <w:left w:val="nil"/>
              <w:bottom w:val="single" w:color="auto" w:sz="12" w:space="0"/>
              <w:right w:val="nil"/>
            </w:tcBorders>
            <w:shd w:val="clear" w:color="auto" w:fill="F6F8FA"/>
            <w:vAlign w:val="center"/>
          </w:tcPr>
          <w:p w14:paraId="67517AC7">
            <w:pPr>
              <w:widowControl/>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0.675</w:t>
            </w:r>
          </w:p>
        </w:tc>
        <w:tc>
          <w:tcPr>
            <w:tcW w:w="3140" w:type="dxa"/>
            <w:tcBorders>
              <w:top w:val="nil"/>
              <w:left w:val="nil"/>
              <w:bottom w:val="single" w:color="auto" w:sz="12" w:space="0"/>
              <w:right w:val="nil"/>
            </w:tcBorders>
            <w:shd w:val="clear" w:color="auto" w:fill="F6F8FA"/>
            <w:vAlign w:val="center"/>
          </w:tcPr>
          <w:p w14:paraId="3BDFFF8E">
            <w:pPr>
              <w:widowControl/>
              <w:snapToGrid w:val="0"/>
              <w:ind w:left="0" w:leftChars="0" w:right="0" w:rightChars="0" w:firstLine="0" w:firstLineChars="0"/>
              <w:jc w:val="left"/>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Deep layer</w:t>
            </w:r>
          </w:p>
        </w:tc>
      </w:tr>
    </w:tbl>
    <w:p w14:paraId="0A3FEA68">
      <w:pPr>
        <w:spacing w:line="400" w:lineRule="exact"/>
        <w:ind w:firstLine="420" w:firstLineChars="200"/>
        <w:rPr>
          <w:rFonts w:hint="eastAsia" w:ascii="Times New Roman" w:hAnsi="Times New Roman" w:eastAsia="楷体" w:cs="Times New Roman"/>
          <w:szCs w:val="21"/>
        </w:rPr>
      </w:pPr>
      <w:r>
        <w:rPr>
          <w:rFonts w:hint="eastAsia" w:ascii="Times New Roman" w:hAnsi="Times New Roman" w:eastAsia="楷体" w:cs="Times New Roman"/>
          <w:szCs w:val="21"/>
          <w:lang w:val="en-US" w:eastAsia="zh-CN"/>
        </w:rPr>
        <w:t xml:space="preserve">表 </w:t>
      </w:r>
      <w:r>
        <w:rPr>
          <w:rFonts w:hint="eastAsia" w:ascii="Times New Roman" w:hAnsi="Times New Roman" w:eastAsia="楷体" w:cs="Times New Roman"/>
          <w:szCs w:val="21"/>
        </w:rPr>
        <w:t>列出了Top10高关联头的具体信息，它们主要集中在网络的中层与深层（如第5、6、7层），这与前人研究中关于深层头负责复杂语言关系的发现一致。</w:t>
      </w:r>
    </w:p>
    <w:p w14:paraId="253FA52E">
      <w:pPr>
        <w:spacing w:line="400" w:lineRule="exact"/>
        <w:ind w:firstLine="480" w:firstLineChars="200"/>
        <w:rPr>
          <w:rFonts w:hint="eastAsia" w:ascii="Times New Roman" w:hAnsi="Times New Roman" w:cs="Times New Roman"/>
          <w:sz w:val="24"/>
        </w:rPr>
      </w:pPr>
    </w:p>
    <w:p w14:paraId="691CD14B">
      <w:pPr>
        <w:spacing w:line="400" w:lineRule="exact"/>
        <w:ind w:firstLine="480" w:firstLineChars="200"/>
        <w:rPr>
          <w:rFonts w:hint="eastAsia" w:ascii="Times New Roman" w:hAnsi="Times New Roman" w:cs="Times New Roman"/>
          <w:sz w:val="24"/>
        </w:rPr>
      </w:pPr>
    </w:p>
    <w:p w14:paraId="24A27278">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Top10 高关联头：7 个集中于 Layer 5~7（深层），3 个位于 Layer 2~3（浅层），其中排名前 3 的头分别为 Layer5 Head1（0.828）、Layer6 Head1（0.796）、Layer7 Head2（0.796），平均得分 0.68±0.12，与初稿中 “高关联头集中于深层” 的观测一致</w:t>
      </w:r>
      <w:r>
        <w:rPr>
          <w:rFonts w:hint="eastAsia" w:ascii="Times New Roman" w:hAnsi="Times New Roman" w:cs="Times New Roman"/>
          <w:sz w:val="24"/>
          <w:lang w:eastAsia="zh-CN"/>
        </w:rPr>
        <w:t>。</w:t>
      </w:r>
      <w:r>
        <w:rPr>
          <w:rFonts w:hint="eastAsia" w:ascii="Times New Roman" w:hAnsi="Times New Roman" w:cs="Times New Roman"/>
          <w:sz w:val="24"/>
        </w:rPr>
        <w:t>修剪高关联的Top10头后，各层激活强度的变化率均小于1%。即使是关联度最高的Layer 5 Head 1被修剪，其所在层的Dim 447激活值也仅下降了0.32%。相比之下，修剪低关联的Bottom5头（表III）反而在输入层（Layer 0）引起了-2.64%的较大波动，但这被证实是局部且暂时的，未传递至后续层。</w:t>
      </w:r>
    </w:p>
    <w:p w14:paraId="4BDE454B">
      <w:pPr>
        <w:spacing w:line="400" w:lineRule="exact"/>
        <w:ind w:firstLine="480" w:firstLineChars="200"/>
        <w:rPr>
          <w:rFonts w:hint="eastAsia" w:ascii="Times New Roman" w:hAnsi="Times New Roman" w:cs="Times New Roman"/>
          <w:sz w:val="24"/>
        </w:rPr>
      </w:pPr>
    </w:p>
    <w:p w14:paraId="070E29B5">
      <w:pPr>
        <w:spacing w:line="400" w:lineRule="exact"/>
        <w:ind w:firstLine="2100" w:firstLineChars="1000"/>
        <w:rPr>
          <w:rFonts w:ascii="Times New Roman" w:hAnsi="Times New Roman" w:eastAsia="楷体" w:cs="Times New Roman"/>
          <w:szCs w:val="21"/>
        </w:rPr>
      </w:pPr>
      <w:r>
        <w:rPr>
          <w:rFonts w:hint="eastAsia" w:ascii="Times New Roman" w:hAnsi="Times New Roman" w:eastAsia="楷体" w:cs="Times New Roman"/>
          <w:szCs w:val="21"/>
        </w:rPr>
        <w:t>Table Bottom 5 最不重要的头（可安全剪枝）：</w:t>
      </w:r>
    </w:p>
    <w:tbl>
      <w:tblPr>
        <w:tblStyle w:val="4"/>
        <w:tblW w:w="8519" w:type="dxa"/>
        <w:jc w:val="center"/>
        <w:tblLayout w:type="autofit"/>
        <w:tblCellMar>
          <w:top w:w="0" w:type="dxa"/>
          <w:left w:w="108" w:type="dxa"/>
          <w:bottom w:w="0" w:type="dxa"/>
          <w:right w:w="108" w:type="dxa"/>
        </w:tblCellMar>
      </w:tblPr>
      <w:tblGrid>
        <w:gridCol w:w="1309"/>
        <w:gridCol w:w="869"/>
        <w:gridCol w:w="869"/>
        <w:gridCol w:w="2626"/>
        <w:gridCol w:w="2846"/>
      </w:tblGrid>
      <w:tr w14:paraId="47779113">
        <w:tblPrEx>
          <w:tblCellMar>
            <w:top w:w="0" w:type="dxa"/>
            <w:left w:w="108" w:type="dxa"/>
            <w:bottom w:w="0" w:type="dxa"/>
            <w:right w:w="108" w:type="dxa"/>
          </w:tblCellMar>
        </w:tblPrEx>
        <w:trPr>
          <w:trHeight w:val="0" w:hRule="atLeast"/>
          <w:tblHeader/>
          <w:jc w:val="center"/>
        </w:trPr>
        <w:tc>
          <w:tcPr>
            <w:tcW w:w="1309" w:type="dxa"/>
            <w:tcBorders>
              <w:top w:val="single" w:color="auto" w:sz="12" w:space="0"/>
              <w:left w:val="nil"/>
              <w:bottom w:val="single" w:color="auto" w:sz="4" w:space="0"/>
              <w:right w:val="nil"/>
            </w:tcBorders>
            <w:noWrap/>
            <w:vAlign w:val="center"/>
          </w:tcPr>
          <w:p w14:paraId="4562BC80">
            <w:pPr>
              <w:widowControl/>
              <w:snapToGrid w:val="0"/>
              <w:ind w:left="0" w:leftChars="0" w:right="0" w:rightChars="0" w:firstLine="0" w:firstLineChars="0"/>
              <w:jc w:val="center"/>
              <w:textAlignment w:val="center"/>
              <w:rPr>
                <w:rFonts w:hint="default" w:ascii="Times New Roman" w:hAnsi="Times New Roman" w:cs="Times New Roman" w:eastAsiaTheme="minorEastAsia"/>
                <w:b/>
                <w:color w:val="000000"/>
                <w:sz w:val="21"/>
                <w:szCs w:val="21"/>
              </w:rPr>
            </w:pPr>
            <w:r>
              <w:rPr>
                <w:rFonts w:hint="default" w:ascii="Times New Roman" w:hAnsi="Times New Roman" w:cs="Times New Roman" w:eastAsiaTheme="minorEastAsia"/>
                <w:b/>
                <w:color w:val="000000"/>
                <w:kern w:val="0"/>
                <w:sz w:val="21"/>
                <w:szCs w:val="21"/>
                <w:lang w:bidi="ar"/>
              </w:rPr>
              <w:t>排名</w:t>
            </w:r>
          </w:p>
        </w:tc>
        <w:tc>
          <w:tcPr>
            <w:tcW w:w="869" w:type="dxa"/>
            <w:tcBorders>
              <w:top w:val="single" w:color="auto" w:sz="12" w:space="0"/>
              <w:left w:val="nil"/>
              <w:bottom w:val="single" w:color="auto" w:sz="4" w:space="0"/>
              <w:right w:val="nil"/>
            </w:tcBorders>
            <w:noWrap/>
            <w:vAlign w:val="center"/>
          </w:tcPr>
          <w:p w14:paraId="77E659BB">
            <w:pPr>
              <w:widowControl/>
              <w:snapToGrid w:val="0"/>
              <w:ind w:left="0" w:leftChars="0" w:right="0" w:rightChars="0" w:firstLine="0" w:firstLineChars="0"/>
              <w:jc w:val="center"/>
              <w:textAlignment w:val="center"/>
              <w:rPr>
                <w:rFonts w:hint="default" w:ascii="Times New Roman" w:hAnsi="Times New Roman" w:cs="Times New Roman" w:eastAsiaTheme="minorEastAsia"/>
                <w:b/>
                <w:color w:val="000000"/>
                <w:sz w:val="21"/>
                <w:szCs w:val="21"/>
              </w:rPr>
            </w:pPr>
            <w:r>
              <w:rPr>
                <w:rFonts w:hint="default" w:ascii="Times New Roman" w:hAnsi="Times New Roman" w:cs="Times New Roman" w:eastAsiaTheme="minorEastAsia"/>
                <w:b/>
                <w:color w:val="000000"/>
                <w:kern w:val="0"/>
                <w:sz w:val="21"/>
                <w:szCs w:val="21"/>
                <w:lang w:bidi="ar"/>
              </w:rPr>
              <w:t>层</w:t>
            </w:r>
          </w:p>
        </w:tc>
        <w:tc>
          <w:tcPr>
            <w:tcW w:w="869" w:type="dxa"/>
            <w:tcBorders>
              <w:top w:val="single" w:color="auto" w:sz="12" w:space="0"/>
              <w:left w:val="nil"/>
              <w:bottom w:val="single" w:color="auto" w:sz="4" w:space="0"/>
              <w:right w:val="nil"/>
            </w:tcBorders>
            <w:noWrap/>
            <w:vAlign w:val="center"/>
          </w:tcPr>
          <w:p w14:paraId="5B0D55F7">
            <w:pPr>
              <w:widowControl/>
              <w:snapToGrid w:val="0"/>
              <w:ind w:left="0" w:leftChars="0" w:right="0" w:rightChars="0" w:firstLine="0" w:firstLineChars="0"/>
              <w:jc w:val="center"/>
              <w:textAlignment w:val="center"/>
              <w:rPr>
                <w:rFonts w:hint="default" w:ascii="Times New Roman" w:hAnsi="Times New Roman" w:cs="Times New Roman" w:eastAsiaTheme="minorEastAsia"/>
                <w:b/>
                <w:color w:val="000000"/>
                <w:sz w:val="21"/>
                <w:szCs w:val="21"/>
              </w:rPr>
            </w:pPr>
            <w:r>
              <w:rPr>
                <w:rFonts w:hint="default" w:ascii="Times New Roman" w:hAnsi="Times New Roman" w:cs="Times New Roman" w:eastAsiaTheme="minorEastAsia"/>
                <w:b/>
                <w:color w:val="000000"/>
                <w:kern w:val="0"/>
                <w:sz w:val="21"/>
                <w:szCs w:val="21"/>
                <w:lang w:bidi="ar"/>
              </w:rPr>
              <w:t>头</w:t>
            </w:r>
          </w:p>
        </w:tc>
        <w:tc>
          <w:tcPr>
            <w:tcW w:w="2626" w:type="dxa"/>
            <w:tcBorders>
              <w:top w:val="single" w:color="auto" w:sz="12" w:space="0"/>
              <w:left w:val="nil"/>
              <w:bottom w:val="single" w:color="auto" w:sz="4" w:space="0"/>
              <w:right w:val="nil"/>
            </w:tcBorders>
            <w:noWrap/>
            <w:vAlign w:val="center"/>
          </w:tcPr>
          <w:p w14:paraId="29A7C876">
            <w:pPr>
              <w:widowControl/>
              <w:snapToGrid w:val="0"/>
              <w:ind w:left="0" w:leftChars="0" w:right="0" w:rightChars="0" w:firstLine="0" w:firstLineChars="0"/>
              <w:jc w:val="center"/>
              <w:textAlignment w:val="center"/>
              <w:rPr>
                <w:rFonts w:hint="default" w:ascii="Times New Roman" w:hAnsi="Times New Roman" w:cs="Times New Roman" w:eastAsiaTheme="minorEastAsia"/>
                <w:b/>
                <w:color w:val="000000"/>
                <w:sz w:val="21"/>
                <w:szCs w:val="21"/>
              </w:rPr>
            </w:pPr>
            <w:r>
              <w:rPr>
                <w:rFonts w:hint="default" w:ascii="Times New Roman" w:hAnsi="Times New Roman" w:cs="Times New Roman" w:eastAsiaTheme="minorEastAsia"/>
                <w:b/>
                <w:color w:val="000000"/>
                <w:kern w:val="0"/>
                <w:sz w:val="21"/>
                <w:szCs w:val="21"/>
                <w:lang w:bidi="ar"/>
              </w:rPr>
              <w:t>注意力得分</w:t>
            </w:r>
          </w:p>
        </w:tc>
        <w:tc>
          <w:tcPr>
            <w:tcW w:w="2846" w:type="dxa"/>
            <w:tcBorders>
              <w:top w:val="single" w:color="auto" w:sz="12" w:space="0"/>
              <w:left w:val="nil"/>
              <w:bottom w:val="single" w:color="auto" w:sz="4" w:space="0"/>
              <w:right w:val="nil"/>
            </w:tcBorders>
            <w:noWrap/>
            <w:vAlign w:val="center"/>
          </w:tcPr>
          <w:p w14:paraId="24C227A4">
            <w:pPr>
              <w:widowControl/>
              <w:snapToGrid w:val="0"/>
              <w:ind w:left="0" w:leftChars="0" w:right="0" w:rightChars="0" w:firstLine="0" w:firstLineChars="0"/>
              <w:jc w:val="center"/>
              <w:textAlignment w:val="center"/>
              <w:rPr>
                <w:rFonts w:hint="default" w:ascii="Times New Roman" w:hAnsi="Times New Roman" w:cs="Times New Roman" w:eastAsiaTheme="minorEastAsia"/>
                <w:b/>
                <w:color w:val="000000"/>
                <w:sz w:val="21"/>
                <w:szCs w:val="21"/>
              </w:rPr>
            </w:pPr>
            <w:r>
              <w:rPr>
                <w:rFonts w:hint="default" w:ascii="Times New Roman" w:hAnsi="Times New Roman" w:cs="Times New Roman" w:eastAsiaTheme="minorEastAsia"/>
                <w:b/>
                <w:color w:val="000000"/>
                <w:kern w:val="0"/>
                <w:sz w:val="21"/>
                <w:szCs w:val="21"/>
                <w:lang w:bidi="ar"/>
              </w:rPr>
              <w:t>状态</w:t>
            </w:r>
          </w:p>
        </w:tc>
      </w:tr>
      <w:tr w14:paraId="27FD4B8F">
        <w:tblPrEx>
          <w:tblCellMar>
            <w:top w:w="0" w:type="dxa"/>
            <w:left w:w="108" w:type="dxa"/>
            <w:bottom w:w="0" w:type="dxa"/>
            <w:right w:w="108" w:type="dxa"/>
          </w:tblCellMar>
        </w:tblPrEx>
        <w:trPr>
          <w:trHeight w:val="0" w:hRule="atLeast"/>
          <w:jc w:val="center"/>
        </w:trPr>
        <w:tc>
          <w:tcPr>
            <w:tcW w:w="1309" w:type="dxa"/>
            <w:tcBorders>
              <w:top w:val="single" w:color="auto" w:sz="4" w:space="0"/>
              <w:left w:val="nil"/>
              <w:bottom w:val="nil"/>
              <w:right w:val="nil"/>
            </w:tcBorders>
            <w:noWrap/>
            <w:vAlign w:val="center"/>
          </w:tcPr>
          <w:p w14:paraId="51055F37">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w:t>
            </w:r>
          </w:p>
        </w:tc>
        <w:tc>
          <w:tcPr>
            <w:tcW w:w="869" w:type="dxa"/>
            <w:tcBorders>
              <w:top w:val="single" w:color="auto" w:sz="4" w:space="0"/>
              <w:left w:val="nil"/>
              <w:bottom w:val="nil"/>
              <w:right w:val="nil"/>
            </w:tcBorders>
            <w:noWrap/>
            <w:vAlign w:val="center"/>
          </w:tcPr>
          <w:p w14:paraId="5622AE99">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w:t>
            </w:r>
          </w:p>
        </w:tc>
        <w:tc>
          <w:tcPr>
            <w:tcW w:w="869" w:type="dxa"/>
            <w:tcBorders>
              <w:top w:val="single" w:color="auto" w:sz="4" w:space="0"/>
              <w:left w:val="nil"/>
              <w:bottom w:val="nil"/>
              <w:right w:val="nil"/>
            </w:tcBorders>
            <w:noWrap/>
            <w:vAlign w:val="center"/>
          </w:tcPr>
          <w:p w14:paraId="0B9119D3">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w:t>
            </w:r>
          </w:p>
        </w:tc>
        <w:tc>
          <w:tcPr>
            <w:tcW w:w="2626" w:type="dxa"/>
            <w:tcBorders>
              <w:top w:val="single" w:color="auto" w:sz="4" w:space="0"/>
              <w:left w:val="nil"/>
              <w:bottom w:val="nil"/>
              <w:right w:val="nil"/>
            </w:tcBorders>
            <w:noWrap/>
            <w:vAlign w:val="center"/>
          </w:tcPr>
          <w:p w14:paraId="589858E4">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0.001</w:t>
            </w:r>
          </w:p>
        </w:tc>
        <w:tc>
          <w:tcPr>
            <w:tcW w:w="2846" w:type="dxa"/>
            <w:tcBorders>
              <w:top w:val="single" w:color="auto" w:sz="4" w:space="0"/>
              <w:left w:val="nil"/>
              <w:bottom w:val="nil"/>
              <w:right w:val="nil"/>
            </w:tcBorders>
            <w:noWrap/>
            <w:vAlign w:val="center"/>
          </w:tcPr>
          <w:p w14:paraId="6797073B">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 影响极小</w:t>
            </w:r>
          </w:p>
        </w:tc>
      </w:tr>
      <w:tr w14:paraId="016DEA98">
        <w:tblPrEx>
          <w:tblCellMar>
            <w:top w:w="0" w:type="dxa"/>
            <w:left w:w="108" w:type="dxa"/>
            <w:bottom w:w="0" w:type="dxa"/>
            <w:right w:w="108" w:type="dxa"/>
          </w:tblCellMar>
        </w:tblPrEx>
        <w:trPr>
          <w:trHeight w:val="0" w:hRule="atLeast"/>
          <w:jc w:val="center"/>
        </w:trPr>
        <w:tc>
          <w:tcPr>
            <w:tcW w:w="1309" w:type="dxa"/>
            <w:tcBorders>
              <w:top w:val="nil"/>
              <w:left w:val="nil"/>
              <w:bottom w:val="nil"/>
              <w:right w:val="nil"/>
            </w:tcBorders>
            <w:noWrap/>
            <w:vAlign w:val="center"/>
          </w:tcPr>
          <w:p w14:paraId="3B4880B8">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2</w:t>
            </w:r>
          </w:p>
        </w:tc>
        <w:tc>
          <w:tcPr>
            <w:tcW w:w="869" w:type="dxa"/>
            <w:tcBorders>
              <w:top w:val="nil"/>
              <w:left w:val="nil"/>
              <w:bottom w:val="nil"/>
              <w:right w:val="nil"/>
            </w:tcBorders>
            <w:noWrap/>
            <w:vAlign w:val="center"/>
          </w:tcPr>
          <w:p w14:paraId="677EEF87">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4</w:t>
            </w:r>
          </w:p>
        </w:tc>
        <w:tc>
          <w:tcPr>
            <w:tcW w:w="869" w:type="dxa"/>
            <w:tcBorders>
              <w:top w:val="nil"/>
              <w:left w:val="nil"/>
              <w:bottom w:val="nil"/>
              <w:right w:val="nil"/>
            </w:tcBorders>
            <w:noWrap/>
            <w:vAlign w:val="center"/>
          </w:tcPr>
          <w:p w14:paraId="0BB80256">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11</w:t>
            </w:r>
          </w:p>
        </w:tc>
        <w:tc>
          <w:tcPr>
            <w:tcW w:w="2626" w:type="dxa"/>
            <w:tcBorders>
              <w:top w:val="nil"/>
              <w:left w:val="nil"/>
              <w:bottom w:val="nil"/>
              <w:right w:val="nil"/>
            </w:tcBorders>
            <w:noWrap/>
            <w:vAlign w:val="center"/>
          </w:tcPr>
          <w:p w14:paraId="2D3E4D1F">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0.002</w:t>
            </w:r>
          </w:p>
        </w:tc>
        <w:tc>
          <w:tcPr>
            <w:tcW w:w="2846" w:type="dxa"/>
            <w:tcBorders>
              <w:top w:val="nil"/>
              <w:left w:val="nil"/>
              <w:bottom w:val="nil"/>
              <w:right w:val="nil"/>
            </w:tcBorders>
            <w:noWrap/>
            <w:vAlign w:val="center"/>
          </w:tcPr>
          <w:p w14:paraId="4A217AB9">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 影响极小</w:t>
            </w:r>
          </w:p>
        </w:tc>
      </w:tr>
      <w:tr w14:paraId="3C184147">
        <w:tblPrEx>
          <w:tblCellMar>
            <w:top w:w="0" w:type="dxa"/>
            <w:left w:w="108" w:type="dxa"/>
            <w:bottom w:w="0" w:type="dxa"/>
            <w:right w:w="108" w:type="dxa"/>
          </w:tblCellMar>
        </w:tblPrEx>
        <w:trPr>
          <w:trHeight w:val="0" w:hRule="atLeast"/>
          <w:jc w:val="center"/>
        </w:trPr>
        <w:tc>
          <w:tcPr>
            <w:tcW w:w="1309" w:type="dxa"/>
            <w:tcBorders>
              <w:top w:val="nil"/>
              <w:left w:val="nil"/>
              <w:bottom w:val="nil"/>
              <w:right w:val="nil"/>
            </w:tcBorders>
            <w:noWrap/>
            <w:vAlign w:val="center"/>
          </w:tcPr>
          <w:p w14:paraId="70CD8575">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3</w:t>
            </w:r>
          </w:p>
        </w:tc>
        <w:tc>
          <w:tcPr>
            <w:tcW w:w="869" w:type="dxa"/>
            <w:tcBorders>
              <w:top w:val="nil"/>
              <w:left w:val="nil"/>
              <w:bottom w:val="nil"/>
              <w:right w:val="nil"/>
            </w:tcBorders>
            <w:noWrap/>
            <w:vAlign w:val="center"/>
          </w:tcPr>
          <w:p w14:paraId="1785DB35">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11</w:t>
            </w:r>
          </w:p>
        </w:tc>
        <w:tc>
          <w:tcPr>
            <w:tcW w:w="869" w:type="dxa"/>
            <w:tcBorders>
              <w:top w:val="nil"/>
              <w:left w:val="nil"/>
              <w:bottom w:val="nil"/>
              <w:right w:val="nil"/>
            </w:tcBorders>
            <w:noWrap/>
            <w:vAlign w:val="center"/>
          </w:tcPr>
          <w:p w14:paraId="05374F75">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8</w:t>
            </w:r>
          </w:p>
        </w:tc>
        <w:tc>
          <w:tcPr>
            <w:tcW w:w="2626" w:type="dxa"/>
            <w:tcBorders>
              <w:top w:val="nil"/>
              <w:left w:val="nil"/>
              <w:bottom w:val="nil"/>
              <w:right w:val="nil"/>
            </w:tcBorders>
            <w:noWrap/>
            <w:vAlign w:val="center"/>
          </w:tcPr>
          <w:p w14:paraId="35EFEEC1">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0.001</w:t>
            </w:r>
          </w:p>
        </w:tc>
        <w:tc>
          <w:tcPr>
            <w:tcW w:w="2846" w:type="dxa"/>
            <w:tcBorders>
              <w:top w:val="nil"/>
              <w:left w:val="nil"/>
              <w:bottom w:val="nil"/>
              <w:right w:val="nil"/>
            </w:tcBorders>
            <w:noWrap/>
            <w:vAlign w:val="center"/>
          </w:tcPr>
          <w:p w14:paraId="50A7453E">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 影响极小</w:t>
            </w:r>
          </w:p>
        </w:tc>
      </w:tr>
      <w:tr w14:paraId="7CC026E2">
        <w:tblPrEx>
          <w:tblCellMar>
            <w:top w:w="0" w:type="dxa"/>
            <w:left w:w="108" w:type="dxa"/>
            <w:bottom w:w="0" w:type="dxa"/>
            <w:right w:w="108" w:type="dxa"/>
          </w:tblCellMar>
        </w:tblPrEx>
        <w:trPr>
          <w:trHeight w:val="0" w:hRule="atLeast"/>
          <w:jc w:val="center"/>
        </w:trPr>
        <w:tc>
          <w:tcPr>
            <w:tcW w:w="1309" w:type="dxa"/>
            <w:tcBorders>
              <w:top w:val="nil"/>
              <w:left w:val="nil"/>
              <w:bottom w:val="nil"/>
              <w:right w:val="nil"/>
            </w:tcBorders>
            <w:noWrap/>
            <w:vAlign w:val="center"/>
          </w:tcPr>
          <w:p w14:paraId="098D0DE6">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4</w:t>
            </w:r>
          </w:p>
        </w:tc>
        <w:tc>
          <w:tcPr>
            <w:tcW w:w="869" w:type="dxa"/>
            <w:tcBorders>
              <w:top w:val="nil"/>
              <w:left w:val="nil"/>
              <w:bottom w:val="nil"/>
              <w:right w:val="nil"/>
            </w:tcBorders>
            <w:noWrap/>
            <w:vAlign w:val="center"/>
          </w:tcPr>
          <w:p w14:paraId="035AE083">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w:t>
            </w:r>
          </w:p>
        </w:tc>
        <w:tc>
          <w:tcPr>
            <w:tcW w:w="869" w:type="dxa"/>
            <w:tcBorders>
              <w:top w:val="nil"/>
              <w:left w:val="nil"/>
              <w:bottom w:val="nil"/>
              <w:right w:val="nil"/>
            </w:tcBorders>
            <w:noWrap/>
            <w:vAlign w:val="center"/>
          </w:tcPr>
          <w:p w14:paraId="5063BEA8">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10</w:t>
            </w:r>
          </w:p>
        </w:tc>
        <w:tc>
          <w:tcPr>
            <w:tcW w:w="2626" w:type="dxa"/>
            <w:tcBorders>
              <w:top w:val="nil"/>
              <w:left w:val="nil"/>
              <w:bottom w:val="nil"/>
              <w:right w:val="nil"/>
            </w:tcBorders>
            <w:noWrap/>
            <w:vAlign w:val="center"/>
          </w:tcPr>
          <w:p w14:paraId="1D960E4C">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0.002</w:t>
            </w:r>
          </w:p>
        </w:tc>
        <w:tc>
          <w:tcPr>
            <w:tcW w:w="2846" w:type="dxa"/>
            <w:tcBorders>
              <w:top w:val="nil"/>
              <w:left w:val="nil"/>
              <w:bottom w:val="nil"/>
              <w:right w:val="nil"/>
            </w:tcBorders>
            <w:noWrap/>
            <w:vAlign w:val="center"/>
          </w:tcPr>
          <w:p w14:paraId="20AF363B">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 影响极小</w:t>
            </w:r>
          </w:p>
        </w:tc>
      </w:tr>
      <w:tr w14:paraId="779E3A79">
        <w:tblPrEx>
          <w:tblCellMar>
            <w:top w:w="0" w:type="dxa"/>
            <w:left w:w="108" w:type="dxa"/>
            <w:bottom w:w="0" w:type="dxa"/>
            <w:right w:w="108" w:type="dxa"/>
          </w:tblCellMar>
        </w:tblPrEx>
        <w:trPr>
          <w:trHeight w:val="0" w:hRule="atLeast"/>
          <w:jc w:val="center"/>
        </w:trPr>
        <w:tc>
          <w:tcPr>
            <w:tcW w:w="1309" w:type="dxa"/>
            <w:tcBorders>
              <w:top w:val="nil"/>
              <w:left w:val="nil"/>
              <w:bottom w:val="single" w:color="auto" w:sz="12" w:space="0"/>
              <w:right w:val="nil"/>
            </w:tcBorders>
            <w:noWrap/>
            <w:vAlign w:val="center"/>
          </w:tcPr>
          <w:p w14:paraId="72A0A7CE">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5</w:t>
            </w:r>
          </w:p>
        </w:tc>
        <w:tc>
          <w:tcPr>
            <w:tcW w:w="869" w:type="dxa"/>
            <w:tcBorders>
              <w:top w:val="nil"/>
              <w:left w:val="nil"/>
              <w:bottom w:val="single" w:color="auto" w:sz="12" w:space="0"/>
              <w:right w:val="nil"/>
            </w:tcBorders>
            <w:noWrap/>
            <w:vAlign w:val="center"/>
          </w:tcPr>
          <w:p w14:paraId="185285D8">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w:t>
            </w:r>
          </w:p>
        </w:tc>
        <w:tc>
          <w:tcPr>
            <w:tcW w:w="869" w:type="dxa"/>
            <w:tcBorders>
              <w:top w:val="nil"/>
              <w:left w:val="nil"/>
              <w:bottom w:val="single" w:color="auto" w:sz="12" w:space="0"/>
              <w:right w:val="nil"/>
            </w:tcBorders>
            <w:noWrap/>
            <w:vAlign w:val="center"/>
          </w:tcPr>
          <w:p w14:paraId="30E57AA0">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3</w:t>
            </w:r>
          </w:p>
        </w:tc>
        <w:tc>
          <w:tcPr>
            <w:tcW w:w="2626" w:type="dxa"/>
            <w:tcBorders>
              <w:top w:val="nil"/>
              <w:left w:val="nil"/>
              <w:bottom w:val="single" w:color="auto" w:sz="12" w:space="0"/>
              <w:right w:val="nil"/>
            </w:tcBorders>
            <w:noWrap/>
            <w:vAlign w:val="center"/>
          </w:tcPr>
          <w:p w14:paraId="6E9E06B7">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0.002</w:t>
            </w:r>
          </w:p>
        </w:tc>
        <w:tc>
          <w:tcPr>
            <w:tcW w:w="2846" w:type="dxa"/>
            <w:tcBorders>
              <w:top w:val="nil"/>
              <w:left w:val="nil"/>
              <w:bottom w:val="single" w:color="auto" w:sz="12" w:space="0"/>
              <w:right w:val="nil"/>
            </w:tcBorders>
            <w:noWrap/>
            <w:vAlign w:val="center"/>
          </w:tcPr>
          <w:p w14:paraId="3F749C55">
            <w:pPr>
              <w:widowControl/>
              <w:snapToGrid w:val="0"/>
              <w:ind w:left="0" w:leftChars="0" w:right="0" w:rightChars="0" w:firstLine="0" w:firstLineChars="0"/>
              <w:jc w:val="center"/>
              <w:textAlignment w:val="center"/>
              <w:rPr>
                <w:rFonts w:hint="default" w:ascii="Times New Roman" w:hAnsi="Times New Roman" w:cs="Times New Roman" w:eastAsiaTheme="minorEastAsia"/>
                <w:color w:val="000000"/>
                <w:sz w:val="21"/>
                <w:szCs w:val="21"/>
              </w:rPr>
            </w:pPr>
            <w:r>
              <w:rPr>
                <w:rFonts w:hint="default" w:ascii="Times New Roman" w:hAnsi="Times New Roman" w:cs="Times New Roman" w:eastAsiaTheme="minorEastAsia"/>
                <w:color w:val="000000"/>
                <w:kern w:val="0"/>
                <w:sz w:val="21"/>
                <w:szCs w:val="21"/>
                <w:lang w:bidi="ar"/>
              </w:rPr>
              <w:t>✅ 影响极小</w:t>
            </w:r>
          </w:p>
        </w:tc>
      </w:tr>
    </w:tbl>
    <w:p w14:paraId="0C362CBF">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均分布于 Layer 0、4、11（边缘层），具体为 Layer0 Head1（0.001）、Layer4 Head11（0.002）、Layer11 Head8（0.001）、Layer1 Head10（0.002）、Layer0 Head3（0.002），平均得分 0.0015±0.0008，与 Top10 头的得分差异达 453 倍（t=-68.3，p&lt;0.001），确保分组有效性。</w:t>
      </w:r>
    </w:p>
    <w:p w14:paraId="155F475F">
      <w:pPr>
        <w:pStyle w:val="3"/>
        <w:widowControl/>
        <w:jc w:val="center"/>
      </w:pPr>
      <w:r>
        <w:drawing>
          <wp:inline distT="0" distB="0" distL="114300" distR="114300">
            <wp:extent cx="5313680" cy="1916430"/>
            <wp:effectExtent l="0" t="0" r="7620" b="1270"/>
            <wp:docPr id="14"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7" descr="IMG_256"/>
                    <pic:cNvPicPr>
                      <a:picLocks noChangeAspect="1"/>
                    </pic:cNvPicPr>
                  </pic:nvPicPr>
                  <pic:blipFill>
                    <a:blip r:embed="rId50"/>
                    <a:stretch>
                      <a:fillRect/>
                    </a:stretch>
                  </pic:blipFill>
                  <pic:spPr>
                    <a:xfrm>
                      <a:off x="0" y="0"/>
                      <a:ext cx="5313680" cy="1916430"/>
                    </a:xfrm>
                    <a:prstGeom prst="rect">
                      <a:avLst/>
                    </a:prstGeom>
                    <a:noFill/>
                    <a:ln w="9525">
                      <a:noFill/>
                    </a:ln>
                  </pic:spPr>
                </pic:pic>
              </a:graphicData>
            </a:graphic>
          </wp:inline>
        </w:drawing>
      </w:r>
    </w:p>
    <w:p w14:paraId="0341D2E5">
      <w:pPr>
        <w:spacing w:line="400" w:lineRule="exact"/>
        <w:ind w:firstLine="1680" w:firstLineChars="800"/>
        <w:jc w:val="center"/>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：各层头重要性模式</w:t>
      </w:r>
    </w:p>
    <w:p w14:paraId="16592D83">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柱状图清晰显示，修剪高关联头（Exp A）对激活强度的影响微乎其微（各层变化率 &lt; 1%），而修剪低关联头（Exp B）在浅层（如Layer 0）产生了相对较大的波动，但该影响并未持续至发生激活爆炸的深层。在模型性能方面，三组实验在WikiText-103验证集上的困惑度非常接近，差异小于0.2%，表明此类选择性修剪不会导致模型性能的灾难性下降。</w:t>
      </w:r>
    </w:p>
    <w:p w14:paraId="7633B914">
      <w:pPr>
        <w:pStyle w:val="3"/>
        <w:widowControl/>
      </w:pPr>
      <w:r>
        <w:drawing>
          <wp:inline distT="0" distB="0" distL="114300" distR="114300">
            <wp:extent cx="5647690" cy="2044065"/>
            <wp:effectExtent l="0" t="0" r="3810" b="635"/>
            <wp:docPr id="15"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descr="IMG_256"/>
                    <pic:cNvPicPr>
                      <a:picLocks noChangeAspect="1"/>
                    </pic:cNvPicPr>
                  </pic:nvPicPr>
                  <pic:blipFill>
                    <a:blip r:embed="rId51"/>
                    <a:stretch>
                      <a:fillRect/>
                    </a:stretch>
                  </pic:blipFill>
                  <pic:spPr>
                    <a:xfrm>
                      <a:off x="0" y="0"/>
                      <a:ext cx="5647690" cy="2044065"/>
                    </a:xfrm>
                    <a:prstGeom prst="rect">
                      <a:avLst/>
                    </a:prstGeom>
                    <a:noFill/>
                    <a:ln w="9525">
                      <a:noFill/>
                    </a:ln>
                  </pic:spPr>
                </pic:pic>
              </a:graphicData>
            </a:graphic>
          </wp:inline>
        </w:drawing>
      </w:r>
    </w:p>
    <w:p w14:paraId="395020D6">
      <w:pPr>
        <w:spacing w:line="400" w:lineRule="exact"/>
        <w:ind w:firstLine="2940" w:firstLineChars="1400"/>
        <w:jc w:val="both"/>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：影响对比 - 剪枝不同的头</w:t>
      </w:r>
    </w:p>
    <w:p w14:paraId="52089339">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柱状图显示，Top10 头剪枝的各层变化率均 &lt; 1%，而 Bottom5 头剪枝在 Layer 0 出现 - 2.64% 的异常变化 —— 这是因为 Layer 0 作为输入层，其注意力头参与残差连接的初始化，剪枝后短期影响激活流，但该效应未传递至 Layer 2+（变化率 &lt; 0.5%），证明其影响是局部且可逆的。</w:t>
      </w:r>
    </w:p>
    <w:p w14:paraId="2E04D79C">
      <w:pPr>
        <w:spacing w:line="400" w:lineRule="exact"/>
        <w:rPr>
          <w:rFonts w:ascii="Times New Roman" w:hAnsi="Times New Roman" w:cs="Times New Roman"/>
          <w:sz w:val="24"/>
        </w:rPr>
      </w:pPr>
    </w:p>
    <w:p w14:paraId="0AD056B7">
      <w:pPr>
        <w:pStyle w:val="3"/>
        <w:widowControl/>
        <w:jc w:val="center"/>
      </w:pPr>
      <w:r>
        <w:drawing>
          <wp:inline distT="0" distB="0" distL="114300" distR="114300">
            <wp:extent cx="3890010" cy="2895600"/>
            <wp:effectExtent l="0" t="0" r="8890" b="0"/>
            <wp:docPr id="16"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9" descr="IMG_256"/>
                    <pic:cNvPicPr>
                      <a:picLocks noChangeAspect="1"/>
                    </pic:cNvPicPr>
                  </pic:nvPicPr>
                  <pic:blipFill>
                    <a:blip r:embed="rId52"/>
                    <a:stretch>
                      <a:fillRect/>
                    </a:stretch>
                  </pic:blipFill>
                  <pic:spPr>
                    <a:xfrm>
                      <a:off x="0" y="0"/>
                      <a:ext cx="3890010" cy="2895600"/>
                    </a:xfrm>
                    <a:prstGeom prst="rect">
                      <a:avLst/>
                    </a:prstGeom>
                    <a:noFill/>
                    <a:ln w="9525">
                      <a:noFill/>
                    </a:ln>
                  </pic:spPr>
                </pic:pic>
              </a:graphicData>
            </a:graphic>
          </wp:inline>
        </w:drawing>
      </w:r>
    </w:p>
    <w:p w14:paraId="759B5231">
      <w:pPr>
        <w:spacing w:line="400" w:lineRule="exact"/>
        <w:ind w:firstLine="2730" w:firstLineChars="1300"/>
        <w:jc w:val="both"/>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：剪枝TOP头的详细影响</w:t>
      </w:r>
    </w:p>
    <w:p w14:paraId="62AD05FA">
      <w:pPr>
        <w:pStyle w:val="3"/>
        <w:widowControl/>
        <w:jc w:val="center"/>
      </w:pPr>
      <w:r>
        <w:drawing>
          <wp:inline distT="0" distB="0" distL="114300" distR="114300">
            <wp:extent cx="3900170" cy="2902585"/>
            <wp:effectExtent l="0" t="0" r="11430" b="5715"/>
            <wp:docPr id="17"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0" descr="IMG_256"/>
                    <pic:cNvPicPr>
                      <a:picLocks noChangeAspect="1"/>
                    </pic:cNvPicPr>
                  </pic:nvPicPr>
                  <pic:blipFill>
                    <a:blip r:embed="rId53"/>
                    <a:stretch>
                      <a:fillRect/>
                    </a:stretch>
                  </pic:blipFill>
                  <pic:spPr>
                    <a:xfrm>
                      <a:off x="0" y="0"/>
                      <a:ext cx="3900170" cy="2902585"/>
                    </a:xfrm>
                    <a:prstGeom prst="rect">
                      <a:avLst/>
                    </a:prstGeom>
                    <a:noFill/>
                    <a:ln w="9525">
                      <a:noFill/>
                    </a:ln>
                  </pic:spPr>
                </pic:pic>
              </a:graphicData>
            </a:graphic>
          </wp:inline>
        </w:drawing>
      </w:r>
    </w:p>
    <w:p w14:paraId="22CB427B">
      <w:pPr>
        <w:spacing w:line="400" w:lineRule="exact"/>
        <w:ind w:firstLine="2310" w:firstLineChars="1100"/>
        <w:jc w:val="both"/>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：剪枝BOTTOM头的详细影响</w:t>
      </w:r>
    </w:p>
    <w:p w14:paraId="6AC2296B">
      <w:pPr>
        <w:spacing w:line="400" w:lineRule="exact"/>
        <w:rPr>
          <w:rFonts w:ascii="Times New Roman" w:hAnsi="Times New Roman" w:cs="Times New Roman"/>
          <w:sz w:val="24"/>
        </w:rPr>
      </w:pPr>
    </w:p>
    <w:p w14:paraId="35BBEBAD">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两组实验组的激活幅度箱线图与对照组高度重叠，Dim 447 的中位数波动 &lt; 0.8%，Dim 138 的中位数波动 &lt; 0.5%，且无异常值（超出四分位距 1.5 倍的点占比 &lt; 0.3%）。这表明无论剪枝高 / 低关联头，大规模激活的分布特征均未改变，模型通过残差连接与其他头的补偿机制维持激活稳定。大规模激活对注意力头的修剪表现出高度的鲁棒性。即使是对其关注度最高的注意力头，也并非维持其强度的必要条件。这一发现进一步巩固了RQ1的结论：注意力机制在大规模激活现象中主要起下游读取与利用作用，而非上游生成或维持作用。模型的这种冗余性也为未来的模型压缩提供了启示。</w:t>
      </w:r>
    </w:p>
    <w:p w14:paraId="054D24B7">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关键发现：大规模激活对注意力头修剪具有高度鲁棒性 ——Top10 高关联头的剪枝未削弱激活强度，Bottom5 低关联头的剪枝仅产生局部、短期影响；注意力头的核心功能是 “读取” 已生成的激活信号，而非 “维持” 或 “调节” 激活幅度，进一步排除其在大规模激活中的关键作用。</w:t>
      </w:r>
    </w:p>
    <w:p w14:paraId="7B86444A">
      <w:pPr>
        <w:spacing w:before="312" w:beforeLines="100" w:after="312" w:afterLines="100"/>
        <w:rPr>
          <w:rFonts w:hint="default" w:ascii="Times New Roman" w:hAnsi="Times New Roman" w:eastAsia="黑体" w:cs="Times New Roman"/>
          <w:sz w:val="28"/>
          <w:szCs w:val="28"/>
        </w:rPr>
      </w:pPr>
      <w:r>
        <w:rPr>
          <w:rFonts w:hint="eastAsia" w:ascii="Times New Roman" w:hAnsi="Times New Roman" w:eastAsia="黑体" w:cs="Times New Roman"/>
          <w:sz w:val="28"/>
          <w:szCs w:val="28"/>
        </w:rPr>
        <w:t>4.3：MLP层的触发效应</w:t>
      </w:r>
    </w:p>
    <w:p w14:paraId="68F6B37B">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基于前两个实验的结论，本研究将焦点转向Transformer的另一核心组件——多层感知机（MLP）层。本实验旨在系统性验证MLP层是否为大规模激活的关键生成器，并精确定位其内部的激活爆炸点。本实验分 “全层验证→组件定位” 两步，第一步采用 “MLP 全禁用 + 激活衰减率计算”，第二步通过梯度停止法阻断 MLP 内部组件（Linear1/GELU/Linear2）的信号传递（非简单置零，避免数值噪声），在 4 个检查点同步采集激活值：检查点 1（MLP 输入）为残差流与注意力输出的叠加值，检查点 2~4 分别为各组件的输出值，每个检查点的采样维度与原始输入保持一致（768/3072 维），确保数据流完整性。</w:t>
      </w:r>
    </w:p>
    <w:p w14:paraId="5B506566">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此外，针对 Linear2 权重矩阵（3072×768），提前计算其 L2 范数（均值 0.23±0.08），排除权重异常值对实验结果的干扰（异常值占比 &lt; 0.01%）。</w:t>
      </w:r>
    </w:p>
    <w:p w14:paraId="364EF397">
      <w:pPr>
        <w:pStyle w:val="3"/>
        <w:widowControl/>
        <w:jc w:val="center"/>
      </w:pPr>
      <w:r>
        <w:drawing>
          <wp:inline distT="0" distB="0" distL="114300" distR="114300">
            <wp:extent cx="4479925" cy="3566160"/>
            <wp:effectExtent l="0" t="0" r="3175"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54"/>
                    <a:stretch>
                      <a:fillRect/>
                    </a:stretch>
                  </pic:blipFill>
                  <pic:spPr>
                    <a:xfrm>
                      <a:off x="0" y="0"/>
                      <a:ext cx="4479925" cy="3566160"/>
                    </a:xfrm>
                    <a:prstGeom prst="rect">
                      <a:avLst/>
                    </a:prstGeom>
                    <a:noFill/>
                    <a:ln w="9525">
                      <a:noFill/>
                    </a:ln>
                  </pic:spPr>
                </pic:pic>
              </a:graphicData>
            </a:graphic>
          </wp:inline>
        </w:drawing>
      </w:r>
    </w:p>
    <w:p w14:paraId="0DE3B329">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Figure : Baseline vs All MLP Disabled - MASSIVE DECREASE in Activations</w:t>
      </w:r>
    </w:p>
    <w:p w14:paraId="735CF46C">
      <w:pPr>
        <w:spacing w:line="400" w:lineRule="exact"/>
        <w:ind w:firstLine="480" w:firstLineChars="200"/>
        <w:rPr>
          <w:rFonts w:ascii="Times New Roman" w:hAnsi="Times New Roman" w:cs="Times New Roman"/>
          <w:sz w:val="24"/>
        </w:rPr>
      </w:pPr>
    </w:p>
    <w:p w14:paraId="341A4C85">
      <w:pPr>
        <w:spacing w:line="400" w:lineRule="exact"/>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 xml:space="preserve">                            </w:t>
      </w:r>
    </w:p>
    <w:tbl>
      <w:tblPr>
        <w:tblStyle w:val="4"/>
        <w:tblW w:w="4998" w:type="pct"/>
        <w:jc w:val="center"/>
        <w:tblLayout w:type="autofit"/>
        <w:tblCellMar>
          <w:top w:w="0" w:type="dxa"/>
          <w:left w:w="108" w:type="dxa"/>
          <w:bottom w:w="0" w:type="dxa"/>
          <w:right w:w="108" w:type="dxa"/>
        </w:tblCellMar>
      </w:tblPr>
      <w:tblGrid>
        <w:gridCol w:w="2112"/>
        <w:gridCol w:w="1256"/>
        <w:gridCol w:w="2325"/>
        <w:gridCol w:w="1326"/>
        <w:gridCol w:w="1500"/>
      </w:tblGrid>
      <w:tr w14:paraId="0C97E380">
        <w:tblPrEx>
          <w:tblCellMar>
            <w:top w:w="0" w:type="dxa"/>
            <w:left w:w="108" w:type="dxa"/>
            <w:bottom w:w="0" w:type="dxa"/>
            <w:right w:w="108" w:type="dxa"/>
          </w:tblCellMar>
        </w:tblPrEx>
        <w:trPr>
          <w:trHeight w:val="0" w:hRule="atLeast"/>
          <w:tblHeader/>
          <w:jc w:val="center"/>
        </w:trPr>
        <w:tc>
          <w:tcPr>
            <w:tcW w:w="1239" w:type="pct"/>
            <w:tcBorders>
              <w:top w:val="single" w:color="auto" w:sz="12" w:space="0"/>
              <w:left w:val="nil"/>
              <w:bottom w:val="single" w:color="auto" w:sz="4" w:space="0"/>
              <w:right w:val="nil"/>
            </w:tcBorders>
            <w:shd w:val="clear" w:color="auto" w:fill="FFFFFF"/>
            <w:vAlign w:val="center"/>
          </w:tcPr>
          <w:p w14:paraId="08D44CD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Metric</w:t>
            </w:r>
          </w:p>
        </w:tc>
        <w:tc>
          <w:tcPr>
            <w:tcW w:w="737" w:type="pct"/>
            <w:tcBorders>
              <w:top w:val="single" w:color="auto" w:sz="12" w:space="0"/>
              <w:left w:val="nil"/>
              <w:bottom w:val="single" w:color="auto" w:sz="4" w:space="0"/>
              <w:right w:val="nil"/>
            </w:tcBorders>
            <w:shd w:val="clear" w:color="auto" w:fill="FFFFFF"/>
            <w:vAlign w:val="center"/>
          </w:tcPr>
          <w:p w14:paraId="5393B94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Baseline</w:t>
            </w:r>
          </w:p>
        </w:tc>
        <w:tc>
          <w:tcPr>
            <w:tcW w:w="1364" w:type="pct"/>
            <w:tcBorders>
              <w:top w:val="single" w:color="auto" w:sz="12" w:space="0"/>
              <w:left w:val="nil"/>
              <w:bottom w:val="single" w:color="auto" w:sz="4" w:space="0"/>
              <w:right w:val="nil"/>
            </w:tcBorders>
            <w:shd w:val="clear" w:color="auto" w:fill="FFFFFF"/>
            <w:vAlign w:val="center"/>
          </w:tcPr>
          <w:p w14:paraId="6538B4D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All MLP Disabled</w:t>
            </w:r>
          </w:p>
        </w:tc>
        <w:tc>
          <w:tcPr>
            <w:tcW w:w="778" w:type="pct"/>
            <w:tcBorders>
              <w:top w:val="single" w:color="auto" w:sz="12" w:space="0"/>
              <w:left w:val="nil"/>
              <w:bottom w:val="single" w:color="auto" w:sz="4" w:space="0"/>
              <w:right w:val="nil"/>
            </w:tcBorders>
            <w:shd w:val="clear" w:color="auto" w:fill="FFFFFF"/>
            <w:vAlign w:val="center"/>
          </w:tcPr>
          <w:p w14:paraId="4B7E44D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Change</w:t>
            </w:r>
          </w:p>
        </w:tc>
        <w:tc>
          <w:tcPr>
            <w:tcW w:w="880" w:type="pct"/>
            <w:tcBorders>
              <w:top w:val="single" w:color="auto" w:sz="12" w:space="0"/>
              <w:left w:val="nil"/>
              <w:bottom w:val="single" w:color="auto" w:sz="4" w:space="0"/>
              <w:right w:val="nil"/>
            </w:tcBorders>
            <w:shd w:val="clear" w:color="auto" w:fill="FFFFFF"/>
            <w:vAlign w:val="center"/>
          </w:tcPr>
          <w:p w14:paraId="4624CB4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b/>
                <w:color w:val="1F2328"/>
                <w:sz w:val="21"/>
                <w:szCs w:val="21"/>
              </w:rPr>
            </w:pPr>
            <w:r>
              <w:rPr>
                <w:rFonts w:hint="default" w:ascii="Times New Roman" w:hAnsi="Times New Roman" w:eastAsia="Segoe UI" w:cs="Times New Roman"/>
                <w:b/>
                <w:color w:val="1F2328"/>
                <w:kern w:val="0"/>
                <w:sz w:val="21"/>
                <w:szCs w:val="21"/>
                <w:lang w:bidi="ar"/>
              </w:rPr>
              <w:t>% Change</w:t>
            </w:r>
          </w:p>
        </w:tc>
      </w:tr>
      <w:tr w14:paraId="158EEBDC">
        <w:tblPrEx>
          <w:tblCellMar>
            <w:top w:w="0" w:type="dxa"/>
            <w:left w:w="108" w:type="dxa"/>
            <w:bottom w:w="0" w:type="dxa"/>
            <w:right w:w="108" w:type="dxa"/>
          </w:tblCellMar>
        </w:tblPrEx>
        <w:trPr>
          <w:trHeight w:val="0" w:hRule="atLeast"/>
          <w:jc w:val="center"/>
        </w:trPr>
        <w:tc>
          <w:tcPr>
            <w:tcW w:w="1239" w:type="pct"/>
            <w:tcBorders>
              <w:top w:val="single" w:color="auto" w:sz="4" w:space="0"/>
              <w:left w:val="nil"/>
              <w:bottom w:val="nil"/>
              <w:right w:val="nil"/>
            </w:tcBorders>
            <w:shd w:val="clear" w:color="auto" w:fill="FFFFFF"/>
            <w:vAlign w:val="center"/>
          </w:tcPr>
          <w:p w14:paraId="39FF648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Dim 447 (Peak)</w:t>
            </w:r>
          </w:p>
        </w:tc>
        <w:tc>
          <w:tcPr>
            <w:tcW w:w="737" w:type="pct"/>
            <w:tcBorders>
              <w:top w:val="single" w:color="auto" w:sz="4" w:space="0"/>
              <w:left w:val="nil"/>
              <w:bottom w:val="nil"/>
              <w:right w:val="nil"/>
            </w:tcBorders>
            <w:shd w:val="clear" w:color="auto" w:fill="FFFFFF"/>
            <w:vAlign w:val="center"/>
          </w:tcPr>
          <w:p w14:paraId="15BFEC9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3021.33</w:t>
            </w:r>
          </w:p>
        </w:tc>
        <w:tc>
          <w:tcPr>
            <w:tcW w:w="1364" w:type="pct"/>
            <w:tcBorders>
              <w:top w:val="single" w:color="auto" w:sz="4" w:space="0"/>
              <w:left w:val="nil"/>
              <w:bottom w:val="nil"/>
              <w:right w:val="nil"/>
            </w:tcBorders>
            <w:shd w:val="clear" w:color="auto" w:fill="FFFFFF"/>
            <w:vAlign w:val="center"/>
          </w:tcPr>
          <w:p w14:paraId="7EE3AE5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1164.08</w:t>
            </w:r>
          </w:p>
        </w:tc>
        <w:tc>
          <w:tcPr>
            <w:tcW w:w="778" w:type="pct"/>
            <w:tcBorders>
              <w:top w:val="single" w:color="auto" w:sz="4" w:space="0"/>
              <w:left w:val="nil"/>
              <w:bottom w:val="nil"/>
              <w:right w:val="nil"/>
            </w:tcBorders>
            <w:shd w:val="clear" w:color="auto" w:fill="FFFFFF"/>
            <w:vAlign w:val="center"/>
          </w:tcPr>
          <w:p w14:paraId="7FA387B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-1857.25</w:t>
            </w:r>
          </w:p>
        </w:tc>
        <w:tc>
          <w:tcPr>
            <w:tcW w:w="880" w:type="pct"/>
            <w:tcBorders>
              <w:top w:val="single" w:color="auto" w:sz="4" w:space="0"/>
              <w:left w:val="nil"/>
              <w:bottom w:val="nil"/>
              <w:right w:val="nil"/>
            </w:tcBorders>
            <w:shd w:val="clear" w:color="auto" w:fill="FFFFFF"/>
            <w:vAlign w:val="center"/>
          </w:tcPr>
          <w:p w14:paraId="3F9A17C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-61.47%</w:t>
            </w:r>
          </w:p>
        </w:tc>
      </w:tr>
      <w:tr w14:paraId="47BF227E">
        <w:tblPrEx>
          <w:tblCellMar>
            <w:top w:w="0" w:type="dxa"/>
            <w:left w:w="108" w:type="dxa"/>
            <w:bottom w:w="0" w:type="dxa"/>
            <w:right w:w="108" w:type="dxa"/>
          </w:tblCellMar>
        </w:tblPrEx>
        <w:trPr>
          <w:trHeight w:val="0" w:hRule="atLeast"/>
          <w:jc w:val="center"/>
        </w:trPr>
        <w:tc>
          <w:tcPr>
            <w:tcW w:w="1239" w:type="pct"/>
            <w:tcBorders>
              <w:top w:val="nil"/>
              <w:left w:val="nil"/>
              <w:bottom w:val="nil"/>
              <w:right w:val="nil"/>
            </w:tcBorders>
            <w:shd w:val="clear" w:color="auto" w:fill="F6F8FA"/>
            <w:vAlign w:val="center"/>
          </w:tcPr>
          <w:p w14:paraId="26FB241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Dim 138 (Peak)</w:t>
            </w:r>
          </w:p>
        </w:tc>
        <w:tc>
          <w:tcPr>
            <w:tcW w:w="737" w:type="pct"/>
            <w:tcBorders>
              <w:top w:val="nil"/>
              <w:left w:val="nil"/>
              <w:bottom w:val="nil"/>
              <w:right w:val="nil"/>
            </w:tcBorders>
            <w:shd w:val="clear" w:color="auto" w:fill="F6F8FA"/>
            <w:vAlign w:val="center"/>
          </w:tcPr>
          <w:p w14:paraId="0BA4B05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796.37</w:t>
            </w:r>
          </w:p>
        </w:tc>
        <w:tc>
          <w:tcPr>
            <w:tcW w:w="1364" w:type="pct"/>
            <w:tcBorders>
              <w:top w:val="nil"/>
              <w:left w:val="nil"/>
              <w:bottom w:val="nil"/>
              <w:right w:val="nil"/>
            </w:tcBorders>
            <w:shd w:val="clear" w:color="auto" w:fill="F6F8FA"/>
            <w:vAlign w:val="center"/>
          </w:tcPr>
          <w:p w14:paraId="480EE57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300.22</w:t>
            </w:r>
          </w:p>
        </w:tc>
        <w:tc>
          <w:tcPr>
            <w:tcW w:w="778" w:type="pct"/>
            <w:tcBorders>
              <w:top w:val="nil"/>
              <w:left w:val="nil"/>
              <w:bottom w:val="nil"/>
              <w:right w:val="nil"/>
            </w:tcBorders>
            <w:shd w:val="clear" w:color="auto" w:fill="F6F8FA"/>
            <w:vAlign w:val="center"/>
          </w:tcPr>
          <w:p w14:paraId="7E85952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-496.15</w:t>
            </w:r>
          </w:p>
        </w:tc>
        <w:tc>
          <w:tcPr>
            <w:tcW w:w="880" w:type="pct"/>
            <w:tcBorders>
              <w:top w:val="nil"/>
              <w:left w:val="nil"/>
              <w:bottom w:val="nil"/>
              <w:right w:val="nil"/>
            </w:tcBorders>
            <w:shd w:val="clear" w:color="auto" w:fill="F6F8FA"/>
            <w:vAlign w:val="center"/>
          </w:tcPr>
          <w:p w14:paraId="65B7658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-62.30%</w:t>
            </w:r>
          </w:p>
        </w:tc>
      </w:tr>
      <w:tr w14:paraId="54D5BA39">
        <w:tblPrEx>
          <w:tblCellMar>
            <w:top w:w="0" w:type="dxa"/>
            <w:left w:w="108" w:type="dxa"/>
            <w:bottom w:w="0" w:type="dxa"/>
            <w:right w:w="108" w:type="dxa"/>
          </w:tblCellMar>
        </w:tblPrEx>
        <w:trPr>
          <w:trHeight w:val="0" w:hRule="atLeast"/>
          <w:jc w:val="center"/>
        </w:trPr>
        <w:tc>
          <w:tcPr>
            <w:tcW w:w="1239" w:type="pct"/>
            <w:tcBorders>
              <w:top w:val="nil"/>
              <w:left w:val="nil"/>
              <w:bottom w:val="nil"/>
              <w:right w:val="nil"/>
            </w:tcBorders>
            <w:shd w:val="clear" w:color="auto" w:fill="FFFFFF"/>
            <w:vAlign w:val="center"/>
          </w:tcPr>
          <w:p w14:paraId="0A9B20E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Layer 2 Top1</w:t>
            </w:r>
          </w:p>
        </w:tc>
        <w:tc>
          <w:tcPr>
            <w:tcW w:w="737" w:type="pct"/>
            <w:tcBorders>
              <w:top w:val="nil"/>
              <w:left w:val="nil"/>
              <w:bottom w:val="nil"/>
              <w:right w:val="nil"/>
            </w:tcBorders>
            <w:shd w:val="clear" w:color="auto" w:fill="FFFFFF"/>
            <w:vAlign w:val="center"/>
          </w:tcPr>
          <w:p w14:paraId="7C4B062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2475.27</w:t>
            </w:r>
          </w:p>
        </w:tc>
        <w:tc>
          <w:tcPr>
            <w:tcW w:w="1364" w:type="pct"/>
            <w:tcBorders>
              <w:top w:val="nil"/>
              <w:left w:val="nil"/>
              <w:bottom w:val="nil"/>
              <w:right w:val="nil"/>
            </w:tcBorders>
            <w:shd w:val="clear" w:color="auto" w:fill="FFFFFF"/>
            <w:vAlign w:val="center"/>
          </w:tcPr>
          <w:p w14:paraId="6538E3A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55.03</w:t>
            </w:r>
          </w:p>
        </w:tc>
        <w:tc>
          <w:tcPr>
            <w:tcW w:w="778" w:type="pct"/>
            <w:tcBorders>
              <w:top w:val="nil"/>
              <w:left w:val="nil"/>
              <w:bottom w:val="nil"/>
              <w:right w:val="nil"/>
            </w:tcBorders>
            <w:shd w:val="clear" w:color="auto" w:fill="FFFFFF"/>
            <w:vAlign w:val="center"/>
          </w:tcPr>
          <w:p w14:paraId="52819E4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-2420.24</w:t>
            </w:r>
          </w:p>
        </w:tc>
        <w:tc>
          <w:tcPr>
            <w:tcW w:w="880" w:type="pct"/>
            <w:tcBorders>
              <w:top w:val="nil"/>
              <w:left w:val="nil"/>
              <w:bottom w:val="nil"/>
              <w:right w:val="nil"/>
            </w:tcBorders>
            <w:shd w:val="clear" w:color="auto" w:fill="FFFFFF"/>
            <w:vAlign w:val="center"/>
          </w:tcPr>
          <w:p w14:paraId="51A2279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-97.78%</w:t>
            </w:r>
          </w:p>
        </w:tc>
      </w:tr>
      <w:tr w14:paraId="350080F3">
        <w:tblPrEx>
          <w:tblCellMar>
            <w:top w:w="0" w:type="dxa"/>
            <w:left w:w="108" w:type="dxa"/>
            <w:bottom w:w="0" w:type="dxa"/>
            <w:right w:w="108" w:type="dxa"/>
          </w:tblCellMar>
        </w:tblPrEx>
        <w:trPr>
          <w:trHeight w:val="0" w:hRule="atLeast"/>
          <w:jc w:val="center"/>
        </w:trPr>
        <w:tc>
          <w:tcPr>
            <w:tcW w:w="1239" w:type="pct"/>
            <w:tcBorders>
              <w:top w:val="nil"/>
              <w:left w:val="nil"/>
              <w:bottom w:val="nil"/>
              <w:right w:val="nil"/>
            </w:tcBorders>
            <w:shd w:val="clear" w:color="auto" w:fill="F6F8FA"/>
            <w:vAlign w:val="center"/>
          </w:tcPr>
          <w:p w14:paraId="26560BE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Layer 5 Top1</w:t>
            </w:r>
          </w:p>
        </w:tc>
        <w:tc>
          <w:tcPr>
            <w:tcW w:w="737" w:type="pct"/>
            <w:tcBorders>
              <w:top w:val="nil"/>
              <w:left w:val="nil"/>
              <w:bottom w:val="nil"/>
              <w:right w:val="nil"/>
            </w:tcBorders>
            <w:shd w:val="clear" w:color="auto" w:fill="F6F8FA"/>
            <w:vAlign w:val="center"/>
          </w:tcPr>
          <w:p w14:paraId="4E1365A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2891.73</w:t>
            </w:r>
          </w:p>
        </w:tc>
        <w:tc>
          <w:tcPr>
            <w:tcW w:w="1364" w:type="pct"/>
            <w:tcBorders>
              <w:top w:val="nil"/>
              <w:left w:val="nil"/>
              <w:bottom w:val="nil"/>
              <w:right w:val="nil"/>
            </w:tcBorders>
            <w:shd w:val="clear" w:color="auto" w:fill="F6F8FA"/>
            <w:vAlign w:val="center"/>
          </w:tcPr>
          <w:p w14:paraId="59305FA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54.98</w:t>
            </w:r>
          </w:p>
        </w:tc>
        <w:tc>
          <w:tcPr>
            <w:tcW w:w="778" w:type="pct"/>
            <w:tcBorders>
              <w:top w:val="nil"/>
              <w:left w:val="nil"/>
              <w:bottom w:val="nil"/>
              <w:right w:val="nil"/>
            </w:tcBorders>
            <w:shd w:val="clear" w:color="auto" w:fill="F6F8FA"/>
            <w:vAlign w:val="center"/>
          </w:tcPr>
          <w:p w14:paraId="2FD1B620">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-2836.75</w:t>
            </w:r>
          </w:p>
        </w:tc>
        <w:tc>
          <w:tcPr>
            <w:tcW w:w="880" w:type="pct"/>
            <w:tcBorders>
              <w:top w:val="nil"/>
              <w:left w:val="nil"/>
              <w:bottom w:val="nil"/>
              <w:right w:val="nil"/>
            </w:tcBorders>
            <w:shd w:val="clear" w:color="auto" w:fill="F6F8FA"/>
            <w:vAlign w:val="center"/>
          </w:tcPr>
          <w:p w14:paraId="1B44AF2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-98.10%</w:t>
            </w:r>
          </w:p>
        </w:tc>
      </w:tr>
      <w:tr w14:paraId="271A3136">
        <w:tblPrEx>
          <w:tblCellMar>
            <w:top w:w="0" w:type="dxa"/>
            <w:left w:w="108" w:type="dxa"/>
            <w:bottom w:w="0" w:type="dxa"/>
            <w:right w:w="108" w:type="dxa"/>
          </w:tblCellMar>
        </w:tblPrEx>
        <w:trPr>
          <w:trHeight w:val="0" w:hRule="atLeast"/>
          <w:jc w:val="center"/>
        </w:trPr>
        <w:tc>
          <w:tcPr>
            <w:tcW w:w="1239" w:type="pct"/>
            <w:tcBorders>
              <w:top w:val="nil"/>
              <w:left w:val="nil"/>
              <w:bottom w:val="single" w:color="auto" w:sz="12" w:space="0"/>
              <w:right w:val="nil"/>
            </w:tcBorders>
            <w:shd w:val="clear" w:color="auto" w:fill="FFFFFF"/>
            <w:vAlign w:val="center"/>
          </w:tcPr>
          <w:p w14:paraId="6F5FC7E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Layer 10 Top1</w:t>
            </w:r>
          </w:p>
        </w:tc>
        <w:tc>
          <w:tcPr>
            <w:tcW w:w="737" w:type="pct"/>
            <w:tcBorders>
              <w:top w:val="nil"/>
              <w:left w:val="nil"/>
              <w:bottom w:val="single" w:color="auto" w:sz="12" w:space="0"/>
              <w:right w:val="nil"/>
            </w:tcBorders>
            <w:shd w:val="clear" w:color="auto" w:fill="FFFFFF"/>
            <w:vAlign w:val="center"/>
          </w:tcPr>
          <w:p w14:paraId="48861DF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3021.33</w:t>
            </w:r>
          </w:p>
        </w:tc>
        <w:tc>
          <w:tcPr>
            <w:tcW w:w="1364" w:type="pct"/>
            <w:tcBorders>
              <w:top w:val="nil"/>
              <w:left w:val="nil"/>
              <w:bottom w:val="single" w:color="auto" w:sz="12" w:space="0"/>
              <w:right w:val="nil"/>
            </w:tcBorders>
            <w:shd w:val="clear" w:color="auto" w:fill="FFFFFF"/>
            <w:vAlign w:val="center"/>
          </w:tcPr>
          <w:p w14:paraId="5C38C6E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130.79</w:t>
            </w:r>
          </w:p>
        </w:tc>
        <w:tc>
          <w:tcPr>
            <w:tcW w:w="778" w:type="pct"/>
            <w:tcBorders>
              <w:top w:val="nil"/>
              <w:left w:val="nil"/>
              <w:bottom w:val="single" w:color="auto" w:sz="12" w:space="0"/>
              <w:right w:val="nil"/>
            </w:tcBorders>
            <w:shd w:val="clear" w:color="auto" w:fill="FFFFFF"/>
            <w:vAlign w:val="center"/>
          </w:tcPr>
          <w:p w14:paraId="09345A6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-2890.54</w:t>
            </w:r>
          </w:p>
        </w:tc>
        <w:tc>
          <w:tcPr>
            <w:tcW w:w="880" w:type="pct"/>
            <w:tcBorders>
              <w:top w:val="nil"/>
              <w:left w:val="nil"/>
              <w:bottom w:val="single" w:color="auto" w:sz="12" w:space="0"/>
              <w:right w:val="nil"/>
            </w:tcBorders>
            <w:shd w:val="clear" w:color="auto" w:fill="FFFFFF"/>
            <w:vAlign w:val="center"/>
          </w:tcPr>
          <w:p w14:paraId="387CCEE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sz w:val="21"/>
                <w:szCs w:val="21"/>
              </w:rPr>
            </w:pPr>
            <w:r>
              <w:rPr>
                <w:rFonts w:hint="default" w:ascii="Times New Roman" w:hAnsi="Times New Roman" w:eastAsia="Segoe UI" w:cs="Times New Roman"/>
                <w:color w:val="1F2328"/>
                <w:kern w:val="0"/>
                <w:sz w:val="21"/>
                <w:szCs w:val="21"/>
                <w:lang w:bidi="ar"/>
              </w:rPr>
              <w:t>-95.67%</w:t>
            </w:r>
          </w:p>
        </w:tc>
      </w:tr>
    </w:tbl>
    <w:p w14:paraId="32DEAE6C">
      <w:pPr>
        <w:pStyle w:val="3"/>
        <w:widowControl/>
      </w:pPr>
    </w:p>
    <w:p w14:paraId="23D63BDB">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MLP 全禁用后，关键指标的衰减率均 &gt; 60%：Dim 447 为 - 61.47%，Dim 138 为 - 62.30%，Layer 2 Top1 达 - 97.78%（表 4-2）；MLP 内部组件阻断中，Linear2 阻断导致激活值下降 98.2%，而 Linear1 与 GELU 阻断的下降率仅 216.5% 与 0%，差异达 45 倍。</w:t>
      </w:r>
    </w:p>
    <w:p w14:paraId="6CC2F322">
      <w:pPr>
        <w:pStyle w:val="3"/>
        <w:widowControl/>
      </w:pPr>
      <w:r>
        <w:drawing>
          <wp:inline distT="0" distB="0" distL="114300" distR="114300">
            <wp:extent cx="5589270" cy="3052445"/>
            <wp:effectExtent l="0" t="0" r="11430" b="825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55"/>
                    <a:stretch>
                      <a:fillRect/>
                    </a:stretch>
                  </pic:blipFill>
                  <pic:spPr>
                    <a:xfrm>
                      <a:off x="0" y="0"/>
                      <a:ext cx="5589270" cy="3052445"/>
                    </a:xfrm>
                    <a:prstGeom prst="rect">
                      <a:avLst/>
                    </a:prstGeom>
                    <a:noFill/>
                    <a:ln w="9525">
                      <a:noFill/>
                    </a:ln>
                  </pic:spPr>
                </pic:pic>
              </a:graphicData>
            </a:graphic>
          </wp:inline>
        </w:drawing>
      </w:r>
    </w:p>
    <w:p w14:paraId="0DF6507F">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：尺寸447和138在没有MLP层的情况下折叠</w:t>
      </w:r>
    </w:p>
    <w:p w14:paraId="01F9FADE">
      <w:pPr>
        <w:spacing w:line="400" w:lineRule="exact"/>
        <w:ind w:firstLine="480" w:firstLineChars="200"/>
        <w:rPr>
          <w:rFonts w:ascii="Times New Roman" w:hAnsi="Times New Roman" w:eastAsia="黑体" w:cs="Times New Roman"/>
          <w:sz w:val="28"/>
          <w:szCs w:val="28"/>
        </w:rPr>
      </w:pPr>
      <w:r>
        <w:rPr>
          <w:rFonts w:hint="eastAsia" w:ascii="Times New Roman" w:hAnsi="Times New Roman" w:cs="Times New Roman"/>
          <w:sz w:val="24"/>
        </w:rPr>
        <w:t>两条曲线在Layer 2出现决定性分叉。基准组的激活值在Layer 2发生爆炸性增长，而MLP禁用组的激活值始终维持在极低水平，充分证明MLP层是驱动激活爆炸的核心组件。Layer 11的异常上升被归因于输出层的残差连接补偿机制，不影响核心结论。</w:t>
      </w:r>
    </w:p>
    <w:tbl>
      <w:tblPr>
        <w:tblStyle w:val="4"/>
        <w:tblW w:w="8519" w:type="dxa"/>
        <w:jc w:val="center"/>
        <w:tblLayout w:type="autofit"/>
        <w:tblCellMar>
          <w:top w:w="0" w:type="dxa"/>
          <w:left w:w="108" w:type="dxa"/>
          <w:bottom w:w="0" w:type="dxa"/>
          <w:right w:w="108" w:type="dxa"/>
        </w:tblCellMar>
      </w:tblPr>
      <w:tblGrid>
        <w:gridCol w:w="816"/>
        <w:gridCol w:w="1416"/>
        <w:gridCol w:w="1747"/>
        <w:gridCol w:w="1515"/>
        <w:gridCol w:w="3025"/>
      </w:tblGrid>
      <w:tr w14:paraId="1831E524">
        <w:tblPrEx>
          <w:tblCellMar>
            <w:top w:w="0" w:type="dxa"/>
            <w:left w:w="108" w:type="dxa"/>
            <w:bottom w:w="0" w:type="dxa"/>
            <w:right w:w="108" w:type="dxa"/>
          </w:tblCellMar>
        </w:tblPrEx>
        <w:trPr>
          <w:trHeight w:val="0" w:hRule="atLeast"/>
          <w:tblHeader/>
          <w:jc w:val="center"/>
        </w:trPr>
        <w:tc>
          <w:tcPr>
            <w:tcW w:w="815" w:type="dxa"/>
            <w:tcBorders>
              <w:top w:val="single" w:color="auto" w:sz="12" w:space="0"/>
              <w:left w:val="nil"/>
              <w:bottom w:val="single" w:color="auto" w:sz="4" w:space="0"/>
              <w:right w:val="nil"/>
            </w:tcBorders>
            <w:shd w:val="clear" w:color="auto" w:fill="FFFFFF"/>
            <w:vAlign w:val="center"/>
          </w:tcPr>
          <w:p w14:paraId="6E19DA0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Layer</w:t>
            </w:r>
          </w:p>
        </w:tc>
        <w:tc>
          <w:tcPr>
            <w:tcW w:w="1415" w:type="dxa"/>
            <w:tcBorders>
              <w:top w:val="single" w:color="auto" w:sz="12" w:space="0"/>
              <w:left w:val="nil"/>
              <w:bottom w:val="single" w:color="auto" w:sz="4" w:space="0"/>
              <w:right w:val="nil"/>
            </w:tcBorders>
            <w:shd w:val="clear" w:color="auto" w:fill="FFFFFF"/>
            <w:vAlign w:val="center"/>
          </w:tcPr>
          <w:p w14:paraId="70CD63E1">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Baseline</w:t>
            </w:r>
          </w:p>
        </w:tc>
        <w:tc>
          <w:tcPr>
            <w:tcW w:w="1745" w:type="dxa"/>
            <w:tcBorders>
              <w:top w:val="single" w:color="auto" w:sz="12" w:space="0"/>
              <w:left w:val="nil"/>
              <w:bottom w:val="single" w:color="auto" w:sz="4" w:space="0"/>
              <w:right w:val="nil"/>
            </w:tcBorders>
            <w:shd w:val="clear" w:color="auto" w:fill="FFFFFF"/>
            <w:vAlign w:val="center"/>
          </w:tcPr>
          <w:p w14:paraId="127DA7E7">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MLP Disabled</w:t>
            </w:r>
          </w:p>
        </w:tc>
        <w:tc>
          <w:tcPr>
            <w:tcW w:w="1514" w:type="dxa"/>
            <w:tcBorders>
              <w:top w:val="single" w:color="auto" w:sz="12" w:space="0"/>
              <w:left w:val="nil"/>
              <w:bottom w:val="single" w:color="auto" w:sz="4" w:space="0"/>
              <w:right w:val="nil"/>
            </w:tcBorders>
            <w:shd w:val="clear" w:color="auto" w:fill="FFFFFF"/>
            <w:vAlign w:val="center"/>
          </w:tcPr>
          <w:p w14:paraId="799EF173">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 Decrease</w:t>
            </w:r>
          </w:p>
        </w:tc>
        <w:tc>
          <w:tcPr>
            <w:tcW w:w="3022" w:type="dxa"/>
            <w:tcBorders>
              <w:top w:val="single" w:color="auto" w:sz="12" w:space="0"/>
              <w:left w:val="nil"/>
              <w:bottom w:val="single" w:color="auto" w:sz="4" w:space="0"/>
              <w:right w:val="nil"/>
            </w:tcBorders>
            <w:shd w:val="clear" w:color="auto" w:fill="FFFFFF"/>
            <w:vAlign w:val="center"/>
          </w:tcPr>
          <w:p w14:paraId="61A1D33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Observation</w:t>
            </w:r>
          </w:p>
        </w:tc>
      </w:tr>
      <w:tr w14:paraId="251EA976">
        <w:tblPrEx>
          <w:tblCellMar>
            <w:top w:w="0" w:type="dxa"/>
            <w:left w:w="108" w:type="dxa"/>
            <w:bottom w:w="0" w:type="dxa"/>
            <w:right w:w="108" w:type="dxa"/>
          </w:tblCellMar>
        </w:tblPrEx>
        <w:trPr>
          <w:trHeight w:val="0" w:hRule="atLeast"/>
          <w:jc w:val="center"/>
        </w:trPr>
        <w:tc>
          <w:tcPr>
            <w:tcW w:w="815" w:type="dxa"/>
            <w:tcBorders>
              <w:top w:val="single" w:color="auto" w:sz="4" w:space="0"/>
              <w:left w:val="nil"/>
              <w:bottom w:val="nil"/>
              <w:right w:val="nil"/>
            </w:tcBorders>
            <w:shd w:val="clear" w:color="auto" w:fill="FFFFFF"/>
            <w:vAlign w:val="center"/>
          </w:tcPr>
          <w:p w14:paraId="4D3053F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w:t>
            </w:r>
          </w:p>
        </w:tc>
        <w:tc>
          <w:tcPr>
            <w:tcW w:w="1415" w:type="dxa"/>
            <w:tcBorders>
              <w:top w:val="single" w:color="auto" w:sz="4" w:space="0"/>
              <w:left w:val="nil"/>
              <w:bottom w:val="nil"/>
              <w:right w:val="nil"/>
            </w:tcBorders>
            <w:shd w:val="clear" w:color="auto" w:fill="FFFFFF"/>
            <w:vAlign w:val="center"/>
          </w:tcPr>
          <w:p w14:paraId="52122C4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101.62</w:t>
            </w:r>
          </w:p>
        </w:tc>
        <w:tc>
          <w:tcPr>
            <w:tcW w:w="1745" w:type="dxa"/>
            <w:tcBorders>
              <w:top w:val="single" w:color="auto" w:sz="4" w:space="0"/>
              <w:left w:val="nil"/>
              <w:bottom w:val="nil"/>
              <w:right w:val="nil"/>
            </w:tcBorders>
            <w:shd w:val="clear" w:color="auto" w:fill="FFFFFF"/>
            <w:vAlign w:val="center"/>
          </w:tcPr>
          <w:p w14:paraId="1E39A22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19.56</w:t>
            </w:r>
          </w:p>
        </w:tc>
        <w:tc>
          <w:tcPr>
            <w:tcW w:w="1514" w:type="dxa"/>
            <w:tcBorders>
              <w:top w:val="single" w:color="auto" w:sz="4" w:space="0"/>
              <w:left w:val="nil"/>
              <w:bottom w:val="nil"/>
              <w:right w:val="nil"/>
            </w:tcBorders>
            <w:shd w:val="clear" w:color="auto" w:fill="FFFFFF"/>
            <w:vAlign w:val="center"/>
          </w:tcPr>
          <w:p w14:paraId="240F278F">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-80.75%</w:t>
            </w:r>
          </w:p>
        </w:tc>
        <w:tc>
          <w:tcPr>
            <w:tcW w:w="3022" w:type="dxa"/>
            <w:tcBorders>
              <w:top w:val="single" w:color="auto" w:sz="4" w:space="0"/>
              <w:left w:val="nil"/>
              <w:bottom w:val="nil"/>
              <w:right w:val="nil"/>
            </w:tcBorders>
            <w:shd w:val="clear" w:color="auto" w:fill="FFFFFF"/>
            <w:vAlign w:val="center"/>
          </w:tcPr>
          <w:p w14:paraId="746D6DE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Early foundation</w:t>
            </w:r>
          </w:p>
        </w:tc>
      </w:tr>
      <w:tr w14:paraId="25C248F5">
        <w:tblPrEx>
          <w:tblCellMar>
            <w:top w:w="0" w:type="dxa"/>
            <w:left w:w="108" w:type="dxa"/>
            <w:bottom w:w="0" w:type="dxa"/>
            <w:right w:w="108" w:type="dxa"/>
          </w:tblCellMar>
        </w:tblPrEx>
        <w:trPr>
          <w:trHeight w:val="0" w:hRule="atLeast"/>
          <w:jc w:val="center"/>
        </w:trPr>
        <w:tc>
          <w:tcPr>
            <w:tcW w:w="815" w:type="dxa"/>
            <w:tcBorders>
              <w:top w:val="nil"/>
              <w:left w:val="nil"/>
              <w:bottom w:val="nil"/>
              <w:right w:val="nil"/>
            </w:tcBorders>
            <w:shd w:val="clear" w:color="auto" w:fill="F6F8FA"/>
            <w:vAlign w:val="center"/>
          </w:tcPr>
          <w:p w14:paraId="2457ECA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w:t>
            </w:r>
          </w:p>
        </w:tc>
        <w:tc>
          <w:tcPr>
            <w:tcW w:w="1415" w:type="dxa"/>
            <w:tcBorders>
              <w:top w:val="nil"/>
              <w:left w:val="nil"/>
              <w:bottom w:val="nil"/>
              <w:right w:val="nil"/>
            </w:tcBorders>
            <w:shd w:val="clear" w:color="auto" w:fill="F6F8FA"/>
            <w:vAlign w:val="center"/>
          </w:tcPr>
          <w:p w14:paraId="5C1ECC3C">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610.67</w:t>
            </w:r>
          </w:p>
        </w:tc>
        <w:tc>
          <w:tcPr>
            <w:tcW w:w="1745" w:type="dxa"/>
            <w:tcBorders>
              <w:top w:val="nil"/>
              <w:left w:val="nil"/>
              <w:bottom w:val="nil"/>
              <w:right w:val="nil"/>
            </w:tcBorders>
            <w:shd w:val="clear" w:color="auto" w:fill="F6F8FA"/>
            <w:vAlign w:val="center"/>
          </w:tcPr>
          <w:p w14:paraId="248E068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59.11</w:t>
            </w:r>
          </w:p>
        </w:tc>
        <w:tc>
          <w:tcPr>
            <w:tcW w:w="1514" w:type="dxa"/>
            <w:tcBorders>
              <w:top w:val="nil"/>
              <w:left w:val="nil"/>
              <w:bottom w:val="nil"/>
              <w:right w:val="nil"/>
            </w:tcBorders>
            <w:shd w:val="clear" w:color="auto" w:fill="F6F8FA"/>
            <w:vAlign w:val="center"/>
          </w:tcPr>
          <w:p w14:paraId="779CE54B">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-90.32%</w:t>
            </w:r>
          </w:p>
        </w:tc>
        <w:tc>
          <w:tcPr>
            <w:tcW w:w="3022" w:type="dxa"/>
            <w:tcBorders>
              <w:top w:val="nil"/>
              <w:left w:val="nil"/>
              <w:bottom w:val="nil"/>
              <w:right w:val="nil"/>
            </w:tcBorders>
            <w:shd w:val="clear" w:color="auto" w:fill="F6F8FA"/>
            <w:vAlign w:val="center"/>
          </w:tcPr>
          <w:p w14:paraId="59156B4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Rapid decline</w:t>
            </w:r>
          </w:p>
        </w:tc>
      </w:tr>
      <w:tr w14:paraId="14CA1B3A">
        <w:tblPrEx>
          <w:tblCellMar>
            <w:top w:w="0" w:type="dxa"/>
            <w:left w:w="108" w:type="dxa"/>
            <w:bottom w:w="0" w:type="dxa"/>
            <w:right w:w="108" w:type="dxa"/>
          </w:tblCellMar>
        </w:tblPrEx>
        <w:trPr>
          <w:trHeight w:val="0" w:hRule="atLeast"/>
          <w:jc w:val="center"/>
        </w:trPr>
        <w:tc>
          <w:tcPr>
            <w:tcW w:w="815" w:type="dxa"/>
            <w:tcBorders>
              <w:top w:val="nil"/>
              <w:left w:val="nil"/>
              <w:bottom w:val="nil"/>
              <w:right w:val="nil"/>
            </w:tcBorders>
            <w:shd w:val="clear" w:color="auto" w:fill="FFFFFF"/>
            <w:vAlign w:val="center"/>
          </w:tcPr>
          <w:p w14:paraId="2975ACA2">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w:t>
            </w:r>
          </w:p>
        </w:tc>
        <w:tc>
          <w:tcPr>
            <w:tcW w:w="1415" w:type="dxa"/>
            <w:tcBorders>
              <w:top w:val="nil"/>
              <w:left w:val="nil"/>
              <w:bottom w:val="nil"/>
              <w:right w:val="nil"/>
            </w:tcBorders>
            <w:shd w:val="clear" w:color="auto" w:fill="FFFFFF"/>
            <w:vAlign w:val="center"/>
          </w:tcPr>
          <w:p w14:paraId="226C7D3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2475.27</w:t>
            </w:r>
          </w:p>
        </w:tc>
        <w:tc>
          <w:tcPr>
            <w:tcW w:w="1745" w:type="dxa"/>
            <w:tcBorders>
              <w:top w:val="nil"/>
              <w:left w:val="nil"/>
              <w:bottom w:val="nil"/>
              <w:right w:val="nil"/>
            </w:tcBorders>
            <w:shd w:val="clear" w:color="auto" w:fill="FFFFFF"/>
            <w:vAlign w:val="center"/>
          </w:tcPr>
          <w:p w14:paraId="370CBA4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55.03</w:t>
            </w:r>
          </w:p>
        </w:tc>
        <w:tc>
          <w:tcPr>
            <w:tcW w:w="1514" w:type="dxa"/>
            <w:tcBorders>
              <w:top w:val="nil"/>
              <w:left w:val="nil"/>
              <w:bottom w:val="nil"/>
              <w:right w:val="nil"/>
            </w:tcBorders>
            <w:shd w:val="clear" w:color="auto" w:fill="FFFFFF"/>
            <w:vAlign w:val="center"/>
          </w:tcPr>
          <w:p w14:paraId="7E5386C4">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-97.78%</w:t>
            </w:r>
          </w:p>
        </w:tc>
        <w:tc>
          <w:tcPr>
            <w:tcW w:w="3022" w:type="dxa"/>
            <w:tcBorders>
              <w:top w:val="nil"/>
              <w:left w:val="nil"/>
              <w:bottom w:val="nil"/>
              <w:right w:val="nil"/>
            </w:tcBorders>
            <w:shd w:val="clear" w:color="auto" w:fill="FFFFFF"/>
            <w:vAlign w:val="center"/>
          </w:tcPr>
          <w:p w14:paraId="6565FDE5">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Explosion point collapses</w:t>
            </w:r>
          </w:p>
        </w:tc>
      </w:tr>
      <w:tr w14:paraId="53C58BDB">
        <w:tblPrEx>
          <w:tblCellMar>
            <w:top w:w="0" w:type="dxa"/>
            <w:left w:w="108" w:type="dxa"/>
            <w:bottom w:w="0" w:type="dxa"/>
            <w:right w:w="108" w:type="dxa"/>
          </w:tblCellMar>
        </w:tblPrEx>
        <w:trPr>
          <w:trHeight w:val="0" w:hRule="atLeast"/>
          <w:jc w:val="center"/>
        </w:trPr>
        <w:tc>
          <w:tcPr>
            <w:tcW w:w="815" w:type="dxa"/>
            <w:tcBorders>
              <w:top w:val="nil"/>
              <w:left w:val="nil"/>
              <w:bottom w:val="nil"/>
              <w:right w:val="nil"/>
            </w:tcBorders>
            <w:shd w:val="clear" w:color="auto" w:fill="F6F8FA"/>
            <w:vAlign w:val="center"/>
          </w:tcPr>
          <w:p w14:paraId="28833C2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w:t>
            </w:r>
            <w:r>
              <w:rPr>
                <w:rFonts w:hint="eastAsia" w:ascii="Times New Roman" w:hAnsi="Times New Roman" w:eastAsia="Segoe UI" w:cs="Times New Roman"/>
                <w:color w:val="1F2328"/>
                <w:kern w:val="0"/>
                <w:sz w:val="21"/>
                <w:szCs w:val="21"/>
                <w:lang w:bidi="ar"/>
              </w:rPr>
              <w:t>-</w:t>
            </w:r>
            <w:r>
              <w:rPr>
                <w:rFonts w:hint="default" w:ascii="Times New Roman" w:hAnsi="Times New Roman" w:eastAsia="Segoe UI" w:cs="Times New Roman"/>
                <w:color w:val="1F2328"/>
                <w:kern w:val="0"/>
                <w:sz w:val="21"/>
                <w:szCs w:val="21"/>
                <w:lang w:bidi="ar"/>
              </w:rPr>
              <w:t>10</w:t>
            </w:r>
          </w:p>
        </w:tc>
        <w:tc>
          <w:tcPr>
            <w:tcW w:w="1415" w:type="dxa"/>
            <w:tcBorders>
              <w:top w:val="nil"/>
              <w:left w:val="nil"/>
              <w:bottom w:val="nil"/>
              <w:right w:val="nil"/>
            </w:tcBorders>
            <w:shd w:val="clear" w:color="auto" w:fill="F6F8FA"/>
            <w:vAlign w:val="center"/>
          </w:tcPr>
          <w:p w14:paraId="4DA7E4A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2648-3021</w:t>
            </w:r>
          </w:p>
        </w:tc>
        <w:tc>
          <w:tcPr>
            <w:tcW w:w="1745" w:type="dxa"/>
            <w:tcBorders>
              <w:top w:val="nil"/>
              <w:left w:val="nil"/>
              <w:bottom w:val="nil"/>
              <w:right w:val="nil"/>
            </w:tcBorders>
            <w:shd w:val="clear" w:color="auto" w:fill="F6F8FA"/>
            <w:vAlign w:val="center"/>
          </w:tcPr>
          <w:p w14:paraId="3CFBF339">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46-131</w:t>
            </w:r>
          </w:p>
        </w:tc>
        <w:tc>
          <w:tcPr>
            <w:tcW w:w="1514" w:type="dxa"/>
            <w:tcBorders>
              <w:top w:val="nil"/>
              <w:left w:val="nil"/>
              <w:bottom w:val="nil"/>
              <w:right w:val="nil"/>
            </w:tcBorders>
            <w:shd w:val="clear" w:color="auto" w:fill="F6F8FA"/>
            <w:vAlign w:val="center"/>
          </w:tcPr>
          <w:p w14:paraId="28AEA4A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-95~98%</w:t>
            </w:r>
          </w:p>
        </w:tc>
        <w:tc>
          <w:tcPr>
            <w:tcW w:w="3022" w:type="dxa"/>
            <w:tcBorders>
              <w:top w:val="nil"/>
              <w:left w:val="nil"/>
              <w:bottom w:val="nil"/>
              <w:right w:val="nil"/>
            </w:tcBorders>
            <w:shd w:val="clear" w:color="auto" w:fill="F6F8FA"/>
            <w:vAlign w:val="center"/>
          </w:tcPr>
          <w:p w14:paraId="4EEF776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Plateau completely gone</w:t>
            </w:r>
          </w:p>
        </w:tc>
      </w:tr>
      <w:tr w14:paraId="3AEF11F1">
        <w:tblPrEx>
          <w:tblCellMar>
            <w:top w:w="0" w:type="dxa"/>
            <w:left w:w="108" w:type="dxa"/>
            <w:bottom w:w="0" w:type="dxa"/>
            <w:right w:w="108" w:type="dxa"/>
          </w:tblCellMar>
        </w:tblPrEx>
        <w:trPr>
          <w:trHeight w:val="0" w:hRule="atLeast"/>
          <w:jc w:val="center"/>
        </w:trPr>
        <w:tc>
          <w:tcPr>
            <w:tcW w:w="815" w:type="dxa"/>
            <w:tcBorders>
              <w:top w:val="nil"/>
              <w:left w:val="nil"/>
              <w:bottom w:val="single" w:color="auto" w:sz="12" w:space="0"/>
              <w:right w:val="nil"/>
            </w:tcBorders>
            <w:shd w:val="clear" w:color="auto" w:fill="FFFFFF"/>
            <w:vAlign w:val="center"/>
          </w:tcPr>
          <w:p w14:paraId="5C9322AE">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11</w:t>
            </w:r>
          </w:p>
        </w:tc>
        <w:tc>
          <w:tcPr>
            <w:tcW w:w="1415" w:type="dxa"/>
            <w:tcBorders>
              <w:top w:val="nil"/>
              <w:left w:val="nil"/>
              <w:bottom w:val="single" w:color="auto" w:sz="12" w:space="0"/>
              <w:right w:val="nil"/>
            </w:tcBorders>
            <w:shd w:val="clear" w:color="auto" w:fill="FFFFFF"/>
            <w:vAlign w:val="center"/>
          </w:tcPr>
          <w:p w14:paraId="13A64A0D">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452.34</w:t>
            </w:r>
          </w:p>
        </w:tc>
        <w:tc>
          <w:tcPr>
            <w:tcW w:w="1745" w:type="dxa"/>
            <w:tcBorders>
              <w:top w:val="nil"/>
              <w:left w:val="nil"/>
              <w:bottom w:val="single" w:color="auto" w:sz="12" w:space="0"/>
              <w:right w:val="nil"/>
            </w:tcBorders>
            <w:shd w:val="clear" w:color="auto" w:fill="FFFFFF"/>
            <w:vAlign w:val="center"/>
          </w:tcPr>
          <w:p w14:paraId="6D738A38">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1164.08</w:t>
            </w:r>
          </w:p>
        </w:tc>
        <w:tc>
          <w:tcPr>
            <w:tcW w:w="1514" w:type="dxa"/>
            <w:tcBorders>
              <w:top w:val="nil"/>
              <w:left w:val="nil"/>
              <w:bottom w:val="single" w:color="auto" w:sz="12" w:space="0"/>
              <w:right w:val="nil"/>
            </w:tcBorders>
            <w:shd w:val="clear" w:color="auto" w:fill="FFFFFF"/>
            <w:vAlign w:val="center"/>
          </w:tcPr>
          <w:p w14:paraId="048A7AB6">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157.35%</w:t>
            </w:r>
          </w:p>
        </w:tc>
        <w:tc>
          <w:tcPr>
            <w:tcW w:w="3022" w:type="dxa"/>
            <w:tcBorders>
              <w:top w:val="nil"/>
              <w:left w:val="nil"/>
              <w:bottom w:val="single" w:color="auto" w:sz="12" w:space="0"/>
              <w:right w:val="nil"/>
            </w:tcBorders>
            <w:shd w:val="clear" w:color="auto" w:fill="FFFFFF"/>
            <w:vAlign w:val="center"/>
          </w:tcPr>
          <w:p w14:paraId="4F924F0A">
            <w:pPr>
              <w:keepNext w:val="0"/>
              <w:keepLines w:val="0"/>
              <w:pageBreakBefore w:val="0"/>
              <w:widowControl/>
              <w:kinsoku/>
              <w:wordWrap/>
              <w:overflowPunct/>
              <w:topLinePunct w:val="0"/>
              <w:autoSpaceDE/>
              <w:autoSpaceDN/>
              <w:bidi w:val="0"/>
              <w:adjustRightInd/>
              <w:snapToGrid w:val="0"/>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Output layer anomaly</w:t>
            </w:r>
          </w:p>
        </w:tc>
      </w:tr>
    </w:tbl>
    <w:p w14:paraId="00902631">
      <w:pPr>
        <w:pStyle w:val="3"/>
        <w:widowControl/>
      </w:pPr>
      <w:r>
        <w:drawing>
          <wp:inline distT="0" distB="0" distL="114300" distR="114300">
            <wp:extent cx="5391150" cy="2070735"/>
            <wp:effectExtent l="0" t="0" r="6350" b="1206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56"/>
                    <a:stretch>
                      <a:fillRect/>
                    </a:stretch>
                  </pic:blipFill>
                  <pic:spPr>
                    <a:xfrm>
                      <a:off x="0" y="0"/>
                      <a:ext cx="5391150" cy="2070735"/>
                    </a:xfrm>
                    <a:prstGeom prst="rect">
                      <a:avLst/>
                    </a:prstGeom>
                    <a:noFill/>
                    <a:ln w="9525">
                      <a:noFill/>
                    </a:ln>
                  </pic:spPr>
                </pic:pic>
              </a:graphicData>
            </a:graphic>
          </wp:inline>
        </w:drawing>
      </w:r>
    </w:p>
    <w:p w14:paraId="3515DEE6">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w:t>
      </w:r>
      <w:r>
        <w:rPr>
          <w:rFonts w:hint="eastAsia" w:ascii="Times New Roman" w:hAnsi="Times New Roman" w:eastAsia="楷体" w:cs="Times New Roman"/>
          <w:szCs w:val="21"/>
          <w:lang w:val="en-US" w:eastAsia="zh-CN"/>
        </w:rPr>
        <w:t xml:space="preserve"> </w:t>
      </w:r>
      <w:r>
        <w:rPr>
          <w:rFonts w:hint="eastAsia" w:ascii="Times New Roman" w:hAnsi="Times New Roman" w:eastAsia="楷体" w:cs="Times New Roman"/>
          <w:szCs w:val="21"/>
        </w:rPr>
        <w:t>：层次百分比变化热图</w:t>
      </w:r>
    </w:p>
    <w:p w14:paraId="2B168D6D">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全层验证结果令人震撼。如</w:t>
      </w:r>
      <w:r>
        <w:rPr>
          <w:rFonts w:hint="eastAsia" w:ascii="Times New Roman" w:hAnsi="Times New Roman" w:cs="Times New Roman"/>
          <w:sz w:val="24"/>
          <w:lang w:val="en-US" w:eastAsia="zh-CN"/>
        </w:rPr>
        <w:t>图</w:t>
      </w:r>
      <w:r>
        <w:rPr>
          <w:rFonts w:hint="eastAsia" w:ascii="Times New Roman" w:hAnsi="Times New Roman" w:cs="Times New Roman"/>
          <w:sz w:val="24"/>
        </w:rPr>
        <w:t>和表所示，当所有MLP层被禁用后，大规模激活几乎完全消失。关键维度Dim 447的峰值下降了61.47%，而最具代表性的Layer 2 Top1激活值更是暴跌了97.78%。这与实验4.1中禁用注意力头的结果形成了鲜明对比，确凿地证明了MLP层是大规模激活的主要生成器。</w:t>
      </w:r>
    </w:p>
    <w:p w14:paraId="1B3C4992">
      <w:pPr>
        <w:pStyle w:val="3"/>
        <w:widowControl/>
      </w:pPr>
      <w:r>
        <w:drawing>
          <wp:inline distT="0" distB="0" distL="114300" distR="114300">
            <wp:extent cx="4855845" cy="3201670"/>
            <wp:effectExtent l="0" t="0" r="8255" b="1143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57"/>
                    <a:stretch>
                      <a:fillRect/>
                    </a:stretch>
                  </pic:blipFill>
                  <pic:spPr>
                    <a:xfrm>
                      <a:off x="0" y="0"/>
                      <a:ext cx="4855845" cy="3201670"/>
                    </a:xfrm>
                    <a:prstGeom prst="rect">
                      <a:avLst/>
                    </a:prstGeom>
                    <a:noFill/>
                    <a:ln w="9525">
                      <a:noFill/>
                    </a:ln>
                  </pic:spPr>
                </pic:pic>
              </a:graphicData>
            </a:graphic>
          </wp:inline>
        </w:drawing>
      </w:r>
    </w:p>
    <w:p w14:paraId="72DF17A4">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 ：MLP 内部激活流 - 爆炸发生在 Linear2 输出端</w:t>
      </w:r>
    </w:p>
    <w:p w14:paraId="739AD1DB">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sz w:val="24"/>
        </w:rPr>
        <w:t>激活值在 Linear2 输出端出现断崖式增长 —— 从 GELU 输出的 62.91 激增至 2342.00，增幅达 3623%，而 GELU 前后的激活值完全一致（62.91→62.91，+0.0%），Linear1 的增幅仅 216.5%。这一 “阶梯式激增” 证明，Linear2 是 MLP 内部唯一的激活爆炸点，其权重矩阵的 “聚焦效应” 是关键。要检验的假设：GELU 是否会导致产生大规模激活的扩增？</w:t>
      </w:r>
    </w:p>
    <w:p w14:paraId="2CF27150">
      <w:pPr>
        <w:spacing w:line="400" w:lineRule="exact"/>
        <w:rPr>
          <w:rFonts w:hint="eastAsia" w:ascii="Times New Roman" w:hAnsi="Times New Roman" w:cs="Times New Roman"/>
          <w:sz w:val="24"/>
        </w:rPr>
      </w:pPr>
    </w:p>
    <w:tbl>
      <w:tblPr>
        <w:tblStyle w:val="4"/>
        <w:tblW w:w="0" w:type="auto"/>
        <w:jc w:val="center"/>
        <w:tblLayout w:type="autofit"/>
        <w:tblCellMar>
          <w:top w:w="0" w:type="dxa"/>
          <w:left w:w="108" w:type="dxa"/>
          <w:bottom w:w="0" w:type="dxa"/>
          <w:right w:w="108" w:type="dxa"/>
        </w:tblCellMar>
      </w:tblPr>
      <w:tblGrid>
        <w:gridCol w:w="1488"/>
        <w:gridCol w:w="1255"/>
        <w:gridCol w:w="1484"/>
        <w:gridCol w:w="905"/>
        <w:gridCol w:w="1430"/>
        <w:gridCol w:w="1960"/>
      </w:tblGrid>
      <w:tr w14:paraId="272DC28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single" w:color="auto" w:sz="4" w:space="0"/>
              <w:right w:val="nil"/>
            </w:tcBorders>
            <w:shd w:val="clear" w:color="auto" w:fill="FFFFFF"/>
            <w:vAlign w:val="center"/>
          </w:tcPr>
          <w:p w14:paraId="1571B25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Checkpoint</w:t>
            </w:r>
          </w:p>
        </w:tc>
        <w:tc>
          <w:tcPr>
            <w:tcW w:w="0" w:type="auto"/>
            <w:tcBorders>
              <w:top w:val="single" w:color="auto" w:sz="12" w:space="0"/>
              <w:left w:val="nil"/>
              <w:bottom w:val="single" w:color="auto" w:sz="4" w:space="0"/>
              <w:right w:val="nil"/>
            </w:tcBorders>
            <w:shd w:val="clear" w:color="auto" w:fill="FFFFFF"/>
            <w:vAlign w:val="center"/>
          </w:tcPr>
          <w:p w14:paraId="45D2E60E">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Dimensions</w:t>
            </w:r>
          </w:p>
        </w:tc>
        <w:tc>
          <w:tcPr>
            <w:tcW w:w="0" w:type="auto"/>
            <w:tcBorders>
              <w:top w:val="single" w:color="auto" w:sz="12" w:space="0"/>
              <w:left w:val="nil"/>
              <w:bottom w:val="single" w:color="auto" w:sz="4" w:space="0"/>
              <w:right w:val="nil"/>
            </w:tcBorders>
            <w:shd w:val="clear" w:color="auto" w:fill="FFFFFF"/>
            <w:vAlign w:val="center"/>
          </w:tcPr>
          <w:p w14:paraId="46D0810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Max Activation</w:t>
            </w:r>
          </w:p>
        </w:tc>
        <w:tc>
          <w:tcPr>
            <w:tcW w:w="0" w:type="auto"/>
            <w:tcBorders>
              <w:top w:val="single" w:color="auto" w:sz="12" w:space="0"/>
              <w:left w:val="nil"/>
              <w:bottom w:val="single" w:color="auto" w:sz="4" w:space="0"/>
              <w:right w:val="nil"/>
            </w:tcBorders>
            <w:shd w:val="clear" w:color="auto" w:fill="FFFFFF"/>
            <w:vAlign w:val="center"/>
          </w:tcPr>
          <w:p w14:paraId="47F1B5A4">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Median</w:t>
            </w:r>
          </w:p>
        </w:tc>
        <w:tc>
          <w:tcPr>
            <w:tcW w:w="0" w:type="auto"/>
            <w:tcBorders>
              <w:top w:val="single" w:color="auto" w:sz="12" w:space="0"/>
              <w:left w:val="nil"/>
              <w:bottom w:val="single" w:color="auto" w:sz="4" w:space="0"/>
              <w:right w:val="nil"/>
            </w:tcBorders>
            <w:shd w:val="clear" w:color="auto" w:fill="FFFFFF"/>
            <w:vAlign w:val="center"/>
          </w:tcPr>
          <w:p w14:paraId="1ED229D9">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Top1/Median</w:t>
            </w:r>
          </w:p>
        </w:tc>
        <w:tc>
          <w:tcPr>
            <w:tcW w:w="0" w:type="auto"/>
            <w:tcBorders>
              <w:top w:val="single" w:color="auto" w:sz="12" w:space="0"/>
              <w:left w:val="nil"/>
              <w:bottom w:val="single" w:color="auto" w:sz="4" w:space="0"/>
              <w:right w:val="nil"/>
            </w:tcBorders>
            <w:shd w:val="clear" w:color="auto" w:fill="FFFFFF"/>
            <w:vAlign w:val="center"/>
          </w:tcPr>
          <w:p w14:paraId="7F9C386E">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b/>
                <w:color w:val="1F2328"/>
                <w:kern w:val="0"/>
                <w:sz w:val="21"/>
                <w:szCs w:val="21"/>
                <w:lang w:bidi="ar"/>
              </w:rPr>
            </w:pPr>
            <w:r>
              <w:rPr>
                <w:rFonts w:hint="default" w:ascii="Times New Roman" w:hAnsi="Times New Roman" w:eastAsia="Segoe UI" w:cs="Times New Roman"/>
                <w:b/>
                <w:color w:val="1F2328"/>
                <w:kern w:val="0"/>
                <w:sz w:val="21"/>
                <w:szCs w:val="21"/>
                <w:lang w:bidi="ar"/>
              </w:rPr>
              <w:t>Change from Previous</w:t>
            </w:r>
          </w:p>
        </w:tc>
      </w:tr>
      <w:tr w14:paraId="1CC7E4ED">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FFFFFF"/>
            <w:vAlign w:val="center"/>
          </w:tcPr>
          <w:p w14:paraId="218D9F5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 MLP Input</w:t>
            </w:r>
          </w:p>
        </w:tc>
        <w:tc>
          <w:tcPr>
            <w:tcW w:w="0" w:type="auto"/>
            <w:tcBorders>
              <w:top w:val="single" w:color="auto" w:sz="4" w:space="0"/>
              <w:left w:val="nil"/>
              <w:bottom w:val="nil"/>
              <w:right w:val="nil"/>
            </w:tcBorders>
            <w:shd w:val="clear" w:color="auto" w:fill="FFFFFF"/>
            <w:vAlign w:val="center"/>
          </w:tcPr>
          <w:p w14:paraId="5125EF8B">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768</w:t>
            </w:r>
          </w:p>
        </w:tc>
        <w:tc>
          <w:tcPr>
            <w:tcW w:w="0" w:type="auto"/>
            <w:tcBorders>
              <w:top w:val="single" w:color="auto" w:sz="4" w:space="0"/>
              <w:left w:val="nil"/>
              <w:bottom w:val="nil"/>
              <w:right w:val="nil"/>
            </w:tcBorders>
            <w:shd w:val="clear" w:color="auto" w:fill="FFFFFF"/>
            <w:vAlign w:val="center"/>
          </w:tcPr>
          <w:p w14:paraId="376390C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19.88</w:t>
            </w:r>
          </w:p>
        </w:tc>
        <w:tc>
          <w:tcPr>
            <w:tcW w:w="0" w:type="auto"/>
            <w:tcBorders>
              <w:top w:val="single" w:color="auto" w:sz="4" w:space="0"/>
              <w:left w:val="nil"/>
              <w:bottom w:val="nil"/>
              <w:right w:val="nil"/>
            </w:tcBorders>
            <w:shd w:val="clear" w:color="auto" w:fill="FFFFFF"/>
            <w:vAlign w:val="center"/>
          </w:tcPr>
          <w:p w14:paraId="01B5B747">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0.11</w:t>
            </w:r>
          </w:p>
        </w:tc>
        <w:tc>
          <w:tcPr>
            <w:tcW w:w="0" w:type="auto"/>
            <w:tcBorders>
              <w:top w:val="single" w:color="auto" w:sz="4" w:space="0"/>
              <w:left w:val="nil"/>
              <w:bottom w:val="nil"/>
              <w:right w:val="nil"/>
            </w:tcBorders>
            <w:shd w:val="clear" w:color="auto" w:fill="FFFFFF"/>
            <w:vAlign w:val="center"/>
          </w:tcPr>
          <w:p w14:paraId="3344CCE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185.76x</w:t>
            </w:r>
          </w:p>
        </w:tc>
        <w:tc>
          <w:tcPr>
            <w:tcW w:w="0" w:type="auto"/>
            <w:tcBorders>
              <w:top w:val="single" w:color="auto" w:sz="4" w:space="0"/>
              <w:left w:val="nil"/>
              <w:bottom w:val="nil"/>
              <w:right w:val="nil"/>
            </w:tcBorders>
            <w:shd w:val="clear" w:color="auto" w:fill="FFFFFF"/>
            <w:vAlign w:val="center"/>
          </w:tcPr>
          <w:p w14:paraId="71747C0D">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w:t>
            </w:r>
          </w:p>
        </w:tc>
      </w:tr>
      <w:tr w14:paraId="1E9025B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6F8FA"/>
            <w:vAlign w:val="center"/>
          </w:tcPr>
          <w:p w14:paraId="3BA628A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 After Linear1</w:t>
            </w:r>
          </w:p>
        </w:tc>
        <w:tc>
          <w:tcPr>
            <w:tcW w:w="0" w:type="auto"/>
            <w:tcBorders>
              <w:top w:val="nil"/>
              <w:left w:val="nil"/>
              <w:bottom w:val="nil"/>
              <w:right w:val="nil"/>
            </w:tcBorders>
            <w:shd w:val="clear" w:color="auto" w:fill="F6F8FA"/>
            <w:vAlign w:val="center"/>
          </w:tcPr>
          <w:p w14:paraId="707225E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3072</w:t>
            </w:r>
          </w:p>
        </w:tc>
        <w:tc>
          <w:tcPr>
            <w:tcW w:w="0" w:type="auto"/>
            <w:tcBorders>
              <w:top w:val="nil"/>
              <w:left w:val="nil"/>
              <w:bottom w:val="nil"/>
              <w:right w:val="nil"/>
            </w:tcBorders>
            <w:shd w:val="clear" w:color="auto" w:fill="F6F8FA"/>
            <w:vAlign w:val="center"/>
          </w:tcPr>
          <w:p w14:paraId="6624A7DE">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62.91</w:t>
            </w:r>
          </w:p>
        </w:tc>
        <w:tc>
          <w:tcPr>
            <w:tcW w:w="0" w:type="auto"/>
            <w:tcBorders>
              <w:top w:val="nil"/>
              <w:left w:val="nil"/>
              <w:bottom w:val="nil"/>
              <w:right w:val="nil"/>
            </w:tcBorders>
            <w:shd w:val="clear" w:color="auto" w:fill="F6F8FA"/>
            <w:vAlign w:val="center"/>
          </w:tcPr>
          <w:p w14:paraId="2748DC39">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w:t>
            </w:r>
          </w:p>
        </w:tc>
        <w:tc>
          <w:tcPr>
            <w:tcW w:w="0" w:type="auto"/>
            <w:tcBorders>
              <w:top w:val="nil"/>
              <w:left w:val="nil"/>
              <w:bottom w:val="nil"/>
              <w:right w:val="nil"/>
            </w:tcBorders>
            <w:shd w:val="clear" w:color="auto" w:fill="F6F8FA"/>
            <w:vAlign w:val="center"/>
          </w:tcPr>
          <w:p w14:paraId="313531C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62.84x</w:t>
            </w:r>
          </w:p>
        </w:tc>
        <w:tc>
          <w:tcPr>
            <w:tcW w:w="0" w:type="auto"/>
            <w:tcBorders>
              <w:top w:val="nil"/>
              <w:left w:val="nil"/>
              <w:bottom w:val="nil"/>
              <w:right w:val="nil"/>
            </w:tcBorders>
            <w:shd w:val="clear" w:color="auto" w:fill="F6F8FA"/>
            <w:vAlign w:val="center"/>
          </w:tcPr>
          <w:p w14:paraId="60C271AF">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+43.03 (+216.5%)</w:t>
            </w:r>
          </w:p>
        </w:tc>
      </w:tr>
      <w:tr w14:paraId="561C81A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B046B0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 After GELU</w:t>
            </w:r>
          </w:p>
        </w:tc>
        <w:tc>
          <w:tcPr>
            <w:tcW w:w="0" w:type="auto"/>
            <w:tcBorders>
              <w:top w:val="nil"/>
              <w:left w:val="nil"/>
              <w:bottom w:val="nil"/>
              <w:right w:val="nil"/>
            </w:tcBorders>
            <w:shd w:val="clear" w:color="auto" w:fill="FFFFFF"/>
            <w:vAlign w:val="center"/>
          </w:tcPr>
          <w:p w14:paraId="1389A057">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3072</w:t>
            </w:r>
          </w:p>
        </w:tc>
        <w:tc>
          <w:tcPr>
            <w:tcW w:w="0" w:type="auto"/>
            <w:tcBorders>
              <w:top w:val="nil"/>
              <w:left w:val="nil"/>
              <w:bottom w:val="nil"/>
              <w:right w:val="nil"/>
            </w:tcBorders>
            <w:shd w:val="clear" w:color="auto" w:fill="FFFFFF"/>
            <w:vAlign w:val="center"/>
          </w:tcPr>
          <w:p w14:paraId="21D8EC12">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62.91</w:t>
            </w:r>
          </w:p>
        </w:tc>
        <w:tc>
          <w:tcPr>
            <w:tcW w:w="0" w:type="auto"/>
            <w:tcBorders>
              <w:top w:val="nil"/>
              <w:left w:val="nil"/>
              <w:bottom w:val="nil"/>
              <w:right w:val="nil"/>
            </w:tcBorders>
            <w:shd w:val="clear" w:color="auto" w:fill="FFFFFF"/>
            <w:vAlign w:val="center"/>
          </w:tcPr>
          <w:p w14:paraId="19E5267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0.1</w:t>
            </w:r>
          </w:p>
        </w:tc>
        <w:tc>
          <w:tcPr>
            <w:tcW w:w="0" w:type="auto"/>
            <w:tcBorders>
              <w:top w:val="nil"/>
              <w:left w:val="nil"/>
              <w:bottom w:val="nil"/>
              <w:right w:val="nil"/>
            </w:tcBorders>
            <w:shd w:val="clear" w:color="auto" w:fill="FFFFFF"/>
            <w:vAlign w:val="center"/>
          </w:tcPr>
          <w:p w14:paraId="07005D8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634.25x</w:t>
            </w:r>
          </w:p>
        </w:tc>
        <w:tc>
          <w:tcPr>
            <w:tcW w:w="0" w:type="auto"/>
            <w:tcBorders>
              <w:top w:val="nil"/>
              <w:left w:val="nil"/>
              <w:bottom w:val="nil"/>
              <w:right w:val="nil"/>
            </w:tcBorders>
            <w:shd w:val="clear" w:color="auto" w:fill="FFFFFF"/>
            <w:vAlign w:val="center"/>
          </w:tcPr>
          <w:p w14:paraId="340F9D91">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+0.00 (+0.0%)</w:t>
            </w:r>
          </w:p>
        </w:tc>
      </w:tr>
      <w:tr w14:paraId="121D8DEB">
        <w:tblPrEx>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shd w:val="clear" w:color="auto" w:fill="F6F8FA"/>
            <w:vAlign w:val="center"/>
          </w:tcPr>
          <w:p w14:paraId="1EA652BD">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4. MLP Output</w:t>
            </w:r>
          </w:p>
        </w:tc>
        <w:tc>
          <w:tcPr>
            <w:tcW w:w="0" w:type="auto"/>
            <w:tcBorders>
              <w:top w:val="nil"/>
              <w:left w:val="nil"/>
              <w:bottom w:val="single" w:color="auto" w:sz="12" w:space="0"/>
              <w:right w:val="nil"/>
            </w:tcBorders>
            <w:shd w:val="clear" w:color="auto" w:fill="F6F8FA"/>
            <w:vAlign w:val="center"/>
          </w:tcPr>
          <w:p w14:paraId="6DC0CE2F">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768</w:t>
            </w:r>
          </w:p>
        </w:tc>
        <w:tc>
          <w:tcPr>
            <w:tcW w:w="0" w:type="auto"/>
            <w:tcBorders>
              <w:top w:val="nil"/>
              <w:left w:val="nil"/>
              <w:bottom w:val="single" w:color="auto" w:sz="12" w:space="0"/>
              <w:right w:val="nil"/>
            </w:tcBorders>
            <w:shd w:val="clear" w:color="auto" w:fill="F6F8FA"/>
            <w:vAlign w:val="center"/>
          </w:tcPr>
          <w:p w14:paraId="18B2E3C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2342</w:t>
            </w:r>
          </w:p>
        </w:tc>
        <w:tc>
          <w:tcPr>
            <w:tcW w:w="0" w:type="auto"/>
            <w:tcBorders>
              <w:top w:val="nil"/>
              <w:left w:val="nil"/>
              <w:bottom w:val="single" w:color="auto" w:sz="12" w:space="0"/>
              <w:right w:val="nil"/>
            </w:tcBorders>
            <w:shd w:val="clear" w:color="auto" w:fill="F6F8FA"/>
            <w:vAlign w:val="center"/>
          </w:tcPr>
          <w:p w14:paraId="21D80E3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0.27</w:t>
            </w:r>
          </w:p>
        </w:tc>
        <w:tc>
          <w:tcPr>
            <w:tcW w:w="0" w:type="auto"/>
            <w:tcBorders>
              <w:top w:val="nil"/>
              <w:left w:val="nil"/>
              <w:bottom w:val="single" w:color="auto" w:sz="12" w:space="0"/>
              <w:right w:val="nil"/>
            </w:tcBorders>
            <w:shd w:val="clear" w:color="auto" w:fill="F6F8FA"/>
            <w:vAlign w:val="center"/>
          </w:tcPr>
          <w:p w14:paraId="78A57F02">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8595.73x</w:t>
            </w:r>
          </w:p>
        </w:tc>
        <w:tc>
          <w:tcPr>
            <w:tcW w:w="0" w:type="auto"/>
            <w:tcBorders>
              <w:top w:val="nil"/>
              <w:left w:val="nil"/>
              <w:bottom w:val="single" w:color="auto" w:sz="12" w:space="0"/>
              <w:right w:val="nil"/>
            </w:tcBorders>
            <w:shd w:val="clear" w:color="auto" w:fill="F6F8FA"/>
            <w:vAlign w:val="center"/>
          </w:tcPr>
          <w:p w14:paraId="000670AF">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+2279.09 (+3623.0%)</w:t>
            </w:r>
          </w:p>
        </w:tc>
      </w:tr>
    </w:tbl>
    <w:p w14:paraId="12DA2786">
      <w:pPr>
        <w:pStyle w:val="3"/>
        <w:widowControl/>
      </w:pPr>
      <w:r>
        <w:drawing>
          <wp:inline distT="0" distB="0" distL="114300" distR="114300">
            <wp:extent cx="5335905" cy="3159125"/>
            <wp:effectExtent l="0" t="0" r="10795" b="317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58"/>
                    <a:stretch>
                      <a:fillRect/>
                    </a:stretch>
                  </pic:blipFill>
                  <pic:spPr>
                    <a:xfrm>
                      <a:off x="0" y="0"/>
                      <a:ext cx="5335905" cy="3159125"/>
                    </a:xfrm>
                    <a:prstGeom prst="rect">
                      <a:avLst/>
                    </a:prstGeom>
                    <a:noFill/>
                    <a:ln w="9525">
                      <a:noFill/>
                    </a:ln>
                  </pic:spPr>
                </pic:pic>
              </a:graphicData>
            </a:graphic>
          </wp:inline>
        </w:drawing>
      </w:r>
    </w:p>
    <w:p w14:paraId="562AF4D2">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 ：GELU 前后的顶部尺寸 + 重量贡献</w:t>
      </w:r>
    </w:p>
    <w:p w14:paraId="48FF0C53">
      <w:pPr>
        <w:spacing w:line="400" w:lineRule="exact"/>
        <w:rPr>
          <w:rFonts w:ascii="Times New Roman" w:hAnsi="Times New Roman" w:cs="Times New Roman"/>
          <w:sz w:val="24"/>
        </w:rPr>
      </w:pPr>
    </w:p>
    <w:p w14:paraId="7B88B35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 Dim 447 贡献最大的 5 个中间维度（Dim 496、681、732、21、231），其权重值虽仅为 - 0.2986~+0.2190，但通过 3072 维的叠加效应，最终形成 2342.00 的巨量激活 —— 类似 “透镜聚光”，多个中等强度信号集中于单一输出维度，印证 Linear2 的核心作用。</w:t>
      </w:r>
    </w:p>
    <w:p w14:paraId="24DD1A4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采用单因素方差分析（ANOVA） 对比 MLP 内部组件的激活差异，结果显示：组件间的 F=1286.3（df=3,16，p&lt;0.001），事后 Tukey HSD 检验证实，Linear2 与 Linear1、GELU 的差异均达显著水平（p&lt;0.001），而 Linear1 与 GELU 无显著差异（p=0.87&gt;0.05）。</w:t>
      </w:r>
    </w:p>
    <w:p w14:paraId="46547BE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实验提供了确凿的因果证据，表明MLP层，特别是其第二层的Linear2组件，是大规模激活现象的唯一关键生成器。其内部的“多对一”投影机制（将3072维的中等强度激活通过Linear2权重矩阵聚焦并放大到768维的特定输出维度）是产生巨量激活的直接原因。这一发现精准定位了此前被视为“黑箱”的激活爆炸点。</w:t>
      </w:r>
    </w:p>
    <w:p w14:paraId="322307D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关键发现：MLP 层是大规模激活的唯一关键生成器，其中 Layer 2 的 Linear2 组件是激活爆炸点 —— 其权重矩阵通过 “多中间维度叠加→单一输出维度放大” 的机制，将中等激活值转化为巨量激活，而 GELU 仅起 “零值化负值” 的过滤作用，不参与激活放大。</w:t>
      </w:r>
    </w:p>
    <w:p w14:paraId="04F0ADA8">
      <w:pPr>
        <w:spacing w:before="312" w:beforeLines="100" w:after="312" w:afterLines="10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4.4：几何对齐因果性验证实验 </w:t>
      </w:r>
    </w:p>
    <w:p w14:paraId="2042C4C0">
      <w:pPr>
        <w:rPr>
          <w:rFonts w:ascii="Segoe UI" w:hAnsi="Segoe UI" w:eastAsia="Segoe UI" w:cs="Segoe UI"/>
          <w:b/>
          <w:bCs/>
          <w:color w:val="1F2328"/>
          <w:sz w:val="26"/>
          <w:szCs w:val="26"/>
          <w:shd w:val="clear" w:color="auto" w:fill="FFFFFF"/>
        </w:rPr>
      </w:pPr>
    </w:p>
    <w:p w14:paraId="3C82AE8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前述实验已明确将大规模激活的生成源定位至第二层MLP的Linear2组件。本实验旨在深入探究其内部机制，回答一个根本性问题：为何特定的标记（尤其是功能词）会触发极端激活？本实验以Layer 2 MLP的Linear2权重矩阵（W₂，3072×768）为分析对象，采用NumPy的linalg.svd函数进行奇异值分解（参数full_matrices=False，避免冗余计算），得到左奇异矩阵U（3072×768）、奇异值对角矩阵Σ（768×768）、右奇异矩阵转置Vᵀ（768×3072）。提取的主奇异向量</w:t>
      </w:r>
      <w:r>
        <w:rPr>
          <w:rFonts w:hint="default" w:ascii="Times New Roman" w:hAnsi="Times New Roman" w:cs="Times New Roman"/>
          <w:position w:val="-10"/>
          <w:sz w:val="24"/>
        </w:rPr>
        <w:object>
          <v:shape id="_x0000_i1049" o:spt="75" type="#_x0000_t75" style="height:17pt;width:11pt;" o:ole="t" filled="f" o:preferrelative="t" stroked="f" coordsize="21600,21600">
            <v:path/>
            <v:fill on="f" focussize="0,0"/>
            <v:stroke on="f"/>
            <v:imagedata r:id="rId60" o:title=""/>
            <o:lock v:ext="edit" aspectratio="t"/>
            <w10:wrap type="none"/>
            <w10:anchorlock/>
          </v:shape>
          <o:OLEObject Type="Embed" ProgID="Equation.KSEE3" ShapeID="_x0000_i1049" DrawAspect="Content" ObjectID="_1468075749" r:id="rId59">
            <o:LockedField>false</o:LockedField>
          </o:OLEObject>
        </w:object>
      </w:r>
      <w:r>
        <w:rPr>
          <w:rFonts w:hint="default" w:ascii="Times New Roman" w:hAnsi="Times New Roman" w:cs="Times New Roman"/>
          <w:sz w:val="24"/>
        </w:rPr>
        <w:t>（U的第一列）经L2归一化处理，确保对齐强度计算的一致性；最大奇异值σ₁=38.26，第二奇异值σ₂=15.18，σ₁/σ₂=2.52，证实W₂存在主导性奇异方向。对齐强度计算采用“逐token滑动窗口”（窗口大小=50），排除激活值&lt;中位数的token（占比50%），聚焦大规模激活的候选token，确保结果针对性。</w:t>
      </w:r>
    </w:p>
    <w:p w14:paraId="7C6D398A">
      <w:pPr>
        <w:pStyle w:val="3"/>
        <w:widowControl/>
      </w:pPr>
      <w:r>
        <w:drawing>
          <wp:inline distT="0" distB="0" distL="114300" distR="114300">
            <wp:extent cx="5916930" cy="2183765"/>
            <wp:effectExtent l="0" t="0" r="1270" b="63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61"/>
                    <a:stretch>
                      <a:fillRect/>
                    </a:stretch>
                  </pic:blipFill>
                  <pic:spPr>
                    <a:xfrm>
                      <a:off x="0" y="0"/>
                      <a:ext cx="5916930" cy="2183765"/>
                    </a:xfrm>
                    <a:prstGeom prst="rect">
                      <a:avLst/>
                    </a:prstGeom>
                    <a:noFill/>
                    <a:ln w="9525">
                      <a:noFill/>
                    </a:ln>
                  </pic:spPr>
                </pic:pic>
              </a:graphicData>
            </a:graphic>
          </wp:inline>
        </w:drawing>
      </w:r>
    </w:p>
    <w:p w14:paraId="0545698F">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 ：</w:t>
      </w:r>
      <w:r>
        <w:rPr>
          <w:rFonts w:hint="eastAsia" w:ascii="Times New Roman" w:hAnsi="Times New Roman" w:eastAsia="楷体" w:cs="Times New Roman"/>
          <w:position w:val="-10"/>
          <w:szCs w:val="21"/>
        </w:rPr>
        <w:object>
          <v:shape id="_x0000_i1050" o:spt="75" type="#_x0000_t75" style="height:17pt;width:15pt;" o:ole="t" filled="f" o:preferrelative="t" stroked="f" coordsize="21600,21600">
            <v:path/>
            <v:fill on="f" focussize="0,0"/>
            <v:stroke on="f"/>
            <v:imagedata r:id="rId63" o:title=""/>
            <o:lock v:ext="edit" aspectratio="t"/>
            <w10:wrap type="none"/>
            <w10:anchorlock/>
          </v:shape>
          <o:OLEObject Type="Embed" ProgID="Equation.KSEE3" ShapeID="_x0000_i1050" DrawAspect="Content" ObjectID="_1468075750" r:id="rId62">
            <o:LockedField>false</o:LockedField>
          </o:OLEObject>
        </w:object>
      </w:r>
      <w:r>
        <w:rPr>
          <w:rFonts w:hint="eastAsia" w:ascii="Times New Roman" w:hAnsi="Times New Roman" w:eastAsia="楷体" w:cs="Times New Roman"/>
          <w:szCs w:val="21"/>
        </w:rPr>
        <w:t>具有主导奇异方向（</w:t>
      </w:r>
      <w:r>
        <w:rPr>
          <w:rFonts w:hint="eastAsia" w:ascii="Times New Roman" w:hAnsi="Times New Roman" w:eastAsia="楷体" w:cs="Times New Roman"/>
          <w:position w:val="-10"/>
          <w:szCs w:val="21"/>
        </w:rPr>
        <w:object>
          <v:shape id="_x0000_i1051" o:spt="75" type="#_x0000_t75" style="height:17pt;width:13.95pt;" o:ole="t" filled="f" o:preferrelative="t" stroked="f" coordsize="21600,21600">
            <v:path/>
            <v:fill on="f" focussize="0,0"/>
            <v:stroke on="f"/>
            <v:imagedata r:id="rId65" o:title=""/>
            <o:lock v:ext="edit" aspectratio="t"/>
            <w10:wrap type="none"/>
            <w10:anchorlock/>
          </v:shape>
          <o:OLEObject Type="Embed" ProgID="Equation.KSEE3" ShapeID="_x0000_i1051" DrawAspect="Content" ObjectID="_1468075751" r:id="rId64">
            <o:LockedField>false</o:LockedField>
          </o:OLEObject>
        </w:object>
      </w:r>
      <w:r>
        <w:rPr>
          <w:rFonts w:hint="eastAsia" w:ascii="Times New Roman" w:hAnsi="Times New Roman" w:eastAsia="楷体" w:cs="Times New Roman"/>
          <w:szCs w:val="21"/>
        </w:rPr>
        <w:t>/</w:t>
      </w:r>
      <w:r>
        <w:rPr>
          <w:rFonts w:hint="eastAsia" w:ascii="Times New Roman" w:hAnsi="Times New Roman" w:eastAsia="楷体" w:cs="Times New Roman"/>
          <w:position w:val="-10"/>
          <w:szCs w:val="21"/>
        </w:rPr>
        <w:object>
          <v:shape id="_x0000_i1052" o:spt="75" type="#_x0000_t75" style="height:17pt;width:15pt;" o:ole="t" filled="f" o:preferrelative="t" stroked="f" coordsize="21600,21600">
            <v:path/>
            <v:fill on="f" focussize="0,0"/>
            <v:stroke on="f"/>
            <v:imagedata r:id="rId67" o:title=""/>
            <o:lock v:ext="edit" aspectratio="t"/>
            <w10:wrap type="none"/>
            <w10:anchorlock/>
          </v:shape>
          <o:OLEObject Type="Embed" ProgID="Equation.KSEE3" ShapeID="_x0000_i1052" DrawAspect="Content" ObjectID="_1468075752" r:id="rId66">
            <o:LockedField>false</o:LockedField>
          </o:OLEObject>
        </w:object>
      </w:r>
      <w:r>
        <w:rPr>
          <w:rFonts w:hint="eastAsia" w:ascii="Times New Roman" w:hAnsi="Times New Roman" w:eastAsia="楷体" w:cs="Times New Roman"/>
          <w:szCs w:val="21"/>
        </w:rPr>
        <w:t>=2.52×）</w:t>
      </w:r>
    </w:p>
    <w:p w14:paraId="52EF4154">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为什么特定的标记（尤其是功能词）会触发大规模激活？大规模激活的出现是因为某些标记表示在几何上与W₂的主要放大方向对齐。奇异值从</w:t>
      </w:r>
      <w:r>
        <w:rPr>
          <w:rFonts w:hint="eastAsia" w:ascii="Times New Roman" w:hAnsi="Times New Roman" w:cs="Times New Roman"/>
          <w:position w:val="-10"/>
          <w:sz w:val="24"/>
        </w:rPr>
        <w:object>
          <v:shape id="_x0000_i1053" o:spt="75" type="#_x0000_t75" style="height:17pt;width:13.95pt;" o:ole="t" filled="f" o:preferrelative="t" stroked="f" coordsize="21600,21600">
            <v:path/>
            <v:fill on="f" focussize="0,0"/>
            <v:stroke on="f"/>
            <v:imagedata r:id="rId69" o:title=""/>
            <o:lock v:ext="edit" aspectratio="t"/>
            <w10:wrap type="none"/>
            <w10:anchorlock/>
          </v:shape>
          <o:OLEObject Type="Embed" ProgID="Equation.KSEE3" ShapeID="_x0000_i1053" DrawAspect="Content" ObjectID="_1468075753" r:id="rId68">
            <o:LockedField>false</o:LockedField>
          </o:OLEObject>
        </w:object>
      </w:r>
      <w:r>
        <w:rPr>
          <w:rFonts w:hint="eastAsia" w:ascii="Times New Roman" w:hAnsi="Times New Roman" w:cs="Times New Roman"/>
          <w:sz w:val="24"/>
        </w:rPr>
        <w:t>=38.26开始快速下降，</w:t>
      </w:r>
      <w:r>
        <w:rPr>
          <w:rFonts w:hint="eastAsia" w:ascii="Times New Roman" w:hAnsi="Times New Roman" w:cs="Times New Roman"/>
          <w:position w:val="-10"/>
          <w:sz w:val="24"/>
        </w:rPr>
        <w:object>
          <v:shape id="_x0000_i1054" o:spt="75" type="#_x0000_t75" style="height:17pt;width:13.95pt;" o:ole="t" filled="f" o:preferrelative="t" stroked="f" coordsize="21600,21600">
            <v:path/>
            <v:fill on="f" focussize="0,0"/>
            <v:stroke on="f"/>
            <v:imagedata r:id="rId69" o:title=""/>
            <o:lock v:ext="edit" aspectratio="t"/>
            <w10:wrap type="none"/>
            <w10:anchorlock/>
          </v:shape>
          <o:OLEObject Type="Embed" ProgID="Equation.KSEE3" ShapeID="_x0000_i1054" DrawAspect="Content" ObjectID="_1468075754" r:id="rId70">
            <o:LockedField>false</o:LockedField>
          </o:OLEObject>
        </w:object>
      </w:r>
      <w:r>
        <w:rPr>
          <w:rFonts w:hint="eastAsia" w:ascii="Times New Roman" w:hAnsi="Times New Roman" w:cs="Times New Roman"/>
          <w:sz w:val="24"/>
        </w:rPr>
        <w:t>后的奇异值均&lt;16，且</w:t>
      </w:r>
      <w:r>
        <w:rPr>
          <w:rFonts w:hint="eastAsia" w:ascii="Times New Roman" w:hAnsi="Times New Roman" w:cs="Times New Roman"/>
          <w:position w:val="-10"/>
          <w:sz w:val="24"/>
        </w:rPr>
        <w:object>
          <v:shape id="_x0000_i1055" o:spt="75" type="#_x0000_t75" style="height:17pt;width:13.95pt;" o:ole="t" filled="f" o:preferrelative="t" stroked="f" coordsize="21600,21600">
            <v:path/>
            <v:fill on="f" focussize="0,0"/>
            <v:stroke on="f"/>
            <v:imagedata r:id="rId69" o:title=""/>
            <o:lock v:ext="edit" aspectratio="t"/>
            <w10:wrap type="none"/>
            <w10:anchorlock/>
          </v:shape>
          <o:OLEObject Type="Embed" ProgID="Equation.KSEE3" ShapeID="_x0000_i1055" DrawAspect="Content" ObjectID="_1468075755" r:id="rId71">
            <o:LockedField>false</o:LockedField>
          </o:OLEObject>
        </w:object>
      </w:r>
      <w:r>
        <w:rPr>
          <w:rFonts w:hint="eastAsia" w:ascii="Times New Roman" w:hAnsi="Times New Roman" w:cs="Times New Roman"/>
          <w:sz w:val="24"/>
        </w:rPr>
        <w:t>的占比达总奇异值和的42%，证实</w:t>
      </w:r>
      <w:r>
        <w:rPr>
          <w:rFonts w:hint="eastAsia" w:ascii="Times New Roman" w:hAnsi="Times New Roman" w:cs="Times New Roman"/>
          <w:position w:val="-10"/>
          <w:sz w:val="24"/>
        </w:rPr>
        <w:object>
          <v:shape id="_x0000_i1056" o:spt="75" type="#_x0000_t75" style="height:17pt;width:15pt;" o:ole="t" filled="f" o:preferrelative="t" stroked="f" coordsize="21600,21600">
            <v:path/>
            <v:fill on="f" focussize="0,0"/>
            <v:stroke on="f"/>
            <v:imagedata r:id="rId73" o:title=""/>
            <o:lock v:ext="edit" aspectratio="t"/>
            <w10:wrap type="none"/>
            <w10:anchorlock/>
          </v:shape>
          <o:OLEObject Type="Embed" ProgID="Equation.KSEE3" ShapeID="_x0000_i1056" DrawAspect="Content" ObjectID="_1468075756" r:id="rId72">
            <o:LockedField>false</o:LockedField>
          </o:OLEObject>
        </w:object>
      </w:r>
      <w:r>
        <w:rPr>
          <w:rFonts w:hint="eastAsia" w:ascii="Times New Roman" w:hAnsi="Times New Roman" w:cs="Times New Roman"/>
          <w:sz w:val="24"/>
        </w:rPr>
        <w:t>的放大效应高度集中于</w:t>
      </w:r>
      <w:r>
        <w:rPr>
          <w:rFonts w:hint="eastAsia" w:ascii="Times New Roman" w:hAnsi="Times New Roman" w:cs="Times New Roman"/>
          <w:position w:val="-10"/>
          <w:sz w:val="24"/>
        </w:rPr>
        <w:object>
          <v:shape id="_x0000_i1057" o:spt="75" type="#_x0000_t75" style="height:17pt;width:11pt;" o:ole="t" filled="f" o:preferrelative="t" stroked="f" coordsize="21600,21600">
            <v:path/>
            <v:fill on="f" focussize="0,0"/>
            <v:stroke on="f"/>
            <v:imagedata r:id="rId75" o:title=""/>
            <o:lock v:ext="edit" aspectratio="t"/>
            <w10:wrap type="none"/>
            <w10:anchorlock/>
          </v:shape>
          <o:OLEObject Type="Embed" ProgID="Equation.KSEE3" ShapeID="_x0000_i1057" DrawAspect="Content" ObjectID="_1468075757" r:id="rId74">
            <o:LockedField>false</o:LockedField>
          </o:OLEObject>
        </w:object>
      </w:r>
      <w:r>
        <w:rPr>
          <w:rFonts w:hint="eastAsia" w:ascii="Times New Roman" w:hAnsi="Times New Roman" w:cs="Times New Roman"/>
          <w:sz w:val="24"/>
        </w:rPr>
        <w:t>方向——该方向是激活放大的“主通道”，其他方向的贡献可忽略。</w:t>
      </w:r>
    </w:p>
    <w:p w14:paraId="3FAA1E10">
      <w:pPr>
        <w:spacing w:line="400" w:lineRule="exact"/>
        <w:rPr>
          <w:rFonts w:ascii="Times New Roman" w:hAnsi="Times New Roman" w:cs="Times New Roman"/>
          <w:sz w:val="24"/>
        </w:rPr>
      </w:pPr>
    </w:p>
    <w:p w14:paraId="6F876E62">
      <w:pPr>
        <w:spacing w:line="400" w:lineRule="exact"/>
        <w:rPr>
          <w:rFonts w:ascii="Times New Roman" w:hAnsi="Times New Roman" w:cs="Times New Roman"/>
          <w:sz w:val="24"/>
        </w:rPr>
      </w:pPr>
    </w:p>
    <w:p w14:paraId="129680AE">
      <w:pPr>
        <w:pStyle w:val="3"/>
        <w:widowControl/>
      </w:pPr>
      <w:r>
        <w:drawing>
          <wp:inline distT="0" distB="0" distL="114300" distR="114300">
            <wp:extent cx="5562600" cy="2197100"/>
            <wp:effectExtent l="0" t="0" r="0"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76"/>
                    <a:stretch>
                      <a:fillRect/>
                    </a:stretch>
                  </pic:blipFill>
                  <pic:spPr>
                    <a:xfrm>
                      <a:off x="0" y="0"/>
                      <a:ext cx="5562600" cy="2197100"/>
                    </a:xfrm>
                    <a:prstGeom prst="rect">
                      <a:avLst/>
                    </a:prstGeom>
                    <a:noFill/>
                    <a:ln w="9525">
                      <a:noFill/>
                    </a:ln>
                  </pic:spPr>
                </pic:pic>
              </a:graphicData>
            </a:graphic>
          </wp:inline>
        </w:drawing>
      </w:r>
    </w:p>
    <w:p w14:paraId="32D35633">
      <w:pPr>
        <w:spacing w:line="400" w:lineRule="exact"/>
        <w:jc w:val="center"/>
        <w:rPr>
          <w:rFonts w:ascii="Times New Roman" w:hAnsi="Times New Roman" w:eastAsia="楷体" w:cs="Times New Roman"/>
          <w:szCs w:val="21"/>
        </w:rPr>
      </w:pPr>
      <w:r>
        <w:rPr>
          <w:rFonts w:hint="eastAsia" w:ascii="Times New Roman" w:hAnsi="Times New Roman" w:eastAsia="楷体" w:cs="Times New Roman"/>
          <w:szCs w:val="21"/>
        </w:rPr>
        <w:t>图 ：因果证明 - 大规模激活→投射强度</w:t>
      </w:r>
    </w:p>
    <w:p w14:paraId="709EA4D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散点图中功能词（蓝色）与内容词（红色）的点均严格分布在拟合线两侧，残差均在 ±50 内（无超出 ±100 的异常残差），且残差分布呈正态（Shapiro-Wilk 检验 p=0.23&gt;0.05），证实线性模型无系统性偏差。此外，拟合线斜率 38.70 与 σ₁的高度吻合，从数学上验证 “激活幅度≈σ₁× 投影幅度” 的因果关系。</w:t>
      </w:r>
    </w:p>
    <w:p w14:paraId="11269C6F">
      <w:pPr>
        <w:spacing w:line="400" w:lineRule="exact"/>
        <w:rPr>
          <w:rFonts w:ascii="Times New Roman" w:hAnsi="Times New Roman" w:cs="Times New Roman"/>
          <w:sz w:val="24"/>
        </w:rPr>
      </w:pPr>
    </w:p>
    <w:p w14:paraId="114BF703">
      <w:pPr>
        <w:spacing w:line="400" w:lineRule="exact"/>
        <w:rPr>
          <w:rFonts w:ascii="Times New Roman" w:hAnsi="Times New Roman" w:cs="Times New Roman"/>
          <w:sz w:val="24"/>
        </w:rPr>
      </w:pPr>
    </w:p>
    <w:tbl>
      <w:tblPr>
        <w:tblStyle w:val="4"/>
        <w:tblW w:w="4998" w:type="pct"/>
        <w:jc w:val="center"/>
        <w:tblLayout w:type="autofit"/>
        <w:tblCellMar>
          <w:top w:w="0" w:type="dxa"/>
          <w:left w:w="108" w:type="dxa"/>
          <w:bottom w:w="0" w:type="dxa"/>
          <w:right w:w="108" w:type="dxa"/>
        </w:tblCellMar>
      </w:tblPr>
      <w:tblGrid>
        <w:gridCol w:w="1885"/>
        <w:gridCol w:w="1212"/>
        <w:gridCol w:w="5422"/>
      </w:tblGrid>
      <w:tr w14:paraId="71C21CEC">
        <w:tblPrEx>
          <w:tblCellMar>
            <w:top w:w="0" w:type="dxa"/>
            <w:left w:w="108" w:type="dxa"/>
            <w:bottom w:w="0" w:type="dxa"/>
            <w:right w:w="108" w:type="dxa"/>
          </w:tblCellMar>
        </w:tblPrEx>
        <w:trPr>
          <w:trHeight w:val="0" w:hRule="atLeast"/>
          <w:tblHeader/>
          <w:jc w:val="center"/>
        </w:trPr>
        <w:tc>
          <w:tcPr>
            <w:tcW w:w="1106" w:type="pct"/>
            <w:tcBorders>
              <w:top w:val="single" w:color="auto" w:sz="12" w:space="0"/>
              <w:left w:val="nil"/>
              <w:bottom w:val="single" w:color="auto" w:sz="4" w:space="0"/>
              <w:right w:val="nil"/>
            </w:tcBorders>
            <w:shd w:val="clear" w:color="auto" w:fill="FFFFFF"/>
            <w:vAlign w:val="center"/>
          </w:tcPr>
          <w:p w14:paraId="2A4FF9C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Metric</w:t>
            </w:r>
          </w:p>
        </w:tc>
        <w:tc>
          <w:tcPr>
            <w:tcW w:w="711" w:type="pct"/>
            <w:tcBorders>
              <w:top w:val="single" w:color="auto" w:sz="12" w:space="0"/>
              <w:left w:val="nil"/>
              <w:bottom w:val="single" w:color="auto" w:sz="4" w:space="0"/>
              <w:right w:val="nil"/>
            </w:tcBorders>
            <w:shd w:val="clear" w:color="auto" w:fill="FFFFFF"/>
            <w:vAlign w:val="center"/>
          </w:tcPr>
          <w:p w14:paraId="592DBF9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Value</w:t>
            </w:r>
          </w:p>
        </w:tc>
        <w:tc>
          <w:tcPr>
            <w:tcW w:w="3181" w:type="pct"/>
            <w:tcBorders>
              <w:top w:val="single" w:color="auto" w:sz="12" w:space="0"/>
              <w:left w:val="nil"/>
              <w:bottom w:val="single" w:color="auto" w:sz="4" w:space="0"/>
              <w:right w:val="nil"/>
            </w:tcBorders>
            <w:shd w:val="clear" w:color="auto" w:fill="FFFFFF"/>
            <w:vAlign w:val="center"/>
          </w:tcPr>
          <w:p w14:paraId="4B1B4F68">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Interpretation</w:t>
            </w:r>
          </w:p>
        </w:tc>
      </w:tr>
      <w:tr w14:paraId="0BED6F3F">
        <w:tblPrEx>
          <w:tblCellMar>
            <w:top w:w="0" w:type="dxa"/>
            <w:left w:w="108" w:type="dxa"/>
            <w:bottom w:w="0" w:type="dxa"/>
            <w:right w:w="108" w:type="dxa"/>
          </w:tblCellMar>
        </w:tblPrEx>
        <w:trPr>
          <w:trHeight w:val="0" w:hRule="atLeast"/>
          <w:jc w:val="center"/>
        </w:trPr>
        <w:tc>
          <w:tcPr>
            <w:tcW w:w="1106" w:type="pct"/>
            <w:tcBorders>
              <w:top w:val="single" w:color="auto" w:sz="4" w:space="0"/>
              <w:left w:val="nil"/>
              <w:bottom w:val="nil"/>
              <w:right w:val="nil"/>
            </w:tcBorders>
            <w:shd w:val="clear" w:color="auto" w:fill="FFFFFF"/>
            <w:vAlign w:val="center"/>
          </w:tcPr>
          <w:p w14:paraId="3EDC894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R²</w:t>
            </w:r>
          </w:p>
        </w:tc>
        <w:tc>
          <w:tcPr>
            <w:tcW w:w="711" w:type="pct"/>
            <w:tcBorders>
              <w:top w:val="single" w:color="auto" w:sz="4" w:space="0"/>
              <w:left w:val="nil"/>
              <w:bottom w:val="nil"/>
              <w:right w:val="nil"/>
            </w:tcBorders>
            <w:shd w:val="clear" w:color="auto" w:fill="FFFFFF"/>
            <w:vAlign w:val="center"/>
          </w:tcPr>
          <w:p w14:paraId="2D8AAF2D">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0.998</w:t>
            </w:r>
          </w:p>
        </w:tc>
        <w:tc>
          <w:tcPr>
            <w:tcW w:w="3181" w:type="pct"/>
            <w:tcBorders>
              <w:top w:val="single" w:color="auto" w:sz="4" w:space="0"/>
              <w:left w:val="nil"/>
              <w:bottom w:val="nil"/>
              <w:right w:val="nil"/>
            </w:tcBorders>
            <w:shd w:val="clear" w:color="auto" w:fill="FFFFFF"/>
            <w:vAlign w:val="center"/>
          </w:tcPr>
          <w:p w14:paraId="3C6F110A">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Projection explains 99.8% of variance!</w:t>
            </w:r>
          </w:p>
        </w:tc>
      </w:tr>
      <w:tr w14:paraId="4B34FA18">
        <w:tblPrEx>
          <w:tblCellMar>
            <w:top w:w="0" w:type="dxa"/>
            <w:left w:w="108" w:type="dxa"/>
            <w:bottom w:w="0" w:type="dxa"/>
            <w:right w:w="108" w:type="dxa"/>
          </w:tblCellMar>
        </w:tblPrEx>
        <w:trPr>
          <w:trHeight w:val="0" w:hRule="atLeast"/>
          <w:jc w:val="center"/>
        </w:trPr>
        <w:tc>
          <w:tcPr>
            <w:tcW w:w="1106" w:type="pct"/>
            <w:tcBorders>
              <w:top w:val="nil"/>
              <w:left w:val="nil"/>
              <w:bottom w:val="nil"/>
              <w:right w:val="nil"/>
            </w:tcBorders>
            <w:shd w:val="clear" w:color="auto" w:fill="F6F8FA"/>
            <w:vAlign w:val="center"/>
          </w:tcPr>
          <w:p w14:paraId="2ED189B9">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p-value</w:t>
            </w:r>
          </w:p>
        </w:tc>
        <w:tc>
          <w:tcPr>
            <w:tcW w:w="711" w:type="pct"/>
            <w:tcBorders>
              <w:top w:val="nil"/>
              <w:left w:val="nil"/>
              <w:bottom w:val="nil"/>
              <w:right w:val="nil"/>
            </w:tcBorders>
            <w:shd w:val="clear" w:color="auto" w:fill="F6F8FA"/>
            <w:vAlign w:val="center"/>
          </w:tcPr>
          <w:p w14:paraId="379D3CC6">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w:t>
            </w:r>
          </w:p>
        </w:tc>
        <w:tc>
          <w:tcPr>
            <w:tcW w:w="3181" w:type="pct"/>
            <w:tcBorders>
              <w:top w:val="nil"/>
              <w:left w:val="nil"/>
              <w:bottom w:val="nil"/>
              <w:right w:val="nil"/>
            </w:tcBorders>
            <w:shd w:val="clear" w:color="auto" w:fill="F6F8FA"/>
            <w:vAlign w:val="center"/>
          </w:tcPr>
          <w:p w14:paraId="2631451C">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Extremely significant</w:t>
            </w:r>
          </w:p>
        </w:tc>
      </w:tr>
      <w:tr w14:paraId="3E752932">
        <w:tblPrEx>
          <w:tblCellMar>
            <w:top w:w="0" w:type="dxa"/>
            <w:left w:w="108" w:type="dxa"/>
            <w:bottom w:w="0" w:type="dxa"/>
            <w:right w:w="108" w:type="dxa"/>
          </w:tblCellMar>
        </w:tblPrEx>
        <w:trPr>
          <w:trHeight w:val="0" w:hRule="atLeast"/>
          <w:jc w:val="center"/>
        </w:trPr>
        <w:tc>
          <w:tcPr>
            <w:tcW w:w="1106" w:type="pct"/>
            <w:tcBorders>
              <w:top w:val="nil"/>
              <w:left w:val="nil"/>
              <w:bottom w:val="nil"/>
              <w:right w:val="nil"/>
            </w:tcBorders>
            <w:shd w:val="clear" w:color="auto" w:fill="FFFFFF"/>
            <w:vAlign w:val="center"/>
          </w:tcPr>
          <w:p w14:paraId="4A6B4A07">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Slope</w:t>
            </w:r>
          </w:p>
        </w:tc>
        <w:tc>
          <w:tcPr>
            <w:tcW w:w="711" w:type="pct"/>
            <w:tcBorders>
              <w:top w:val="nil"/>
              <w:left w:val="nil"/>
              <w:bottom w:val="nil"/>
              <w:right w:val="nil"/>
            </w:tcBorders>
            <w:shd w:val="clear" w:color="auto" w:fill="FFFFFF"/>
            <w:vAlign w:val="center"/>
          </w:tcPr>
          <w:p w14:paraId="1103CA2F">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38.70</w:t>
            </w:r>
          </w:p>
        </w:tc>
        <w:tc>
          <w:tcPr>
            <w:tcW w:w="3181" w:type="pct"/>
            <w:tcBorders>
              <w:top w:val="nil"/>
              <w:left w:val="nil"/>
              <w:bottom w:val="nil"/>
              <w:right w:val="nil"/>
            </w:tcBorders>
            <w:shd w:val="clear" w:color="auto" w:fill="FFFFFF"/>
            <w:vAlign w:val="center"/>
          </w:tcPr>
          <w:p w14:paraId="5970262B">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Close to σ₁ (38.26) - confirms theory!</w:t>
            </w:r>
          </w:p>
        </w:tc>
      </w:tr>
      <w:tr w14:paraId="24DD3D86">
        <w:tblPrEx>
          <w:tblCellMar>
            <w:top w:w="0" w:type="dxa"/>
            <w:left w:w="108" w:type="dxa"/>
            <w:bottom w:w="0" w:type="dxa"/>
            <w:right w:w="108" w:type="dxa"/>
          </w:tblCellMar>
        </w:tblPrEx>
        <w:trPr>
          <w:trHeight w:val="0" w:hRule="atLeast"/>
          <w:jc w:val="center"/>
        </w:trPr>
        <w:tc>
          <w:tcPr>
            <w:tcW w:w="1106" w:type="pct"/>
            <w:tcBorders>
              <w:top w:val="nil"/>
              <w:left w:val="nil"/>
              <w:bottom w:val="single" w:color="auto" w:sz="12" w:space="0"/>
              <w:right w:val="nil"/>
            </w:tcBorders>
            <w:shd w:val="clear" w:color="auto" w:fill="F6F8FA"/>
            <w:vAlign w:val="center"/>
          </w:tcPr>
          <w:p w14:paraId="2FBA3A62">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σ₁/σ₂ ratio</w:t>
            </w:r>
          </w:p>
        </w:tc>
        <w:tc>
          <w:tcPr>
            <w:tcW w:w="711" w:type="pct"/>
            <w:tcBorders>
              <w:top w:val="nil"/>
              <w:left w:val="nil"/>
              <w:bottom w:val="single" w:color="auto" w:sz="12" w:space="0"/>
              <w:right w:val="nil"/>
            </w:tcBorders>
            <w:shd w:val="clear" w:color="auto" w:fill="F6F8FA"/>
            <w:vAlign w:val="center"/>
          </w:tcPr>
          <w:p w14:paraId="165E859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2.52×</w:t>
            </w:r>
          </w:p>
        </w:tc>
        <w:tc>
          <w:tcPr>
            <w:tcW w:w="3181" w:type="pct"/>
            <w:tcBorders>
              <w:top w:val="nil"/>
              <w:left w:val="nil"/>
              <w:bottom w:val="single" w:color="auto" w:sz="12" w:space="0"/>
              <w:right w:val="nil"/>
            </w:tcBorders>
            <w:shd w:val="clear" w:color="auto" w:fill="F6F8FA"/>
            <w:vAlign w:val="center"/>
          </w:tcPr>
          <w:p w14:paraId="4336B57C">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W₂ has dominant direction</w:t>
            </w:r>
          </w:p>
        </w:tc>
      </w:tr>
    </w:tbl>
    <w:p w14:paraId="568E1199">
      <w:pPr>
        <w:spacing w:line="400" w:lineRule="exact"/>
        <w:rPr>
          <w:rFonts w:ascii="Times New Roman" w:hAnsi="Times New Roman" w:cs="Times New Roman"/>
          <w:sz w:val="24"/>
        </w:rPr>
      </w:pPr>
    </w:p>
    <w:p w14:paraId="504287F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线性回归模型 “激活幅度 =α× 投影幅度 +β” 的拟合结果显示：R²=0.998，α=38.70（与 σ₁=38.26 的误差仅 1.15%），β=3.59，p≈0（置换检验 1000 次，R²&gt;0.99 的占比 100%）。移除 σ₁后，激活幅度的平均衰减率达 92.3%，证实因果关系。功能词与内容词的对齐特征对比显示：功能词的平均对齐度（cosine 相似度）为 - 0.003±0.021，内容词为 - 0.002±0.024，Welch t 检验的 t=-3.20（df=30718，p=0.00138&lt;0.01），但效应量较小（Cohen’s d=-0.038），说明词汇类型对对齐度的影响有限。</w:t>
      </w:r>
    </w:p>
    <w:p w14:paraId="2365D92E">
      <w:pPr>
        <w:pStyle w:val="3"/>
        <w:widowControl/>
      </w:pPr>
      <w:r>
        <w:drawing>
          <wp:inline distT="0" distB="0" distL="114300" distR="114300">
            <wp:extent cx="5216525" cy="3318510"/>
            <wp:effectExtent l="0" t="0" r="3175" b="889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77"/>
                    <a:stretch>
                      <a:fillRect/>
                    </a:stretch>
                  </pic:blipFill>
                  <pic:spPr>
                    <a:xfrm>
                      <a:off x="0" y="0"/>
                      <a:ext cx="5216525" cy="3318510"/>
                    </a:xfrm>
                    <a:prstGeom prst="rect">
                      <a:avLst/>
                    </a:prstGeom>
                    <a:noFill/>
                    <a:ln w="9525">
                      <a:noFill/>
                    </a:ln>
                  </pic:spPr>
                </pic:pic>
              </a:graphicData>
            </a:graphic>
          </wp:inline>
        </w:drawing>
      </w:r>
    </w:p>
    <w:p w14:paraId="15498F22">
      <w:pPr>
        <w:spacing w:line="400" w:lineRule="exact"/>
        <w:jc w:val="center"/>
        <w:rPr>
          <w:rFonts w:ascii="Times New Roman" w:hAnsi="Times New Roman" w:cs="Times New Roman"/>
          <w:sz w:val="24"/>
        </w:rPr>
      </w:pPr>
      <w:r>
        <w:rPr>
          <w:rFonts w:hint="eastAsia" w:ascii="Times New Roman" w:hAnsi="Times New Roman" w:eastAsia="楷体" w:cs="Times New Roman"/>
          <w:szCs w:val="21"/>
        </w:rPr>
        <w:t>图 ：功能词与内容词 - 对齐分布</w:t>
      </w:r>
    </w:p>
    <w:p w14:paraId="4204C18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功能词（蓝色）的对齐度分布比内容词（红色）更为紧凑，其累积分布函数（CDF）在[-0.05, 0.05]区间内的占比更高（92% vs 85%）。这表明功能词的中间表征在穿越</w:t>
      </w:r>
      <w:r>
        <w:rPr>
          <w:rFonts w:hint="default" w:ascii="Times New Roman" w:hAnsi="Times New Roman" w:cs="Times New Roman"/>
          <w:position w:val="-10"/>
          <w:sz w:val="24"/>
        </w:rPr>
        <w:object>
          <v:shape id="_x0000_i1058" o:spt="75" type="#_x0000_t75" style="height:17pt;width:15pt;" o:ole="t" filled="f" o:preferrelative="t" stroked="f" coordsize="21600,21600">
            <v:path/>
            <v:fill on="f" focussize="0,0"/>
            <v:stroke on="f"/>
            <v:imagedata r:id="rId79" o:title=""/>
            <o:lock v:ext="edit" aspectratio="t"/>
            <w10:wrap type="none"/>
            <w10:anchorlock/>
          </v:shape>
          <o:OLEObject Type="Embed" ProgID="Equation.KSEE3" ShapeID="_x0000_i1058" DrawAspect="Content" ObjectID="_1468075758" r:id="rId78">
            <o:LockedField>false</o:LockedField>
          </o:OLEObject>
        </w:object>
      </w:r>
      <w:r>
        <w:rPr>
          <w:rFonts w:hint="default" w:ascii="Times New Roman" w:hAnsi="Times New Roman" w:cs="Times New Roman"/>
          <w:sz w:val="24"/>
        </w:rPr>
        <w:t>矩阵时，与主放大方向的相互作用模式更为一致和稳定。Welch t 检验表明两组均值存在显著差异（p=0.00138），但效应量较小（Cohen‘s d=-0.038），提示词汇类型本身并非对齐度的唯一决定因素，但其表征的稳定性是关键。</w:t>
      </w:r>
    </w:p>
    <w:p w14:paraId="4B811808">
      <w:pPr>
        <w:spacing w:line="400" w:lineRule="exact"/>
        <w:ind w:firstLine="2100" w:firstLineChars="1000"/>
        <w:rPr>
          <w:rFonts w:ascii="Times New Roman" w:hAnsi="Times New Roman" w:cs="Times New Roman"/>
          <w:sz w:val="21"/>
          <w:szCs w:val="21"/>
        </w:rPr>
      </w:pPr>
      <w:r>
        <w:rPr>
          <w:rFonts w:hint="eastAsia" w:ascii="Times New Roman" w:hAnsi="Times New Roman" w:cs="Times New Roman"/>
          <w:sz w:val="21"/>
          <w:szCs w:val="21"/>
        </w:rPr>
        <w:t>Function Words vs Content Words:</w:t>
      </w:r>
    </w:p>
    <w:tbl>
      <w:tblPr>
        <w:tblStyle w:val="4"/>
        <w:tblW w:w="8667" w:type="dxa"/>
        <w:jc w:val="center"/>
        <w:tblLayout w:type="autofit"/>
        <w:tblCellMar>
          <w:top w:w="0" w:type="dxa"/>
          <w:left w:w="108" w:type="dxa"/>
          <w:bottom w:w="0" w:type="dxa"/>
          <w:right w:w="108" w:type="dxa"/>
        </w:tblCellMar>
      </w:tblPr>
      <w:tblGrid>
        <w:gridCol w:w="1964"/>
        <w:gridCol w:w="2434"/>
        <w:gridCol w:w="2516"/>
        <w:gridCol w:w="1753"/>
      </w:tblGrid>
      <w:tr w14:paraId="5C64F083">
        <w:tblPrEx>
          <w:tblCellMar>
            <w:top w:w="0" w:type="dxa"/>
            <w:left w:w="108" w:type="dxa"/>
            <w:bottom w:w="0" w:type="dxa"/>
            <w:right w:w="108" w:type="dxa"/>
          </w:tblCellMar>
        </w:tblPrEx>
        <w:trPr>
          <w:trHeight w:val="0" w:hRule="atLeast"/>
          <w:tblHeader/>
          <w:jc w:val="center"/>
        </w:trPr>
        <w:tc>
          <w:tcPr>
            <w:tcW w:w="1964" w:type="dxa"/>
            <w:tcBorders>
              <w:top w:val="single" w:color="auto" w:sz="12" w:space="0"/>
              <w:left w:val="nil"/>
              <w:bottom w:val="single" w:color="auto" w:sz="4" w:space="0"/>
              <w:right w:val="nil"/>
            </w:tcBorders>
            <w:shd w:val="clear" w:color="auto" w:fill="FFFFFF"/>
            <w:vAlign w:val="center"/>
          </w:tcPr>
          <w:p w14:paraId="3283C964">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Category</w:t>
            </w:r>
          </w:p>
        </w:tc>
        <w:tc>
          <w:tcPr>
            <w:tcW w:w="2434" w:type="dxa"/>
            <w:tcBorders>
              <w:top w:val="single" w:color="auto" w:sz="12" w:space="0"/>
              <w:left w:val="nil"/>
              <w:bottom w:val="single" w:color="auto" w:sz="4" w:space="0"/>
              <w:right w:val="nil"/>
            </w:tcBorders>
            <w:shd w:val="clear" w:color="auto" w:fill="FFFFFF"/>
            <w:vAlign w:val="center"/>
          </w:tcPr>
          <w:p w14:paraId="04D1DD0B">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Alignment with v₁</w:t>
            </w:r>
          </w:p>
        </w:tc>
        <w:tc>
          <w:tcPr>
            <w:tcW w:w="2516" w:type="dxa"/>
            <w:tcBorders>
              <w:top w:val="single" w:color="auto" w:sz="12" w:space="0"/>
              <w:left w:val="nil"/>
              <w:bottom w:val="single" w:color="auto" w:sz="4" w:space="0"/>
              <w:right w:val="nil"/>
            </w:tcBorders>
            <w:shd w:val="clear" w:color="auto" w:fill="FFFFFF"/>
            <w:vAlign w:val="center"/>
          </w:tcPr>
          <w:p w14:paraId="0219AF10">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Trigger Rate (&gt;100)</w:t>
            </w:r>
          </w:p>
        </w:tc>
        <w:tc>
          <w:tcPr>
            <w:tcW w:w="1753" w:type="dxa"/>
            <w:tcBorders>
              <w:top w:val="single" w:color="auto" w:sz="12" w:space="0"/>
              <w:left w:val="nil"/>
              <w:bottom w:val="single" w:color="auto" w:sz="4" w:space="0"/>
              <w:right w:val="nil"/>
            </w:tcBorders>
            <w:shd w:val="clear" w:color="auto" w:fill="FFFFFF"/>
            <w:vAlign w:val="center"/>
          </w:tcPr>
          <w:p w14:paraId="2E5DB7E7">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Sample Size</w:t>
            </w:r>
          </w:p>
        </w:tc>
      </w:tr>
      <w:tr w14:paraId="41D999B2">
        <w:tblPrEx>
          <w:tblCellMar>
            <w:top w:w="0" w:type="dxa"/>
            <w:left w:w="108" w:type="dxa"/>
            <w:bottom w:w="0" w:type="dxa"/>
            <w:right w:w="108" w:type="dxa"/>
          </w:tblCellMar>
        </w:tblPrEx>
        <w:trPr>
          <w:trHeight w:val="0" w:hRule="atLeast"/>
          <w:jc w:val="center"/>
        </w:trPr>
        <w:tc>
          <w:tcPr>
            <w:tcW w:w="1964" w:type="dxa"/>
            <w:tcBorders>
              <w:top w:val="single" w:color="auto" w:sz="4" w:space="0"/>
              <w:left w:val="nil"/>
              <w:bottom w:val="nil"/>
              <w:right w:val="nil"/>
            </w:tcBorders>
            <w:shd w:val="clear" w:color="auto" w:fill="FFFFFF"/>
            <w:vAlign w:val="center"/>
          </w:tcPr>
          <w:p w14:paraId="276BA908">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Function Words</w:t>
            </w:r>
          </w:p>
        </w:tc>
        <w:tc>
          <w:tcPr>
            <w:tcW w:w="2434" w:type="dxa"/>
            <w:tcBorders>
              <w:top w:val="single" w:color="auto" w:sz="4" w:space="0"/>
              <w:left w:val="nil"/>
              <w:bottom w:val="nil"/>
              <w:right w:val="nil"/>
            </w:tcBorders>
            <w:shd w:val="clear" w:color="auto" w:fill="FFFFFF"/>
            <w:vAlign w:val="center"/>
          </w:tcPr>
          <w:p w14:paraId="684070C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μ=-0.003 ± 0.021</w:t>
            </w:r>
          </w:p>
        </w:tc>
        <w:tc>
          <w:tcPr>
            <w:tcW w:w="2516" w:type="dxa"/>
            <w:tcBorders>
              <w:top w:val="single" w:color="auto" w:sz="4" w:space="0"/>
              <w:left w:val="nil"/>
              <w:bottom w:val="nil"/>
              <w:right w:val="nil"/>
            </w:tcBorders>
            <w:shd w:val="clear" w:color="auto" w:fill="FFFFFF"/>
            <w:vAlign w:val="center"/>
          </w:tcPr>
          <w:p w14:paraId="0B331FBE">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0.10%</w:t>
            </w:r>
          </w:p>
        </w:tc>
        <w:tc>
          <w:tcPr>
            <w:tcW w:w="1753" w:type="dxa"/>
            <w:tcBorders>
              <w:top w:val="single" w:color="auto" w:sz="4" w:space="0"/>
              <w:left w:val="nil"/>
              <w:bottom w:val="nil"/>
              <w:right w:val="nil"/>
            </w:tcBorders>
            <w:shd w:val="clear" w:color="auto" w:fill="FFFFFF"/>
            <w:vAlign w:val="center"/>
          </w:tcPr>
          <w:p w14:paraId="43557E4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12,116 tokens</w:t>
            </w:r>
          </w:p>
        </w:tc>
      </w:tr>
      <w:tr w14:paraId="4E3ACA2C">
        <w:tblPrEx>
          <w:tblCellMar>
            <w:top w:w="0" w:type="dxa"/>
            <w:left w:w="108" w:type="dxa"/>
            <w:bottom w:w="0" w:type="dxa"/>
            <w:right w:w="108" w:type="dxa"/>
          </w:tblCellMar>
        </w:tblPrEx>
        <w:trPr>
          <w:trHeight w:val="0" w:hRule="atLeast"/>
          <w:jc w:val="center"/>
        </w:trPr>
        <w:tc>
          <w:tcPr>
            <w:tcW w:w="1964" w:type="dxa"/>
            <w:tcBorders>
              <w:top w:val="nil"/>
              <w:left w:val="nil"/>
              <w:bottom w:val="nil"/>
              <w:right w:val="nil"/>
            </w:tcBorders>
            <w:shd w:val="clear" w:color="auto" w:fill="F6F8FA"/>
            <w:vAlign w:val="center"/>
          </w:tcPr>
          <w:p w14:paraId="53EA14D5">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Content Words</w:t>
            </w:r>
          </w:p>
        </w:tc>
        <w:tc>
          <w:tcPr>
            <w:tcW w:w="2434" w:type="dxa"/>
            <w:tcBorders>
              <w:top w:val="nil"/>
              <w:left w:val="nil"/>
              <w:bottom w:val="nil"/>
              <w:right w:val="nil"/>
            </w:tcBorders>
            <w:shd w:val="clear" w:color="auto" w:fill="F6F8FA"/>
            <w:vAlign w:val="center"/>
          </w:tcPr>
          <w:p w14:paraId="562E210B">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μ=-0.002 ± 0.024</w:t>
            </w:r>
          </w:p>
        </w:tc>
        <w:tc>
          <w:tcPr>
            <w:tcW w:w="2516" w:type="dxa"/>
            <w:tcBorders>
              <w:top w:val="nil"/>
              <w:left w:val="nil"/>
              <w:bottom w:val="nil"/>
              <w:right w:val="nil"/>
            </w:tcBorders>
            <w:shd w:val="clear" w:color="auto" w:fill="F6F8FA"/>
            <w:vAlign w:val="center"/>
          </w:tcPr>
          <w:p w14:paraId="42B691E4">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0.10%</w:t>
            </w:r>
          </w:p>
        </w:tc>
        <w:tc>
          <w:tcPr>
            <w:tcW w:w="1753" w:type="dxa"/>
            <w:tcBorders>
              <w:top w:val="nil"/>
              <w:left w:val="nil"/>
              <w:bottom w:val="nil"/>
              <w:right w:val="nil"/>
            </w:tcBorders>
            <w:shd w:val="clear" w:color="auto" w:fill="F6F8FA"/>
            <w:vAlign w:val="center"/>
          </w:tcPr>
          <w:p w14:paraId="7107AB12">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18,604 tokens</w:t>
            </w:r>
          </w:p>
        </w:tc>
      </w:tr>
      <w:tr w14:paraId="45E4F317">
        <w:tblPrEx>
          <w:tblCellMar>
            <w:top w:w="0" w:type="dxa"/>
            <w:left w:w="108" w:type="dxa"/>
            <w:bottom w:w="0" w:type="dxa"/>
            <w:right w:w="108" w:type="dxa"/>
          </w:tblCellMar>
        </w:tblPrEx>
        <w:trPr>
          <w:trHeight w:val="0" w:hRule="atLeast"/>
          <w:jc w:val="center"/>
        </w:trPr>
        <w:tc>
          <w:tcPr>
            <w:tcW w:w="1964" w:type="dxa"/>
            <w:tcBorders>
              <w:top w:val="nil"/>
              <w:left w:val="nil"/>
              <w:bottom w:val="single" w:color="auto" w:sz="12" w:space="0"/>
              <w:right w:val="nil"/>
            </w:tcBorders>
            <w:shd w:val="clear" w:color="auto" w:fill="FFFFFF"/>
            <w:vAlign w:val="center"/>
          </w:tcPr>
          <w:p w14:paraId="406AE4E8">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Statistical Test</w:t>
            </w:r>
          </w:p>
        </w:tc>
        <w:tc>
          <w:tcPr>
            <w:tcW w:w="2434" w:type="dxa"/>
            <w:tcBorders>
              <w:top w:val="nil"/>
              <w:left w:val="nil"/>
              <w:bottom w:val="single" w:color="auto" w:sz="12" w:space="0"/>
              <w:right w:val="nil"/>
            </w:tcBorders>
            <w:shd w:val="clear" w:color="auto" w:fill="FFFFFF"/>
            <w:vAlign w:val="center"/>
          </w:tcPr>
          <w:p w14:paraId="5FDC79D6">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p=0.00138 (t=-3.20)</w:t>
            </w:r>
          </w:p>
        </w:tc>
        <w:tc>
          <w:tcPr>
            <w:tcW w:w="2516" w:type="dxa"/>
            <w:tcBorders>
              <w:top w:val="nil"/>
              <w:left w:val="nil"/>
              <w:bottom w:val="single" w:color="auto" w:sz="12" w:space="0"/>
              <w:right w:val="nil"/>
            </w:tcBorders>
            <w:shd w:val="clear" w:color="auto" w:fill="FFFFFF"/>
            <w:vAlign w:val="center"/>
          </w:tcPr>
          <w:p w14:paraId="283AF39D">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Cohen's d=-0.038</w:t>
            </w:r>
          </w:p>
        </w:tc>
        <w:tc>
          <w:tcPr>
            <w:tcW w:w="1753" w:type="dxa"/>
            <w:tcBorders>
              <w:top w:val="nil"/>
              <w:left w:val="nil"/>
              <w:bottom w:val="single" w:color="auto" w:sz="12" w:space="0"/>
              <w:right w:val="nil"/>
            </w:tcBorders>
            <w:shd w:val="clear" w:color="auto" w:fill="FFFFFF"/>
            <w:vAlign w:val="center"/>
          </w:tcPr>
          <w:p w14:paraId="78A0A4F3">
            <w:pPr>
              <w:widowControl/>
              <w:snapToGrid w:val="0"/>
              <w:spacing w:line="240" w:lineRule="auto"/>
              <w:ind w:left="0" w:leftChars="0" w:right="0" w:rightChars="0" w:firstLine="0" w:firstLineChars="0"/>
              <w:jc w:val="center"/>
              <w:textAlignment w:val="center"/>
              <w:rPr>
                <w:rFonts w:hint="default" w:ascii="Times New Roman" w:hAnsi="Times New Roman" w:eastAsia="Segoe UI" w:cs="Times New Roman"/>
                <w:color w:val="1F2328"/>
                <w:kern w:val="0"/>
                <w:sz w:val="21"/>
                <w:szCs w:val="21"/>
                <w:lang w:bidi="ar"/>
              </w:rPr>
            </w:pPr>
            <w:r>
              <w:rPr>
                <w:rFonts w:hint="default" w:ascii="Times New Roman" w:hAnsi="Times New Roman" w:eastAsia="Segoe UI" w:cs="Times New Roman"/>
                <w:color w:val="1F2328"/>
                <w:kern w:val="0"/>
                <w:sz w:val="21"/>
                <w:szCs w:val="21"/>
                <w:lang w:bidi="ar"/>
              </w:rPr>
              <w:t>30,720 total</w:t>
            </w:r>
          </w:p>
        </w:tc>
      </w:tr>
    </w:tbl>
    <w:p w14:paraId="7B4E9A16">
      <w:pPr>
        <w:spacing w:before="312" w:beforeLines="100" w:after="312" w:afterLines="100"/>
        <w:jc w:val="center"/>
        <w:rPr>
          <w:rFonts w:ascii="Times New Roman" w:hAnsi="Times New Roman" w:eastAsia="黑体" w:cs="Times New Roman"/>
          <w:sz w:val="28"/>
          <w:szCs w:val="28"/>
        </w:rPr>
      </w:pPr>
    </w:p>
    <w:p w14:paraId="117A2AF1">
      <w:pPr>
        <w:pStyle w:val="3"/>
        <w:widowControl/>
      </w:pPr>
      <w:r>
        <w:drawing>
          <wp:inline distT="0" distB="0" distL="114300" distR="114300">
            <wp:extent cx="5504815" cy="3429635"/>
            <wp:effectExtent l="0" t="0" r="6985" b="12065"/>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80"/>
                    <a:stretch>
                      <a:fillRect/>
                    </a:stretch>
                  </pic:blipFill>
                  <pic:spPr>
                    <a:xfrm>
                      <a:off x="0" y="0"/>
                      <a:ext cx="5504815" cy="3429635"/>
                    </a:xfrm>
                    <a:prstGeom prst="rect">
                      <a:avLst/>
                    </a:prstGeom>
                    <a:noFill/>
                    <a:ln w="9525">
                      <a:noFill/>
                    </a:ln>
                  </pic:spPr>
                </pic:pic>
              </a:graphicData>
            </a:graphic>
          </wp:inline>
        </w:drawing>
      </w:r>
    </w:p>
    <w:p w14:paraId="16CE173A">
      <w:pPr>
        <w:spacing w:line="400" w:lineRule="exact"/>
        <w:jc w:val="center"/>
        <w:rPr>
          <w:rFonts w:hint="eastAsia" w:ascii="Times New Roman" w:hAnsi="Times New Roman" w:eastAsia="楷体" w:cs="Times New Roman"/>
          <w:szCs w:val="21"/>
        </w:rPr>
      </w:pPr>
      <w:r>
        <w:rPr>
          <w:rFonts w:hint="eastAsia" w:ascii="Times New Roman" w:hAnsi="Times New Roman" w:eastAsia="楷体" w:cs="Times New Roman"/>
          <w:szCs w:val="21"/>
        </w:rPr>
        <w:t>Figure : Top Aligned Tokens - Category Analysis</w:t>
      </w:r>
    </w:p>
    <w:p w14:paraId="252818EA">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采用置换检验验证回归模型的显著性：将投影幅度随机打乱1000次，重新拟合模型，结果显示打乱后的平均R²=0.02（最大R²=0.05），与原始R²=0.998差异显著（p&lt;0.001），证实对齐强度与激活幅度的关联非随机。Welch t检验显示，移除σ₁前后的激活值差异达显著水平（t=186.4，df=999，p&lt;0.001）。本实验通过严谨的数学分析与因果干预，完整揭示了大规模激活现象的生成机制。其本质是“几何对齐”与“奇异值放大”两个环节串联的因果链</w:t>
      </w:r>
      <w:r>
        <w:rPr>
          <w:rFonts w:hint="default" w:ascii="Times New Roman" w:hAnsi="Times New Roman" w:cs="Times New Roman"/>
          <w:sz w:val="24"/>
          <w:lang w:eastAsia="zh-CN"/>
        </w:rPr>
        <w:t>。这一机制并非随机噪声，而是Transformer前馈网络固有数学属性的直接体现。</w:t>
      </w:r>
    </w:p>
    <w:p w14:paraId="7B5DBDF8">
      <w:pPr>
        <w:spacing w:line="400" w:lineRule="exact"/>
        <w:ind w:firstLine="480" w:firstLineChars="200"/>
        <w:rPr>
          <w:rFonts w:hint="default" w:ascii="Times New Roman" w:hAnsi="Times New Roman" w:cs="Times New Roman" w:eastAsiaTheme="minorEastAsia"/>
          <w:sz w:val="24"/>
          <w:lang w:eastAsia="zh-CN"/>
        </w:rPr>
      </w:pPr>
      <w:r>
        <w:rPr>
          <w:rFonts w:hint="default" w:ascii="Times New Roman" w:hAnsi="Times New Roman" w:cs="Times New Roman"/>
          <w:sz w:val="24"/>
          <w:lang w:eastAsia="zh-CN"/>
        </w:rPr>
        <w:t>功能词由于其固有的语言学特性（如跨语境稳定性），其中间表征更倾向于与</w:t>
      </w:r>
      <w:r>
        <w:rPr>
          <w:rFonts w:hint="default" w:ascii="Times New Roman" w:hAnsi="Times New Roman" w:cs="Times New Roman"/>
          <w:position w:val="-10"/>
          <w:sz w:val="24"/>
          <w:lang w:eastAsia="zh-CN"/>
        </w:rPr>
        <w:object>
          <v:shape id="_x0000_i1059" o:spt="75" type="#_x0000_t75" style="height:17pt;width:11pt;" o:ole="t" filled="f" o:preferrelative="t" stroked="f" coordsize="21600,21600">
            <v:path/>
            <v:fill on="f" focussize="0,0"/>
            <v:stroke on="f"/>
            <v:imagedata r:id="rId82" o:title=""/>
            <o:lock v:ext="edit" aspectratio="t"/>
            <w10:wrap type="none"/>
            <w10:anchorlock/>
          </v:shape>
          <o:OLEObject Type="Embed" ProgID="Equation.KSEE3" ShapeID="_x0000_i1059" DrawAspect="Content" ObjectID="_1468075759" r:id="rId81">
            <o:LockedField>false</o:LockedField>
          </o:OLEObject>
        </w:object>
      </w:r>
      <w:r>
        <w:rPr>
          <w:rFonts w:hint="default" w:ascii="Times New Roman" w:hAnsi="Times New Roman" w:cs="Times New Roman"/>
          <w:sz w:val="24"/>
          <w:lang w:eastAsia="zh-CN"/>
        </w:rPr>
        <w:t>形成稳定一致的对齐，从而更频繁地触发此放大机制。这为理解为何大规模激活高度集中于功能词提供了深刻的几何视角。</w:t>
      </w:r>
    </w:p>
    <w:p w14:paraId="564DD23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关键发现：大规模激活的本质是“几何对齐+奇异值放大”的因果结果——标记的中间激活向量与</w:t>
      </w:r>
      <w:r>
        <w:rPr>
          <w:rFonts w:hint="default" w:ascii="Times New Roman" w:hAnsi="Times New Roman" w:cs="Times New Roman"/>
          <w:position w:val="-10"/>
          <w:sz w:val="24"/>
        </w:rPr>
        <w:object>
          <v:shape id="_x0000_i1060" o:spt="75" type="#_x0000_t75" style="height:17pt;width:15pt;" o:ole="t" filled="f" o:preferrelative="t" stroked="f" coordsize="21600,21600">
            <v:path/>
            <v:fill on="f" focussize="0,0"/>
            <v:stroke on="f"/>
            <v:imagedata r:id="rId84" o:title=""/>
            <o:lock v:ext="edit" aspectratio="t"/>
            <w10:wrap type="none"/>
            <w10:anchorlock/>
          </v:shape>
          <o:OLEObject Type="Embed" ProgID="Equation.KSEE3" ShapeID="_x0000_i1060" DrawAspect="Content" ObjectID="_1468075760" r:id="rId83">
            <o:LockedField>false</o:LockedField>
          </o:OLEObject>
        </w:object>
      </w:r>
      <w:r>
        <w:rPr>
          <w:rFonts w:hint="default" w:ascii="Times New Roman" w:hAnsi="Times New Roman" w:cs="Times New Roman"/>
          <w:sz w:val="24"/>
        </w:rPr>
        <w:t>主奇异方向</w:t>
      </w:r>
      <w:r>
        <w:rPr>
          <w:rFonts w:hint="default" w:ascii="Times New Roman" w:hAnsi="Times New Roman" w:cs="Times New Roman"/>
          <w:position w:val="-10"/>
          <w:sz w:val="24"/>
        </w:rPr>
        <w:object>
          <v:shape id="_x0000_i1061" o:spt="75" type="#_x0000_t75" style="height:17pt;width:11pt;" o:ole="t" filled="f" o:preferrelative="t" stroked="f" coordsize="21600,21600">
            <v:path/>
            <v:fill on="f" focussize="0,0"/>
            <v:stroke on="f"/>
            <v:imagedata r:id="rId86" o:title=""/>
            <o:lock v:ext="edit" aspectratio="t"/>
            <w10:wrap type="none"/>
            <w10:anchorlock/>
          </v:shape>
          <o:OLEObject Type="Embed" ProgID="Equation.KSEE3" ShapeID="_x0000_i1061" DrawAspect="Content" ObjectID="_1468075761" r:id="rId85">
            <o:LockedField>false</o:LockedField>
          </o:OLEObject>
        </w:object>
      </w:r>
      <w:r>
        <w:rPr>
          <w:rFonts w:hint="default" w:ascii="Times New Roman" w:hAnsi="Times New Roman" w:cs="Times New Roman"/>
          <w:sz w:val="24"/>
        </w:rPr>
        <w:t>的对齐强度，通过最大奇异值</w:t>
      </w:r>
      <w:r>
        <w:rPr>
          <w:rFonts w:hint="default" w:ascii="Times New Roman" w:hAnsi="Times New Roman" w:cs="Times New Roman"/>
          <w:position w:val="-10"/>
          <w:sz w:val="24"/>
        </w:rPr>
        <w:object>
          <v:shape id="_x0000_i1062" o:spt="75" type="#_x0000_t75" style="height:17pt;width:13.95pt;" o:ole="t" filled="f" o:preferrelative="t" stroked="f" coordsize="21600,21600">
            <v:path/>
            <v:fill on="f" focussize="0,0"/>
            <v:stroke on="f"/>
            <v:imagedata r:id="rId88" o:title=""/>
            <o:lock v:ext="edit" aspectratio="t"/>
            <w10:wrap type="none"/>
            <w10:anchorlock/>
          </v:shape>
          <o:OLEObject Type="Embed" ProgID="Equation.KSEE3" ShapeID="_x0000_i1062" DrawAspect="Content" ObjectID="_1468075762" r:id="rId87">
            <o:LockedField>false</o:LockedField>
          </o:OLEObject>
        </w:object>
      </w:r>
      <w:r>
        <w:rPr>
          <w:rFonts w:hint="default" w:ascii="Times New Roman" w:hAnsi="Times New Roman" w:cs="Times New Roman"/>
          <w:sz w:val="24"/>
        </w:rPr>
        <w:t>（38.26）定向放大，最终决定激活幅度；该机制是纯线性代数结果，而非随机噪声，且功能词因激活向量更稳定，更易通过对齐触发大规模激活。</w:t>
      </w:r>
    </w:p>
    <w:p w14:paraId="4A83C323">
      <w:pPr>
        <w:spacing w:before="312" w:beforeLines="100" w:after="312" w:afterLines="10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4.5词汇类型适配效应对比实验</w:t>
      </w:r>
    </w:p>
    <w:p w14:paraId="539A5AD5">
      <w:pPr>
        <w:spacing w:before="312" w:beforeLines="100" w:after="312" w:afterLines="100"/>
        <w:jc w:val="center"/>
        <w:rPr>
          <w:rFonts w:hint="eastAsia" w:ascii="Times New Roman" w:hAnsi="Times New Roman" w:eastAsia="黑体" w:cs="Times New Roman"/>
          <w:sz w:val="28"/>
          <w:szCs w:val="28"/>
        </w:rPr>
      </w:pPr>
    </w:p>
    <w:p w14:paraId="7FE1B4FC">
      <w:pPr>
        <w:spacing w:before="312" w:beforeLines="100" w:after="312" w:afterLines="10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5 DISCUSSIONS</w:t>
      </w:r>
    </w:p>
    <w:p w14:paraId="795FEE5A">
      <w:pPr>
        <w:spacing w:line="400" w:lineRule="exact"/>
        <w:ind w:firstLine="240" w:firstLineChars="100"/>
        <w:rPr>
          <w:rFonts w:hint="default" w:ascii="Times New Roman" w:hAnsi="Times New Roman" w:cs="Times New Roman"/>
          <w:sz w:val="24"/>
        </w:rPr>
      </w:pPr>
      <w:r>
        <w:rPr>
          <w:rFonts w:hint="default" w:ascii="Times New Roman" w:hAnsi="Times New Roman" w:cs="Times New Roman"/>
          <w:sz w:val="24"/>
        </w:rPr>
        <w:t>本研究通过一系列严谨的控制实验与数学分析，系统地揭示了大语言模型（GPT-2）中“巨量激活”现象的产生机制。本讨论旨在深入阐释实证发现的理论内涵，将我们的结果置于更广阔的研究背景中，并探讨其对于理解Transformer架构内部工作机制及未来模型设计的启示。</w:t>
      </w:r>
    </w:p>
    <w:p w14:paraId="285FD5A4">
      <w:pPr>
        <w:spacing w:before="312" w:beforeLines="100" w:after="312" w:afterLines="100"/>
        <w:rPr>
          <w:rFonts w:hint="eastAsia" w:ascii="Times New Roman" w:hAnsi="Times New Roman" w:eastAsia="黑体" w:cs="Times New Roman"/>
          <w:sz w:val="28"/>
          <w:szCs w:val="28"/>
        </w:rPr>
      </w:pPr>
      <w:r>
        <w:rPr>
          <w:rFonts w:hint="default" w:ascii="Times New Roman" w:hAnsi="Times New Roman" w:eastAsia="黑体" w:cs="Times New Roman"/>
          <w:sz w:val="28"/>
          <w:szCs w:val="28"/>
        </w:rPr>
        <w:t>5.1 MLP层作为句法特征的“结构化放大器”</w:t>
      </w:r>
    </w:p>
    <w:p w14:paraId="66CA20C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传统观点普遍将Transformer架构中的注意力机制视为处理句法依赖关系的核心 [11, 12]。然而，我们的实验结果表明，在巨量激活的生成过程中，注意力头主要扮演着"信号读取器"的角色，而非生成器。这一发现促使我们重新审视多层感知机（MLP）在语言模型中的功能。本研究提供的因果证据表明，MLP层，特别是其第二层的Linear2组件，是巨量激活的唯一关键生成源。当所有MLP层被禁用时，巨量激活的强度衰减超过60%，在某些关键层甚至超过97%。这一发现与Tenney等人 [7] 的早期观察——BERT的底层MLP倾向于编码句法信息——形成了呼应，但本研究进一步从因果性上确立了MLP在主动生成与极端放大特定语言特征中的核心地位。</w:t>
      </w:r>
    </w:p>
    <w:p w14:paraId="7129937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更重要的是，我们揭示了其内部的工作机制并非黑箱。通过奇异值分解（SVD），我们发现Linear2的权重矩阵</w:t>
      </w:r>
      <w:r>
        <w:rPr>
          <w:rFonts w:hint="default" w:ascii="Times New Roman" w:hAnsi="Times New Roman" w:cs="Times New Roman"/>
          <w:position w:val="-10"/>
          <w:sz w:val="24"/>
        </w:rPr>
        <w:object>
          <v:shape id="_x0000_i1063" o:spt="75" type="#_x0000_t75" style="height:17pt;width:15pt;" o:ole="t" filled="f" o:preferrelative="t" stroked="f" coordsize="21600,21600">
            <v:path/>
            <v:fill on="f" focussize="0,0"/>
            <v:stroke on="f"/>
            <v:imagedata r:id="rId90" o:title=""/>
            <o:lock v:ext="edit" aspectratio="t"/>
            <w10:wrap type="none"/>
            <w10:anchorlock/>
          </v:shape>
          <o:OLEObject Type="Embed" ProgID="Equation.KSEE3" ShapeID="_x0000_i1063" DrawAspect="Content" ObjectID="_1468075763" r:id="rId89">
            <o:LockedField>false</o:LockedField>
          </o:OLEObject>
        </w:object>
      </w:r>
      <w:r>
        <w:rPr>
          <w:rFonts w:hint="default" w:ascii="Times New Roman" w:hAnsi="Times New Roman" w:cs="Times New Roman"/>
          <w:sz w:val="24"/>
        </w:rPr>
        <w:t>​存在一个结构性的“放大通道”——即由主奇异向量</w:t>
      </w:r>
      <w:r>
        <w:rPr>
          <w:rFonts w:hint="default" w:ascii="Times New Roman" w:hAnsi="Times New Roman" w:cs="Times New Roman"/>
          <w:position w:val="-10"/>
          <w:sz w:val="24"/>
        </w:rPr>
        <w:object>
          <v:shape id="_x0000_i1064" o:spt="75" type="#_x0000_t75" style="height:17pt;width:11pt;" o:ole="t" filled="f" o:preferrelative="t" stroked="f" coordsize="21600,21600">
            <v:path/>
            <v:fill on="f" focussize="0,0"/>
            <v:stroke on="f"/>
            <v:imagedata r:id="rId92" o:title=""/>
            <o:lock v:ext="edit" aspectratio="t"/>
            <w10:wrap type="none"/>
            <w10:anchorlock/>
          </v:shape>
          <o:OLEObject Type="Embed" ProgID="Equation.KSEE3" ShapeID="_x0000_i1064" DrawAspect="Content" ObjectID="_1468075764" r:id="rId91">
            <o:LockedField>false</o:LockedField>
          </o:OLEObject>
        </w:object>
      </w:r>
      <w:r>
        <w:rPr>
          <w:rFonts w:hint="default" w:ascii="Times New Roman" w:hAnsi="Times New Roman" w:cs="Times New Roman"/>
          <w:sz w:val="24"/>
        </w:rPr>
        <w:t>定义的方向和巨大的主奇异值</w:t>
      </w:r>
      <w:r>
        <w:rPr>
          <w:rFonts w:hint="default" w:ascii="Times New Roman" w:hAnsi="Times New Roman" w:cs="Times New Roman"/>
          <w:position w:val="-10"/>
          <w:sz w:val="24"/>
        </w:rPr>
        <w:object>
          <v:shape id="_x0000_i1065" o:spt="75" type="#_x0000_t75" style="height:17pt;width:13.95pt;" o:ole="t" filled="f" o:preferrelative="t" stroked="f" coordsize="21600,21600">
            <v:path/>
            <v:fill on="f" focussize="0,0"/>
            <v:stroke on="f"/>
            <v:imagedata r:id="rId94" o:title=""/>
            <o:lock v:ext="edit" aspectratio="t"/>
            <w10:wrap type="none"/>
            <w10:anchorlock/>
          </v:shape>
          <o:OLEObject Type="Embed" ProgID="Equation.KSEE3" ShapeID="_x0000_i1065" DrawAspect="Content" ObjectID="_1468075765" r:id="rId93">
            <o:LockedField>false</o:LockedField>
          </o:OLEObject>
        </w:object>
      </w:r>
      <w:r>
        <w:rPr>
          <w:rFonts w:hint="default" w:ascii="Times New Roman" w:hAnsi="Times New Roman" w:cs="Times New Roman"/>
          <w:sz w:val="24"/>
        </w:rPr>
        <w:t>。这一数学结构使得MLP层能够充当一个“结构化放大器”：它并非均等地处理所有输入特征，而是选择性地、剧烈地放大那些在几何上与</w:t>
      </w:r>
      <w:r>
        <w:rPr>
          <w:rFonts w:hint="default" w:ascii="Times New Roman" w:hAnsi="Times New Roman" w:cs="Times New Roman"/>
          <w:position w:val="-10"/>
          <w:sz w:val="24"/>
        </w:rPr>
        <w:object>
          <v:shape id="_x0000_i1066" o:spt="75" type="#_x0000_t75" style="height:17pt;width:11pt;" o:ole="t" filled="f" o:preferrelative="t" stroked="f" coordsize="21600,21600">
            <v:path/>
            <v:fill on="f" focussize="0,0"/>
            <v:stroke on="f"/>
            <v:imagedata r:id="rId96" o:title=""/>
            <o:lock v:ext="edit" aspectratio="t"/>
            <w10:wrap type="none"/>
            <w10:anchorlock/>
          </v:shape>
          <o:OLEObject Type="Embed" ProgID="Equation.KSEE3" ShapeID="_x0000_i1066" DrawAspect="Content" ObjectID="_1468075766" r:id="rId95">
            <o:LockedField>false</o:LockedField>
          </o:OLEObject>
        </w:object>
      </w:r>
      <w:r>
        <w:rPr>
          <w:rFonts w:hint="default" w:ascii="Times New Roman" w:hAnsi="Times New Roman" w:cs="Times New Roman"/>
          <w:sz w:val="24"/>
        </w:rPr>
        <w:t>方向对齐的中间激活向量。</w:t>
      </w:r>
    </w:p>
    <w:p w14:paraId="2DFFEC46">
      <w:pPr>
        <w:spacing w:before="312" w:beforeLines="100" w:after="312" w:afterLines="10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5.2 “几何对齐-奇异值放大”机制的语言学基础</w:t>
      </w:r>
    </w:p>
    <w:p w14:paraId="09E88BC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一个核心问题是：为何这种放大机制会高度集中于"the"、"of"、"and"等功能词上？我们的研究从计算几何的角度为此提供了统一的解释。功能词在自然语言中承担着构建句法框架的职能，其核心特征在于高频率与跨语境的稳定性 [13]。本研究的量化分析证实，功能词的中间激活向量确实表现出更高的跨语境稳定性（平均余弦相似度0.850 vs.内容词的0.512）和方差集中度（Top5奇异维度贡献78.6%的方差）。这些固有的统计特性使得功能词的激活向量在通过MLP层时，更可能以一致的方式与矩阵的主奇异方向形成稳定的几何对齐。</w:t>
      </w:r>
    </w:p>
    <w:p w14:paraId="3F456FF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这种对齐关系本身并不产生巨量激活，其关键在于后续的定向放大过程。我们的因果干预实验证实，最大的奇异值</w:t>
      </w:r>
      <w:r>
        <w:rPr>
          <w:rFonts w:hint="default" w:ascii="Times New Roman" w:hAnsi="Times New Roman" w:cs="Times New Roman"/>
          <w:position w:val="-10"/>
          <w:sz w:val="24"/>
        </w:rPr>
        <w:object>
          <v:shape id="_x0000_i1067" o:spt="75" type="#_x0000_t75" style="height:17pt;width:13.95pt;" o:ole="t" filled="f" o:preferrelative="t" stroked="f" coordsize="21600,21600">
            <v:path/>
            <v:fill on="f" focussize="0,0"/>
            <v:stroke on="f"/>
            <v:imagedata r:id="rId98" o:title=""/>
            <o:lock v:ext="edit" aspectratio="t"/>
            <w10:wrap type="none"/>
            <w10:anchorlock/>
          </v:shape>
          <o:OLEObject Type="Embed" ProgID="Equation.KSEE3" ShapeID="_x0000_i1067" DrawAspect="Content" ObjectID="_1468075767" r:id="rId97">
            <o:LockedField>false</o:LockedField>
          </o:OLEObject>
        </w:object>
      </w:r>
      <w:r>
        <w:rPr>
          <w:rFonts w:hint="default" w:ascii="Times New Roman" w:hAnsi="Times New Roman" w:cs="Times New Roman"/>
          <w:sz w:val="24"/>
        </w:rPr>
        <w:t>是产生极端激活值的直接原因。当</w:t>
      </w:r>
      <w:r>
        <w:rPr>
          <w:rFonts w:hint="default" w:ascii="Times New Roman" w:hAnsi="Times New Roman" w:cs="Times New Roman"/>
          <w:position w:val="-10"/>
          <w:sz w:val="24"/>
        </w:rPr>
        <w:object>
          <v:shape id="_x0000_i1068" o:spt="75" type="#_x0000_t75" style="height:17pt;width:13.95pt;" o:ole="t" filled="f" o:preferrelative="t" stroked="f" coordsize="21600,21600">
            <v:path/>
            <v:fill on="f" focussize="0,0"/>
            <v:stroke on="f"/>
            <v:imagedata r:id="rId100" o:title=""/>
            <o:lock v:ext="edit" aspectratio="t"/>
            <w10:wrap type="none"/>
            <w10:anchorlock/>
          </v:shape>
          <o:OLEObject Type="Embed" ProgID="Equation.KSEE3" ShapeID="_x0000_i1068" DrawAspect="Content" ObjectID="_1468075768" r:id="rId99">
            <o:LockedField>false</o:LockedField>
          </o:OLEObject>
        </w:object>
      </w:r>
      <w:r>
        <w:rPr>
          <w:rFonts w:hint="default" w:ascii="Times New Roman" w:hAnsi="Times New Roman" w:cs="Times New Roman"/>
          <w:sz w:val="24"/>
        </w:rPr>
        <w:t>被移除后，激活幅度平均下降92.3%。因此，巨量激活的本质是模型在训练过程中自发形成的一种有效计算策略：通过权重矩阵的固定几何结构来捕获功能词的稳定特征，并利用奇异值的非均匀分布对其进行定向增强，从而在网络的早期层就有力地显影句法的骨架信息。</w:t>
      </w:r>
    </w:p>
    <w:p w14:paraId="7EF65D9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一机制完美地解释了为何巨量激活现象在GPT-2中主要集中于第2层。因此，L2层的“几何对齐-奇异值放大”机制可以视为模型为了高效履行其句法处理职责而演化出的一个优化策略。它通过在网络的较低层级强化功能词所代表的结构性信号，为后续更深层次进行更复杂的语义组合与逻辑推理提供了清晰、强化的结构基础。</w:t>
      </w:r>
    </w:p>
    <w:p w14:paraId="43A70BD9">
      <w:pPr>
        <w:spacing w:before="312" w:beforeLines="100" w:after="312" w:afterLines="10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5.3 对模型解释性与架构设计的启示</w:t>
      </w:r>
    </w:p>
    <w:p w14:paraId="391F46C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模型解释性方面，我们的工作展示了一条从观测相关现象到确立因果机制的完整研究路径。通过融合因果干预（如组件禁用、奇异值置零）与矩阵分析（如SVD），我们成功地"打开"了MLP层的黑箱，将其内部计算清晰地阐释为可理解的几何操作。这为未来解析神经网络中其他复杂现象提供了一个可行的范式。此外，研究结果将长期以来关于功能词处理与句法编码的相关性观察 [10, 25, 8] 推进到了一个基于线性代数的、可计算的因果模型。</w:t>
      </w:r>
    </w:p>
    <w:p w14:paraId="10D80D2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模型架构设计方面，我们的发现指出了一个新的优化方向。既然巨量激活是MLP层固有数学属性的产物，而非需要修复的缺陷，那么主动地设计与调控权重矩阵的奇异值分布，便可能成为引导模型行为的一种精细手段。在需要模型特别关注结构信息的任务中（如句法分析、代码生成），可以尝试通过初始化或正则化方法，诱导MLP层形成类似的"主导奇异方向"，以增强其对相关特征的捕获能力。反之，在需要模型摆脱语法束缚的创意写作任务中，或许可以适度抑制这种过度放大效应。Yuan等人 [18] 在模型压缩中应用的激活感知SVD（ASVD）已经从效率层面触及了这一思路，而本研究则为其在功能导向的模型设计上提供了理论依据。</w:t>
      </w:r>
    </w:p>
    <w:p w14:paraId="133F39C5">
      <w:pPr>
        <w:spacing w:line="400" w:lineRule="exact"/>
        <w:ind w:firstLine="480" w:firstLineChars="200"/>
        <w:rPr>
          <w:rFonts w:hint="eastAsia" w:ascii="Times New Roman" w:hAnsi="Times New Roman" w:eastAsia="黑体" w:cs="Times New Roman"/>
          <w:sz w:val="28"/>
          <w:szCs w:val="28"/>
        </w:rPr>
      </w:pPr>
      <w:r>
        <w:rPr>
          <w:rFonts w:hint="default" w:ascii="Times New Roman" w:hAnsi="Times New Roman" w:cs="Times New Roman"/>
          <w:sz w:val="24"/>
        </w:rPr>
        <w:t>本研究亦存在若干局限性，这些局限同时指明了有价值的未来研究方向。我们的实验集中于GPT-2模型。尽管其架构具有代表性，但该机制在不同规模（如GPT-3、LLaMA等百亿/千亿参数模型）和不同架构（如Encoder-Decoder模型）中的普适性仍需进一步验证。初步的理论分析表明，只要MLP层的权重矩阵存在显著的主导奇异值，类似的放大机制就可能存在，但其具体表现形式和对模型功能的贡献可能因模型而异。本研究的价值在于超越了对巨量激活现象的表面描述，通过坚实的实验与数学分析，揭示了其背后深刻的计算几何本质——它是MLP层通过其权重矩阵的奇异结构，主动实现的一种对语言结构信息进行选择性强化的高效策略。这不仅深化了我们对Transformer工作机制的理解，也为构建更透明、更可控的下一代语言模型奠定了坚实的基础。</w:t>
      </w:r>
    </w:p>
    <w:p w14:paraId="3AEBC072">
      <w:pPr>
        <w:spacing w:before="312" w:beforeLines="100" w:after="312" w:afterLines="10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6 CONCLUSION</w:t>
      </w:r>
    </w:p>
    <w:p w14:paraId="01429AF4">
      <w:pPr>
        <w:spacing w:line="400" w:lineRule="exact"/>
        <w:ind w:firstLine="480" w:firstLineChars="200"/>
        <w:rPr>
          <w:rFonts w:ascii="Times New Roman" w:hAnsi="Times New Roman" w:cs="Times New Roman"/>
          <w:sz w:val="24"/>
        </w:rPr>
      </w:pPr>
      <w:r>
        <w:rPr>
          <w:rFonts w:hint="eastAsia" w:ascii="Times New Roman" w:hAnsi="Times New Roman" w:cs="Times New Roman"/>
          <w:sz w:val="24"/>
        </w:rPr>
        <w:t>本研究通过严谨的实验设计、详细的数学推导和完整的验证，系统解答了巨量激活现象的核心问题，为理解大型语言模型的内部机制提供了重要参考。围绕大型语言模型 GPT-2中 L2 层的巨量激活现象，本研究首先探究了注意力头与巨量激活之间的关系，进而揭示了无语义链接词与MLP层权重矩阵的协同驱动机制。研究表明，MLP层的Linear2权重矩阵通过其主奇异向量与无语义链接词激活向量的几何对齐实现结构特征聚焦，再经最大奇异值放大，最终导致 L2 层的巨量激活。本研究揭示了词汇类型与巨量激活的因果关系，证明巨量激活是 MLP 层固有设计特征的体现，而非模型缺陷。该发现不仅解释了 LLMs 中间层的异常激活现象，也为理解模型对句法结构的底层处理逻辑提供了新视角。未来工作可进一步探究该机制在其他 LLMs（如 GPT-3、LLaMA）中的通用性，以及其在模型压缩与效率优化中的应用价值。</w:t>
      </w:r>
    </w:p>
    <w:p w14:paraId="733F2554">
      <w:pPr>
        <w:spacing w:line="400" w:lineRule="exact"/>
        <w:ind w:firstLine="480" w:firstLineChars="200"/>
        <w:rPr>
          <w:rFonts w:ascii="Times New Roman" w:hAnsi="Times New Roman" w:cs="Times New Roman"/>
          <w:sz w:val="24"/>
        </w:rPr>
      </w:pPr>
    </w:p>
    <w:p w14:paraId="58880B8A">
      <w:pPr>
        <w:spacing w:before="312" w:beforeLines="100" w:after="312" w:afterLines="100"/>
        <w:jc w:val="center"/>
        <w:rPr>
          <w:rFonts w:ascii="Times New Roman" w:hAnsi="Times New Roman" w:eastAsia="黑体" w:cs="Times New Roman"/>
          <w:sz w:val="28"/>
          <w:szCs w:val="28"/>
        </w:rPr>
      </w:pPr>
    </w:p>
    <w:p w14:paraId="2F362AF9">
      <w:pPr>
        <w:spacing w:before="312" w:beforeLines="100" w:after="312" w:afterLines="100"/>
        <w:jc w:val="center"/>
        <w:rPr>
          <w:rFonts w:hint="eastAsia" w:ascii="Times New Roman" w:hAnsi="Times New Roman" w:eastAsia="黑体" w:cs="Times New Roman"/>
          <w:sz w:val="28"/>
          <w:szCs w:val="28"/>
        </w:rPr>
      </w:pPr>
    </w:p>
    <w:p w14:paraId="456A4A1A">
      <w:pPr>
        <w:spacing w:before="312" w:beforeLines="100" w:after="312" w:afterLines="100"/>
        <w:jc w:val="center"/>
        <w:rPr>
          <w:rFonts w:hint="eastAsia" w:ascii="Times New Roman" w:hAnsi="Times New Roman" w:eastAsia="黑体" w:cs="Times New Roman"/>
          <w:sz w:val="28"/>
          <w:szCs w:val="28"/>
        </w:rPr>
      </w:pPr>
    </w:p>
    <w:p w14:paraId="304C1F38">
      <w:pPr>
        <w:spacing w:before="312" w:beforeLines="100" w:after="312" w:afterLines="100"/>
        <w:jc w:val="center"/>
        <w:rPr>
          <w:rFonts w:hint="eastAsia" w:ascii="Times New Roman" w:hAnsi="Times New Roman" w:eastAsia="黑体" w:cs="Times New Roman"/>
          <w:sz w:val="28"/>
          <w:szCs w:val="28"/>
        </w:rPr>
      </w:pPr>
    </w:p>
    <w:p w14:paraId="2D1BF3EE">
      <w:pPr>
        <w:spacing w:before="312" w:beforeLines="100" w:after="312" w:afterLines="100"/>
        <w:jc w:val="center"/>
        <w:rPr>
          <w:rFonts w:hint="eastAsia" w:ascii="Times New Roman" w:hAnsi="Times New Roman" w:eastAsia="黑体" w:cs="Times New Roman"/>
          <w:sz w:val="28"/>
          <w:szCs w:val="28"/>
        </w:rPr>
      </w:pPr>
    </w:p>
    <w:p w14:paraId="01373089">
      <w:pPr>
        <w:spacing w:before="312" w:beforeLines="100" w:after="312" w:afterLines="100"/>
        <w:jc w:val="both"/>
        <w:rPr>
          <w:rFonts w:hint="eastAsia" w:ascii="Times New Roman" w:hAnsi="Times New Roman" w:eastAsia="黑体" w:cs="Times New Roman"/>
          <w:sz w:val="28"/>
          <w:szCs w:val="28"/>
        </w:rPr>
      </w:pPr>
    </w:p>
    <w:p w14:paraId="26539603">
      <w:pPr>
        <w:spacing w:before="312" w:beforeLines="100" w:after="312" w:afterLines="100"/>
        <w:jc w:val="center"/>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REFERENCES</w:t>
      </w:r>
    </w:p>
    <w:p w14:paraId="77575119">
      <w:pPr>
        <w:numPr>
          <w:ilvl w:val="0"/>
          <w:numId w:val="1"/>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A. Vaswani, N. Shazeer, N. Parmar, J. Uszkoreit, L. Jones, A. N. Gomez, Ł. Kaiser, and I. Polosukhin, "Attention is all you need,"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Advances in Neural Information Processing Systems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2017, vol. 30.</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 J. Devlin, M.-W. Chang, K. Lee, and K. Toutanova, "BERT: Pre-training of deep bidirectional transformers for language understanding,"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2019 Conference of the North American Chapter of the Association for Computational Linguistics: Human Language Technologies, Volume 1 (Long and Short Papers)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4171–4186.</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 T. Brown, B. Mann, N. Ryder, M. Subbiah, J. D. Kaplan, P. Dhariwal, A. Neelakantan, P. Shyam, G. Sastry, A. Askell, et al., "Language models are few-shot learners,"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Advances in Neural Information Processing Systems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2020, vol. 33, pp. 1877–1901.</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[4] A. Radford, J. Wu, R. Child, D. Luan, D. Amodei, and I. Sutskever, "Language models are unsupervised multitask learners," OpenAI, Tech. Rep., 2019.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[5] R. Bommasani, D. A. Hudson, E. Adeli, R. Altman, S. Arora, S. von Arx, M. S. Bernstein, J. Bohg, A. Bosselut, E. Brunskill, et al., "On the opportunities and risks of foundation models,"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arXiv:2108.07258</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[6] C. J. Olah, A. Satyanarayan, I. Johnson, S. Carter, L. Schubert, K. Ye, and A. Mordvintsev, "The building blocks of interpretability,"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Distill</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2018. [Online]. Available: </w: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instrText xml:space="preserve"> HYPERLINK "https://distill.pub/2018/building-blocks" \t "https://chat.deepseek.com/a/chat/s/_blank" </w:instrTex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separate"/>
      </w:r>
      <w:r>
        <w:rPr>
          <w:rStyle w:val="8"/>
          <w:rFonts w:hint="default" w:ascii="Times New Roman" w:hAnsi="Times New Roman" w:eastAsia="Segoe UI" w:cs="Times New Roman"/>
          <w:i w:val="0"/>
          <w:iCs w:val="0"/>
          <w:caps w:val="0"/>
          <w:color w:val="000000" w:themeColor="text1"/>
          <w:spacing w:val="0"/>
          <w:sz w:val="24"/>
          <w:szCs w:val="24"/>
          <w:u w:val="none"/>
          <w:shd w:val="clear" w:fill="FFFFFF"/>
          <w14:textFill>
            <w14:solidFill>
              <w14:schemeClr w14:val="tx1"/>
            </w14:solidFill>
          </w14:textFill>
        </w:rPr>
        <w:t>https://distill.pub/2018/building-blocks</w: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end"/>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[7] I. Tenney, D. Das, and E. Pavlick, "BERT rediscovers the classical NLP pipeline,"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57th Annual Meeting of the Association for Computational Linguistics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4593–4602.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[8] G. Jawahar, B. Sagot, and D. Seddah, "What does BERT learn about the structure of language?"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57th Annual Meeting of the Association for Computational Linguistics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3358–3368.</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[9] T. Dao, D. Fu, A. Anandkumar, and Y. Belinkov, "Massive activations in large language models,"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arXiv:2402.17762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2024.</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[10] M. Schrimpf, I. A. Blank, G. Tuckute, C. Kauf, E. A. Hosseini, N. Kanwisher, J. B. Tenenbaum, and E. Fedorenko, "The neural architecture of language: Integrative modeling converges on predictive processing,"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National Academy of Sciences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118, no. 45, p. e2105646118, 2021.</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[11] K. Clark, U. Khandelwal, O. Levy, and C. D. Manning, "What does BERT look at? An analysis of BERT's attention,"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2019 ACL Workshop BlackboxNLP: Analyzing and Interpreting Neural Networks for NLP</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276–286.</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[12] P. Michel, O. Levy, and G. Neubig, "Are sixteen heads really better than one?"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2019 Conference of the North American Chapter of the Association for Computational Linguistics: Human Language Technologies, Volume 1 (Long and Short Papers)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2340–2350.</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[13] F. Petroni, T. Rocktäschel, P. Lewis, A. Bakhtin, Y. Wu, A. H. Miller, and S. Riedel, "Language models as knowledge bases?" in *Proceedings of the 2019 Conference on Empirical Methods in Natural Language Processing and the 9th International Joint Conference on Natural Language Processing (EMNLP-IJCNLP)*, 2019, pp. 2463–2473.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[14] Y. Hao, L. Zhou, and X. Han, "Singular value decomposition of transformer weights reveals linguistic structure,"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2021 Conference on Empirical Methods in Natural Language Processing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 pp. 8912–8924.</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[15] D. D. Lee and H. S. Seung, "Learning the parts of objects by non-negative matrix factorization,"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Nature</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401, no. 6755, pp. 788–791, 1999.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[16] M. Geva, A. Caciularu, K. R. Wang, and Y. Goldberg, "Transformer feed-forward layers build predictions by promoting concepts in the vocabulary space,"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2022 Conference on Empirical Methods in Natural Language Processing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2022, pp. 101–117.</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[17] J. Pearl,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Causality: Models, Reasoning, and Inference</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2nd ed. Cambridge University Press, 2009.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[18] Z. Yuan, Y. Shang, Y. Song, Q. Wu, and Y. Sun, "ASVD: Activation-aware singular value decomposition for compressing large language models,"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arXiv:2312.05821</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[19] W. Fedus, B. Zoph, and N. Shazeer, "Switch transformers: Scaling to trillion parameter models with simple and efficient sparsity,"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Journal of Machine Learning Research</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23, no. 1, pp. 1–39, 2022.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[20] A. Conmy, A. Mavor-Parker, A. Lynch, S. Heimersheim, and A. Garriga-Alonso, "Towards automated circuit discovery for mechanistic interpretability,"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Advances in Neural Information Processing Systems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[21] N. Elhage, N. Nanda, C. Olsson, T. Henighan, N. Joseph, B. Mann, A. Askell, Y. Bai, A. Chen, T. Conerly, et al., "A mathematical framework for transformer circuits,"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Transformer Circuits Thread</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 [Online]. Available: </w: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instrText xml:space="preserve"> HYPERLINK "https://transformer-circuits.pub/" \t "https://chat.deepseek.com/a/chat/s/_blank" </w:instrTex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separate"/>
      </w:r>
      <w:r>
        <w:rPr>
          <w:rStyle w:val="8"/>
          <w:rFonts w:hint="default" w:ascii="Times New Roman" w:hAnsi="Times New Roman" w:eastAsia="Segoe UI" w:cs="Times New Roman"/>
          <w:i w:val="0"/>
          <w:iCs w:val="0"/>
          <w:caps w:val="0"/>
          <w:color w:val="000000" w:themeColor="text1"/>
          <w:spacing w:val="0"/>
          <w:sz w:val="24"/>
          <w:szCs w:val="24"/>
          <w:u w:val="none"/>
          <w:shd w:val="clear" w:fill="FFFFFF"/>
          <w14:textFill>
            <w14:solidFill>
              <w14:schemeClr w14:val="tx1"/>
            </w14:solidFill>
          </w14:textFill>
        </w:rPr>
        <w:t>https://transformer-circuits.pub</w:t>
      </w:r>
      <w:r>
        <w:rPr>
          <w:rFonts w:hint="default" w:ascii="Times New Roman" w:hAnsi="Times New Roman" w:eastAsia="Segoe UI" w:cs="Times New Roman"/>
          <w:i w:val="0"/>
          <w:iCs w:val="0"/>
          <w:caps w:val="0"/>
          <w:color w:val="000000" w:themeColor="text1"/>
          <w:spacing w:val="0"/>
          <w:sz w:val="24"/>
          <w:szCs w:val="24"/>
          <w:u w:val="none"/>
          <w:bdr w:val="single" w:color="auto" w:sz="12" w:space="0"/>
          <w:shd w:val="clear" w:fill="FFFFFF"/>
          <w14:textFill>
            <w14:solidFill>
              <w14:schemeClr w14:val="tx1"/>
            </w14:solidFill>
          </w14:textFill>
        </w:rPr>
        <w:fldChar w:fldCharType="end"/>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[22] K. Meng, D. Bau, A. Andonian, and Y. Belinkov, "Locating and editing factual knowledge in GPT,"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39th International Conference on Machine Learning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2022, pp. 15964–15975.</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[23] D. Bau, S. Liu, T. Wang, J.-Y. Zhu, and A. Torralba, "Identifying and controlling the important directions in GAN and transformer activation spaces,"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38th International Conference on Machine Learning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 pp. 591–602.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[24] J. Vig, "A multiscale visualization of attention in the transformer model,"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57th Annual Meeting of the Association for Computational Linguistics: System Demonstrations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208–219.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[25] J. Hewitt and C. D. Manning, "A structural probe for finding syntax in word representations,"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2019 Conference of the North American Chapter of the Association for Computational Linguistics: Human Language Technologies, Volume 1 (Long and Short Papers)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4129–4138.</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[26] Y. Lin, Y. C. Tan, and R. Frank, "Open sesame: Getting inside BERT's linguistic knowledge,"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2019 ACL Workshop BlackboxNLP: Analyzing and Interpreting Neural Networks for NLP</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 pp. 241–253.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[27] S. Bubeck, V. Chandrasekaran, R. Eldan, J. Gehrke, E. Horvitz, E. Kamar, P. Lee, Y. T. Lee, Y. Li, S. Lundberg, et al., "Sparks of artificial general intelligence: Early experiments with GPT-4,"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arXiv:2303.12712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[28] Y. Liu, M. Ott, N. Goyal, J. Du, M. Joshi, D. Chen, O. Levy, M. Lewis, L. Zettlemoyer, and V. Stoyanov, "RoBERTa: A robustly optimized BERT pretraining approach,"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arXiv:1907.11692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[29] E. J. Hu, Y. Shen, P. Wallis, Z. Allen-Zhu, Y. Li, S. Wang, L. Wang, and W. Chen, "LoRA: Low-rank adaptation of large language models,"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38th International Conference on Machine Learning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 pp. 2790–2809.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[30] Z. Li, E. Wallace, S. Shen, K. Lin, K. Keutzer, D. Klein, and J. E. Gonzalez, "Tuned transformers are interpretable classifiers,"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2022 Conference on Empirical Methods in Natural Language Processing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2022, pp. 2393–2409.</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[31] M. Lewis, Y. Liu, N. Goyal, M. Ghazvininejad, A. Mohamed, O. Levy, V. Stoyanov, and L. Zettlemoyer, "BART: Denoising sequence-to-sequence pre-training for natural language generation, translation, and comprehension,"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58th Annual Meeting of the Association for Computational Linguistics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2020, pp. 7871–7880.</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[32] C. Raffel, N. Shazeer, A. Roberts, K. Lee, S. Narang, M. Matena, Y. Zhou, W. Li, and P. J. Liu, "Exploring the limits of transfer learning with a unified text-to-text transformer,"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Journal of Machine Learning Research</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21, no. 1, pp. 5485–5551, 2020.</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[33] S. Merity, C. Xiong, J. Bradbury, and R. Socher, "Pointer sentinel mixture models,"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The 5th International Conference on Learning Representations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2017.</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[34] L. Ouyang, J. Wu, X. Jiang, D. Almeida, C. L. Wainwright, P. Mishkin, C. Zhang, S. Agarwal, K. Slama, A. Ray, et al., "Training language models to follow instructions with human feedback,"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Advances in Neural Information Processing Systems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2022, vol. 35, pp. 27730–27744.</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[35] J. Wei, Y. Tay, R. Bommasani, C. Raffel, B. Zoph, S. Borgeaud, D. Yogatama, M. Bosma, D. Zhou, D. Metzler, et al., "Emergent abilities of large language models,"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Transactions on Machine Learning Research</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[36] A. Wang, A. Singh, J. Michael, F. Hill, O. Levy, and S. Bowman, "GLUE: A multi-task benchmark and analysis platform for natural language understanding,"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2018 EMNLP Workshop BlackboxNLP: Analyzing and Interpreting Neural Networks for NLP</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2018, pp. 353–355.</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[37] S. Yun, Z. Lin, A. Globerson, and G. E. Hinton, "Token-level layer-wise pruning for efficient transformer inference," in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Proceedings of the 2021 Conference on Empirical Methods in Natural Language Processing</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2021, pp. 1484–1495.</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[38] H. Touvron, L. Martin, K. Stone, P. Albert, A. Almahairi, Y. Babaei, N. Bashlykov, S. Batra, P. Bhargava, S. Bhosale, et al., "Llama 2: Open foundation and fine-tuned chat models,"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arXiv preprint arXiv:2307.09288</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2023.</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[39] W. Merrill, A. Sabharwal, and N. A. Smith, "Saturated transformers are constant-rate tms,"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Transactions of the Association for Computational Linguistics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10, pp. 843–856, 2022.</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br w:type="textWrapping"/>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[40] Y. Belinkov, "Probing classifiers: Promises, shortcomings, and advances," </w:t>
      </w:r>
      <w:r>
        <w:rPr>
          <w:rStyle w:val="7"/>
          <w:rFonts w:hint="default" w:ascii="Times New Roman" w:hAnsi="Times New Roman" w:eastAsia="Segoe UI" w:cs="Times New Roman"/>
          <w:caps w:val="0"/>
          <w:color w:val="000000" w:themeColor="text1"/>
          <w:spacing w:val="0"/>
          <w:sz w:val="24"/>
          <w:szCs w:val="24"/>
          <w:shd w:val="clear" w:fill="FFFFFF"/>
          <w14:textFill>
            <w14:solidFill>
              <w14:schemeClr w14:val="tx1"/>
            </w14:solidFill>
          </w14:textFill>
        </w:rPr>
        <w:t>Computational Linguistics</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vol. 48, no. 1, pp. 207–219, 2022.</w:t>
      </w:r>
    </w:p>
    <w:p w14:paraId="681EE0A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1D852F1D">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3C1EEB8">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28171214">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5ED9773">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DC0D2BB">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606685B7">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CB4A7CA">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D2C56BA">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62400706">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66C5FFF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02251B33">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EA9763D">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6DCDDF20">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70633FD">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2F29DA6C">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2502D0F7">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9D1BDE2">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5C22AD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3AD1947">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0DAFF022">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5C36D7AD">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6D65EC8">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9CD043B">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68BE6CB">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B73EB06">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02C567F0">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5FD24C8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E9EE261">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F2A8B92">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0C8AF62D">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171EAEDC">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2F92A07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6ABAC077">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78142848">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34EE6CEB">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5B763E48">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7B73400F">
      <w:pPr>
        <w:widowControl w:val="0"/>
        <w:numPr>
          <w:ilvl w:val="0"/>
          <w:numId w:val="0"/>
        </w:numPr>
        <w:kinsoku w:val="0"/>
        <w:wordWrap w:val="0"/>
        <w:autoSpaceDE w:val="0"/>
        <w:autoSpaceDN w:val="0"/>
        <w:jc w:val="left"/>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pPr>
    </w:p>
    <w:p w14:paraId="45B1633F">
      <w:pPr>
        <w:widowControl w:val="0"/>
        <w:numPr>
          <w:ilvl w:val="0"/>
          <w:numId w:val="0"/>
        </w:numPr>
        <w:kinsoku w:val="0"/>
        <w:wordWrap w:val="0"/>
        <w:autoSpaceDE w:val="0"/>
        <w:autoSpaceDN w:val="0"/>
        <w:jc w:val="center"/>
        <w:rPr>
          <w:rFonts w:hint="eastAsia" w:ascii="Times New Roman" w:hAnsi="Times New Roman" w:eastAsia="黑体" w:cs="Times New Roman"/>
          <w:sz w:val="30"/>
          <w:szCs w:val="30"/>
          <w:lang w:val="en-US" w:eastAsia="zh-CN"/>
        </w:rPr>
      </w:pPr>
      <w:r>
        <w:rPr>
          <w:rFonts w:hint="eastAsia" w:ascii="Times New Roman" w:hAnsi="Times New Roman" w:eastAsia="黑体" w:cs="Times New Roman"/>
          <w:sz w:val="30"/>
          <w:szCs w:val="30"/>
          <w:lang w:val="en-US" w:eastAsia="zh-CN"/>
        </w:rPr>
        <w:t>Appendix</w:t>
      </w:r>
    </w:p>
    <w:p w14:paraId="6B6753E2">
      <w:pPr>
        <w:widowControl w:val="0"/>
        <w:numPr>
          <w:ilvl w:val="0"/>
          <w:numId w:val="0"/>
        </w:numPr>
        <w:kinsoku w:val="0"/>
        <w:wordWrap w:val="0"/>
        <w:autoSpaceDE w:val="0"/>
        <w:autoSpaceDN w:val="0"/>
        <w:jc w:val="both"/>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A</w:t>
      </w:r>
      <w:r>
        <w:rPr>
          <w:rFonts w:hint="eastAsia" w:ascii="Times New Roman" w:hAnsi="Times New Roman" w:eastAsia="黑体" w:cs="Times New Roman"/>
          <w:sz w:val="28"/>
          <w:szCs w:val="28"/>
          <w:lang w:val="en-US" w:eastAsia="zh-CN"/>
        </w:rPr>
        <w:t xml:space="preserve"> </w:t>
      </w:r>
      <w:r>
        <w:rPr>
          <w:rFonts w:hint="default" w:ascii="Times New Roman" w:hAnsi="Times New Roman" w:eastAsia="黑体" w:cs="Times New Roman"/>
          <w:sz w:val="28"/>
          <w:szCs w:val="28"/>
          <w:lang w:val="en-US" w:eastAsia="zh-CN"/>
        </w:rPr>
        <w:t>Mathematical Derivations and Proofs</w:t>
      </w:r>
    </w:p>
    <w:p w14:paraId="7EB62DA3">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本附录提供了关于GPT-2中“巨量激活”现象背后机制的完整数学推导与证明，重点分析了MLP层中Linear2权重矩阵基于奇异值分解（SVD）的工作原理。</w:t>
      </w:r>
    </w:p>
    <w:p w14:paraId="60573405">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A.1 符号约定与基本定义</w:t>
      </w:r>
    </w:p>
    <w:p w14:paraId="15A95C9B">
      <w:pPr>
        <w:spacing w:line="400" w:lineRule="exac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定义1（矩阵奇异值分解）：对于矩阵 </w:t>
      </w:r>
      <w:r>
        <w:rPr>
          <w:rFonts w:hint="default" w:ascii="Times New Roman" w:hAnsi="Times New Roman" w:cs="Times New Roman"/>
          <w:position w:val="-6"/>
          <w:sz w:val="24"/>
          <w:lang w:val="en-US" w:eastAsia="zh-CN"/>
        </w:rPr>
        <w:object>
          <v:shape id="_x0000_i1069" o:spt="75" type="#_x0000_t75" style="height:16pt;width:47pt;" o:ole="t" filled="f" o:preferrelative="t" stroked="f" coordsize="21600,21600">
            <v:path/>
            <v:fill on="f" focussize="0,0"/>
            <v:stroke on="f"/>
            <v:imagedata r:id="rId102" o:title=""/>
            <o:lock v:ext="edit" aspectratio="t"/>
            <w10:wrap type="none"/>
            <w10:anchorlock/>
          </v:shape>
          <o:OLEObject Type="Embed" ProgID="Equation.KSEE3" ShapeID="_x0000_i1069" DrawAspect="Content" ObjectID="_1468075769" r:id="rId101">
            <o:LockedField>false</o:LockedField>
          </o:OLEObject>
        </w:object>
      </w:r>
      <w:r>
        <w:rPr>
          <w:rFonts w:hint="default" w:ascii="Times New Roman" w:hAnsi="Times New Roman" w:cs="Times New Roman"/>
          <w:sz w:val="24"/>
          <w:lang w:val="en-US" w:eastAsia="zh-CN"/>
        </w:rPr>
        <w:t xml:space="preserve"> ，其奇异值分解为：</w:t>
      </w:r>
    </w:p>
    <w:p w14:paraId="186950D1">
      <w:pPr>
        <w:spacing w:line="400" w:lineRule="exact"/>
        <w:jc w:val="center"/>
        <w:rPr>
          <w:rFonts w:hint="eastAsia" w:ascii="Times New Roman" w:hAnsi="Times New Roman" w:cs="Times New Roman"/>
          <w:sz w:val="24"/>
          <w:lang w:val="en-US" w:eastAsia="zh-CN"/>
        </w:rPr>
      </w:pPr>
      <w:r>
        <w:rPr>
          <w:rFonts w:hint="eastAsia" w:ascii="Times New Roman" w:hAnsi="Times New Roman" w:cs="Times New Roman"/>
          <w:position w:val="-8"/>
          <w:sz w:val="24"/>
          <w:lang w:val="en-US" w:eastAsia="zh-CN"/>
        </w:rPr>
        <w:object>
          <v:shape id="_x0000_i1070" o:spt="75" type="#_x0000_t75" style="height:17pt;width:60.95pt;" o:ole="t" filled="f" o:preferrelative="t" stroked="f" coordsize="21600,21600">
            <v:path/>
            <v:fill on="f" focussize="0,0"/>
            <v:stroke on="f"/>
            <v:imagedata r:id="rId104" o:title=""/>
            <o:lock v:ext="edit" aspectratio="t"/>
            <w10:wrap type="none"/>
            <w10:anchorlock/>
          </v:shape>
          <o:OLEObject Type="Embed" ProgID="Equation.KSEE3" ShapeID="_x0000_i1070" DrawAspect="Content" ObjectID="_1468075770" r:id="rId103">
            <o:LockedField>false</o:LockedField>
          </o:OLEObject>
        </w:object>
      </w:r>
    </w:p>
    <w:p w14:paraId="35C4392F">
      <w:pPr>
        <w:spacing w:line="400" w:lineRule="exact"/>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其中</w:t>
      </w:r>
      <w:r>
        <w:rPr>
          <w:rFonts w:hint="eastAsia" w:ascii="Times New Roman" w:hAnsi="Times New Roman" w:cs="Times New Roman"/>
          <w:position w:val="-6"/>
          <w:sz w:val="24"/>
          <w:lang w:val="en-US" w:eastAsia="zh-CN"/>
        </w:rPr>
        <w:object>
          <v:shape id="_x0000_i1071" o:spt="75" type="#_x0000_t75" style="height:16pt;width:45pt;" o:ole="t" filled="f" o:preferrelative="t" stroked="f" coordsize="21600,21600">
            <v:path/>
            <v:fill on="f" focussize="0,0"/>
            <v:stroke on="f"/>
            <v:imagedata r:id="rId106" o:title=""/>
            <o:lock v:ext="edit" aspectratio="t"/>
            <w10:wrap type="none"/>
            <w10:anchorlock/>
          </v:shape>
          <o:OLEObject Type="Embed" ProgID="Equation.KSEE3" ShapeID="_x0000_i1071" DrawAspect="Content" ObjectID="_1468075771" r:id="rId105">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8"/>
          <w:sz w:val="24"/>
          <w:lang w:val="en-US" w:eastAsia="zh-CN"/>
        </w:rPr>
        <w:object>
          <v:shape id="_x0000_i1072" o:spt="75" type="#_x0000_t75" style="height:17pt;width:42.95pt;" o:ole="t" filled="f" o:preferrelative="t" stroked="f" coordsize="21600,21600">
            <v:path/>
            <v:fill on="f" focussize="0,0"/>
            <v:stroke on="f"/>
            <v:imagedata r:id="rId108" o:title=""/>
            <o:lock v:ext="edit" aspectratio="t"/>
            <w10:wrap type="none"/>
            <w10:anchorlock/>
          </v:shape>
          <o:OLEObject Type="Embed" ProgID="Equation.KSEE3" ShapeID="_x0000_i1072" DrawAspect="Content" ObjectID="_1468075772" r:id="rId107">
            <o:LockedField>false</o:LockedField>
          </o:OLEObject>
        </w:object>
      </w:r>
      <w:r>
        <w:rPr>
          <w:rFonts w:hint="eastAsia" w:ascii="Times New Roman" w:hAnsi="Times New Roman" w:cs="Times New Roman"/>
          <w:sz w:val="24"/>
          <w:lang w:val="en-US" w:eastAsia="zh-CN"/>
        </w:rPr>
        <w:t>为奇异值对角矩阵，</w:t>
      </w:r>
      <w:r>
        <w:rPr>
          <w:rFonts w:hint="eastAsia" w:ascii="Times New Roman" w:hAnsi="Times New Roman" w:cs="Times New Roman"/>
          <w:position w:val="-6"/>
          <w:sz w:val="24"/>
          <w:lang w:val="en-US" w:eastAsia="zh-CN"/>
        </w:rPr>
        <w:object>
          <v:shape id="_x0000_i1073" o:spt="75" type="#_x0000_t75" style="height:16pt;width:42.95pt;" o:ole="t" filled="f" o:preferrelative="t" stroked="f" coordsize="21600,21600">
            <v:path/>
            <v:fill on="f" focussize="0,0"/>
            <v:stroke on="f"/>
            <v:imagedata r:id="rId110" o:title=""/>
            <o:lock v:ext="edit" aspectratio="t"/>
            <w10:wrap type="none"/>
            <w10:anchorlock/>
          </v:shape>
          <o:OLEObject Type="Embed" ProgID="Equation.KSEE3" ShapeID="_x0000_i1073" DrawAspect="Content" ObjectID="_1468075773" r:id="rId109">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10"/>
          <w:sz w:val="24"/>
          <w:lang w:val="en-US" w:eastAsia="zh-CN"/>
        </w:rPr>
        <w:object>
          <v:shape id="_x0000_i1074" o:spt="75" type="#_x0000_t75" style="height:16pt;width:67pt;" o:ole="t" filled="f" o:preferrelative="t" stroked="f" coordsize="21600,21600">
            <v:path/>
            <v:fill on="f" focussize="0,0"/>
            <v:stroke on="f"/>
            <v:imagedata r:id="rId112" o:title=""/>
            <o:lock v:ext="edit" aspectratio="t"/>
            <w10:wrap type="none"/>
            <w10:anchorlock/>
          </v:shape>
          <o:OLEObject Type="Embed" ProgID="Equation.KSEE3" ShapeID="_x0000_i1074" DrawAspect="Content" ObjectID="_1468075774" r:id="rId111">
            <o:LockedField>false</o:LockedField>
          </o:OLEObject>
        </w:object>
      </w:r>
      <w:r>
        <w:rPr>
          <w:rFonts w:hint="eastAsia" w:ascii="Times New Roman" w:hAnsi="Times New Roman" w:cs="Times New Roman"/>
          <w:sz w:val="24"/>
          <w:lang w:val="en-US" w:eastAsia="zh-CN"/>
        </w:rPr>
        <w:t>。</w:t>
      </w:r>
    </w:p>
    <w:p w14:paraId="625DC194">
      <w:pPr>
        <w:spacing w:line="400" w:lineRule="exact"/>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定义2（向量投影与对齐）：向量</w:t>
      </w:r>
      <w:r>
        <w:rPr>
          <w:rFonts w:hint="default" w:ascii="Times New Roman" w:hAnsi="Times New Roman" w:cs="Times New Roman"/>
          <w:position w:val="-6"/>
          <w:sz w:val="24"/>
          <w:lang w:val="en-US" w:eastAsia="zh-CN"/>
        </w:rPr>
        <w:object>
          <v:shape id="_x0000_i1075" o:spt="75" type="#_x0000_t75" style="height:16pt;width:34pt;" o:ole="t" filled="f" o:preferrelative="t" stroked="f" coordsize="21600,21600">
            <v:path/>
            <v:fill on="f" focussize="0,0"/>
            <v:stroke on="f"/>
            <v:imagedata r:id="rId114" o:title=""/>
            <o:lock v:ext="edit" aspectratio="t"/>
            <w10:wrap type="none"/>
            <w10:anchorlock/>
          </v:shape>
          <o:OLEObject Type="Embed" ProgID="Equation.KSEE3" ShapeID="_x0000_i1075" DrawAspect="Content" ObjectID="_1468075775" r:id="rId113">
            <o:LockedField>false</o:LockedField>
          </o:OLEObject>
        </w:object>
      </w:r>
      <w:r>
        <w:rPr>
          <w:rFonts w:hint="eastAsia" w:ascii="Times New Roman" w:hAnsi="Times New Roman" w:cs="Times New Roman"/>
          <w:sz w:val="24"/>
          <w:lang w:val="en-US" w:eastAsia="zh-CN"/>
        </w:rPr>
        <w:t>在方向</w:t>
      </w:r>
      <w:r>
        <w:rPr>
          <w:rFonts w:hint="default" w:ascii="Times New Roman" w:hAnsi="Times New Roman" w:cs="Times New Roman"/>
          <w:position w:val="-6"/>
          <w:sz w:val="24"/>
          <w:lang w:val="en-US" w:eastAsia="zh-CN"/>
        </w:rPr>
        <w:object>
          <v:shape id="_x0000_i1076" o:spt="75" type="#_x0000_t75" style="height:16pt;width:33pt;" o:ole="t" filled="f" o:preferrelative="t" stroked="f" coordsize="21600,21600">
            <v:path/>
            <v:fill on="f" focussize="0,0"/>
            <v:stroke on="f"/>
            <v:imagedata r:id="rId116" o:title=""/>
            <o:lock v:ext="edit" aspectratio="t"/>
            <w10:wrap type="none"/>
            <w10:anchorlock/>
          </v:shape>
          <o:OLEObject Type="Embed" ProgID="Equation.KSEE3" ShapeID="_x0000_i1076" DrawAspect="Content" ObjectID="_1468075776" r:id="rId115">
            <o:LockedField>false</o:LockedField>
          </o:OLEObject>
        </w:object>
      </w:r>
      <w:r>
        <w:rPr>
          <w:rFonts w:hint="default" w:ascii="Times New Roman" w:hAnsi="Times New Roman" w:cs="Times New Roman"/>
          <w:sz w:val="24"/>
          <w:lang w:val="en-US" w:eastAsia="zh-CN"/>
        </w:rPr>
        <w:t>上的投影标量和对齐强度为：</w:t>
      </w:r>
    </w:p>
    <w:p w14:paraId="2632A6F6">
      <w:pPr>
        <w:spacing w:line="240" w:lineRule="auto"/>
        <w:jc w:val="both"/>
        <w:rPr>
          <w:rFonts w:hint="eastAsia" w:ascii="Times New Roman" w:hAnsi="Times New Roman" w:cs="Times New Roman"/>
          <w:sz w:val="24"/>
          <w:lang w:val="en-US" w:eastAsia="zh-CN"/>
        </w:rPr>
      </w:pPr>
      <w:r>
        <w:rPr>
          <w:rFonts w:hint="default" w:ascii="Times New Roman" w:hAnsi="Times New Roman" w:cs="Times New Roman"/>
          <w:position w:val="-12"/>
          <w:sz w:val="24"/>
          <w:lang w:val="en-US" w:eastAsia="zh-CN"/>
        </w:rPr>
        <w:object>
          <v:shape id="_x0000_i1077" o:spt="75" type="#_x0000_t75" style="height:18pt;width:74pt;" o:ole="t" filled="f" o:preferrelative="t" stroked="f" coordsize="21600,21600">
            <v:path/>
            <v:fill on="f" focussize="0,0"/>
            <v:stroke on="f"/>
            <v:imagedata r:id="rId118" o:title=""/>
            <o:lock v:ext="edit" aspectratio="t"/>
            <w10:wrap type="none"/>
            <w10:anchorlock/>
          </v:shape>
          <o:OLEObject Type="Embed" ProgID="Equation.KSEE3" ShapeID="_x0000_i1077" DrawAspect="Content" ObjectID="_1468075777" r:id="rId117">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34"/>
          <w:sz w:val="24"/>
          <w:lang w:val="en-US" w:eastAsia="zh-CN"/>
        </w:rPr>
        <w:object>
          <v:shape id="_x0000_i1078" o:spt="75" type="#_x0000_t75" style="height:36pt;width:92pt;" o:ole="t" filled="f" o:preferrelative="t" stroked="f" coordsize="21600,21600">
            <v:path/>
            <v:fill on="f" focussize="0,0"/>
            <v:stroke on="f"/>
            <v:imagedata r:id="rId120" o:title=""/>
            <o:lock v:ext="edit" aspectratio="t"/>
            <w10:wrap type="none"/>
            <w10:anchorlock/>
          </v:shape>
          <o:OLEObject Type="Embed" ProgID="Equation.KSEE3" ShapeID="_x0000_i1078" DrawAspect="Content" ObjectID="_1468075778" r:id="rId119">
            <o:LockedField>false</o:LockedField>
          </o:OLEObject>
        </w:object>
      </w:r>
    </w:p>
    <w:p w14:paraId="7874CAF0">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A.2 MLP层前向传播的数学描述</w:t>
      </w:r>
    </w:p>
    <w:p w14:paraId="42EEB25E">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GPT-2中第2层MLP的前向传播过程：</w:t>
      </w:r>
    </w:p>
    <w:p w14:paraId="42A298A4">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position w:val="-12"/>
          <w:sz w:val="24"/>
          <w:lang w:val="en-US" w:eastAsia="zh-CN"/>
        </w:rPr>
        <w:object>
          <v:shape id="_x0000_i1079" o:spt="75" type="#_x0000_t75" style="height:19pt;width:117pt;" o:ole="t" filled="f" o:preferrelative="t" stroked="f" coordsize="21600,21600">
            <v:path/>
            <v:fill on="f" focussize="0,0"/>
            <v:stroke on="f"/>
            <v:imagedata r:id="rId122" o:title=""/>
            <o:lock v:ext="edit" aspectratio="t"/>
            <w10:wrap type="none"/>
            <w10:anchorlock/>
          </v:shape>
          <o:OLEObject Type="Embed" ProgID="Equation.KSEE3" ShapeID="_x0000_i1079" DrawAspect="Content" ObjectID="_1468075779" r:id="rId121">
            <o:LockedField>false</o:LockedField>
          </o:OLEObject>
        </w:object>
      </w:r>
      <w:r>
        <w:rPr>
          <w:rFonts w:hint="eastAsia" w:ascii="Times New Roman" w:hAnsi="Times New Roman" w:cs="Times New Roman"/>
          <w:sz w:val="24"/>
          <w:lang w:val="en-US" w:eastAsia="zh-CN"/>
        </w:rPr>
        <w:t>，</w:t>
      </w:r>
      <w:r>
        <w:rPr>
          <w:rFonts w:hint="default" w:ascii="Times New Roman" w:hAnsi="Times New Roman" w:cs="Times New Roman"/>
          <w:position w:val="-10"/>
          <w:sz w:val="24"/>
          <w:lang w:val="en-US" w:eastAsia="zh-CN"/>
        </w:rPr>
        <w:object>
          <v:shape id="_x0000_i1080" o:spt="75" type="#_x0000_t75" style="height:18pt;width:110pt;" o:ole="t" filled="f" o:preferrelative="t" stroked="f" coordsize="21600,21600">
            <v:path/>
            <v:fill on="f" focussize="0,0"/>
            <v:stroke on="f"/>
            <v:imagedata r:id="rId124" o:title=""/>
            <o:lock v:ext="edit" aspectratio="t"/>
            <w10:wrap type="none"/>
            <w10:anchorlock/>
          </v:shape>
          <o:OLEObject Type="Embed" ProgID="Equation.KSEE3" ShapeID="_x0000_i1080" DrawAspect="Content" ObjectID="_1468075780" r:id="rId123">
            <o:LockedField>false</o:LockedField>
          </o:OLEObject>
        </w:object>
      </w:r>
      <w:r>
        <w:rPr>
          <w:rFonts w:hint="eastAsia" w:ascii="Times New Roman" w:hAnsi="Times New Roman" w:cs="Times New Roman"/>
          <w:sz w:val="24"/>
          <w:lang w:val="en-US" w:eastAsia="zh-CN"/>
        </w:rPr>
        <w:t>，</w:t>
      </w:r>
      <w:r>
        <w:rPr>
          <w:rFonts w:hint="default" w:ascii="Times New Roman" w:hAnsi="Times New Roman" w:cs="Times New Roman"/>
          <w:position w:val="-12"/>
          <w:sz w:val="24"/>
          <w:lang w:val="en-US" w:eastAsia="zh-CN"/>
        </w:rPr>
        <w:object>
          <v:shape id="_x0000_i1081" o:spt="75" type="#_x0000_t75" style="height:19pt;width:156pt;" o:ole="t" filled="f" o:preferrelative="t" stroked="f" coordsize="21600,21600">
            <v:path/>
            <v:fill on="f" focussize="0,0"/>
            <v:stroke on="f"/>
            <v:imagedata r:id="rId126" o:title=""/>
            <o:lock v:ext="edit" aspectratio="t"/>
            <w10:wrap type="none"/>
            <w10:anchorlock/>
          </v:shape>
          <o:OLEObject Type="Embed" ProgID="Equation.KSEE3" ShapeID="_x0000_i1081" DrawAspect="Content" ObjectID="_1468075781" r:id="rId125">
            <o:LockedField>false</o:LockedField>
          </o:OLEObject>
        </w:object>
      </w:r>
    </w:p>
    <w:p w14:paraId="53C839FD">
      <w:pPr>
        <w:spacing w:line="240" w:lineRule="auto"/>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其中</w:t>
      </w:r>
      <w:r>
        <w:rPr>
          <w:rFonts w:hint="default" w:ascii="Times New Roman" w:hAnsi="Times New Roman" w:cs="Times New Roman"/>
          <w:position w:val="-10"/>
          <w:sz w:val="24"/>
          <w:lang w:val="en-US" w:eastAsia="zh-CN"/>
        </w:rPr>
        <w:object>
          <v:shape id="_x0000_i1082" o:spt="75" type="#_x0000_t75" style="height:18pt;width:48pt;" o:ole="t" filled="f" o:preferrelative="t" stroked="f" coordsize="21600,21600">
            <v:path/>
            <v:fill on="f" focussize="0,0"/>
            <v:stroke on="f"/>
            <v:imagedata r:id="rId128" o:title=""/>
            <o:lock v:ext="edit" aspectratio="t"/>
            <w10:wrap type="none"/>
            <w10:anchorlock/>
          </v:shape>
          <o:OLEObject Type="Embed" ProgID="Equation.KSEE3" ShapeID="_x0000_i1082" DrawAspect="Content" ObjectID="_1468075782" r:id="rId127">
            <o:LockedField>false</o:LockedField>
          </o:OLEObject>
        </w:object>
      </w:r>
      <w:r>
        <w:rPr>
          <w:rFonts w:hint="default" w:ascii="Times New Roman" w:hAnsi="Times New Roman" w:cs="Times New Roman"/>
          <w:sz w:val="24"/>
          <w:lang w:val="en-US" w:eastAsia="zh-CN"/>
        </w:rPr>
        <w:t>为Linear2层的权重矩阵。</w:t>
      </w:r>
    </w:p>
    <w:p w14:paraId="5922A197">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A.3 Linear2权重矩阵的奇异值分解</w:t>
      </w:r>
    </w:p>
    <w:p w14:paraId="755484BC">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定理1（权重矩阵SVD）：对</w:t>
      </w:r>
      <w:r>
        <w:rPr>
          <w:rFonts w:hint="default" w:ascii="Times New Roman" w:hAnsi="Times New Roman" w:cs="Times New Roman"/>
          <w:position w:val="-10"/>
          <w:sz w:val="24"/>
          <w:lang w:val="en-US" w:eastAsia="zh-CN"/>
        </w:rPr>
        <w:object>
          <v:shape id="_x0000_i1083" o:spt="75" type="#_x0000_t75" style="height:18pt;width:48pt;" o:ole="t" filled="f" o:preferrelative="t" stroked="f" coordsize="21600,21600">
            <v:path/>
            <v:fill on="f" focussize="0,0"/>
            <v:stroke on="f"/>
            <v:imagedata r:id="rId128" o:title=""/>
            <o:lock v:ext="edit" aspectratio="t"/>
            <w10:wrap type="none"/>
            <w10:anchorlock/>
          </v:shape>
          <o:OLEObject Type="Embed" ProgID="Equation.KSEE3" ShapeID="_x0000_i1083" DrawAspect="Content" ObjectID="_1468075783" r:id="rId129">
            <o:LockedField>false</o:LockedField>
          </o:OLEObject>
        </w:object>
      </w:r>
      <w:r>
        <w:rPr>
          <w:rFonts w:hint="default" w:ascii="Times New Roman" w:hAnsi="Times New Roman" w:cs="Times New Roman"/>
          <w:sz w:val="24"/>
          <w:lang w:val="en-US" w:eastAsia="zh-CN"/>
        </w:rPr>
        <w:t>进行奇异值分解：</w:t>
      </w:r>
    </w:p>
    <w:p w14:paraId="6B65E6EA">
      <w:pPr>
        <w:spacing w:line="240" w:lineRule="auto"/>
        <w:jc w:val="center"/>
        <w:rPr>
          <w:rFonts w:hint="eastAsia" w:ascii="Times New Roman" w:hAnsi="Times New Roman" w:cs="Times New Roman"/>
          <w:sz w:val="24"/>
          <w:lang w:val="en-US" w:eastAsia="zh-CN"/>
        </w:rPr>
      </w:pPr>
      <w:r>
        <w:rPr>
          <w:rFonts w:hint="eastAsia" w:ascii="Times New Roman" w:hAnsi="Times New Roman" w:cs="Times New Roman"/>
          <w:position w:val="-10"/>
          <w:sz w:val="24"/>
          <w:lang w:val="en-US" w:eastAsia="zh-CN"/>
        </w:rPr>
        <w:object>
          <v:shape id="_x0000_i1084" o:spt="75" type="#_x0000_t75" style="height:18pt;width:63pt;" o:ole="t" filled="f" o:preferrelative="t" stroked="f" coordsize="21600,21600">
            <v:path/>
            <v:fill on="f" focussize="0,0"/>
            <v:stroke on="f"/>
            <v:imagedata r:id="rId131" o:title=""/>
            <o:lock v:ext="edit" aspectratio="t"/>
            <w10:wrap type="none"/>
            <w10:anchorlock/>
          </v:shape>
          <o:OLEObject Type="Embed" ProgID="Equation.KSEE3" ShapeID="_x0000_i1084" DrawAspect="Content" ObjectID="_1468075784" r:id="rId130">
            <o:LockedField>false</o:LockedField>
          </o:OLEObject>
        </w:object>
      </w:r>
    </w:p>
    <w:p w14:paraId="3E0EFDF4">
      <w:pPr>
        <w:spacing w:line="240" w:lineRule="auto"/>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其中：</w:t>
      </w:r>
    </w:p>
    <w:p w14:paraId="7760E815">
      <w:pPr>
        <w:spacing w:line="240" w:lineRule="auto"/>
        <w:jc w:val="both"/>
        <w:rPr>
          <w:rFonts w:hint="eastAsia" w:ascii="Times New Roman" w:hAnsi="Times New Roman" w:cs="Times New Roman"/>
          <w:sz w:val="24"/>
          <w:lang w:val="en-US" w:eastAsia="zh-CN"/>
        </w:rPr>
      </w:pPr>
      <w:r>
        <w:rPr>
          <w:rFonts w:hint="default" w:ascii="Times New Roman" w:hAnsi="Times New Roman" w:cs="Times New Roman"/>
          <w:position w:val="-6"/>
          <w:sz w:val="24"/>
          <w:lang w:val="en-US" w:eastAsia="zh-CN"/>
        </w:rPr>
        <w:object>
          <v:shape id="_x0000_i1085" o:spt="75" type="#_x0000_t75" style="height:16pt;width:60.95pt;" o:ole="t" filled="f" o:preferrelative="t" stroked="f" coordsize="21600,21600">
            <v:path/>
            <v:fill on="f" focussize="0,0"/>
            <v:stroke on="f"/>
            <v:imagedata r:id="rId133" o:title=""/>
            <o:lock v:ext="edit" aspectratio="t"/>
            <w10:wrap type="none"/>
            <w10:anchorlock/>
          </v:shape>
          <o:OLEObject Type="Embed" ProgID="Equation.KSEE3" ShapeID="_x0000_i1085" DrawAspect="Content" ObjectID="_1468075785" r:id="rId132">
            <o:LockedField>false</o:LockedField>
          </o:OLEObject>
        </w:object>
      </w:r>
      <w:r>
        <w:rPr>
          <w:rFonts w:hint="eastAsia" w:ascii="Times New Roman" w:hAnsi="Times New Roman" w:cs="Times New Roman"/>
          <w:sz w:val="24"/>
          <w:lang w:val="en-US" w:eastAsia="zh-CN"/>
        </w:rPr>
        <w:t>:左奇异向量矩阵</w:t>
      </w:r>
    </w:p>
    <w:p w14:paraId="02FF7445">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position w:val="-12"/>
          <w:sz w:val="24"/>
          <w:lang w:val="en-US" w:eastAsia="zh-CN"/>
        </w:rPr>
        <w:object>
          <v:shape id="_x0000_i1086" o:spt="75" type="#_x0000_t75" style="height:19pt;width:164pt;" o:ole="t" filled="f" o:preferrelative="t" stroked="f" coordsize="21600,21600">
            <v:path/>
            <v:fill on="f" focussize="0,0"/>
            <v:stroke on="f"/>
            <v:imagedata r:id="rId135" o:title=""/>
            <o:lock v:ext="edit" aspectratio="t"/>
            <w10:wrap type="none"/>
            <w10:anchorlock/>
          </v:shape>
          <o:OLEObject Type="Embed" ProgID="Equation.KSEE3" ShapeID="_x0000_i1086" DrawAspect="Content" ObjectID="_1468075786" r:id="rId134">
            <o:LockedField>false</o:LockedField>
          </o:OLEObject>
        </w:object>
      </w:r>
    </w:p>
    <w:p w14:paraId="190069EC">
      <w:pPr>
        <w:spacing w:line="240" w:lineRule="auto"/>
        <w:jc w:val="both"/>
        <w:rPr>
          <w:rFonts w:hint="eastAsia" w:ascii="Times New Roman" w:hAnsi="Times New Roman" w:cs="Times New Roman"/>
          <w:sz w:val="24"/>
          <w:lang w:val="en-US" w:eastAsia="zh-CN"/>
        </w:rPr>
      </w:pPr>
      <w:r>
        <w:rPr>
          <w:rFonts w:hint="default" w:ascii="Times New Roman" w:hAnsi="Times New Roman" w:cs="Times New Roman"/>
          <w:position w:val="-6"/>
          <w:sz w:val="24"/>
          <w:lang w:val="en-US" w:eastAsia="zh-CN"/>
        </w:rPr>
        <w:object>
          <v:shape id="_x0000_i1087" o:spt="75" type="#_x0000_t75" style="height:16pt;width:56pt;" o:ole="t" filled="f" o:preferrelative="t" stroked="f" coordsize="21600,21600">
            <v:path/>
            <v:fill on="f" focussize="0,0"/>
            <v:stroke on="f"/>
            <v:imagedata r:id="rId137" o:title=""/>
            <o:lock v:ext="edit" aspectratio="t"/>
            <w10:wrap type="none"/>
            <w10:anchorlock/>
          </v:shape>
          <o:OLEObject Type="Embed" ProgID="Equation.KSEE3" ShapeID="_x0000_i1087" DrawAspect="Content" ObjectID="_1468075787" r:id="rId136">
            <o:LockedField>false</o:LockedField>
          </o:OLEObject>
        </w:object>
      </w:r>
      <w:r>
        <w:rPr>
          <w:rFonts w:hint="eastAsia" w:ascii="Times New Roman" w:hAnsi="Times New Roman" w:cs="Times New Roman"/>
          <w:sz w:val="24"/>
          <w:lang w:val="en-US" w:eastAsia="zh-CN"/>
        </w:rPr>
        <w:t>:右奇异向量矩阵</w:t>
      </w:r>
    </w:p>
    <w:p w14:paraId="4CE94414">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A.4 激活输出机制的严格推导</w:t>
      </w:r>
    </w:p>
    <w:p w14:paraId="20534372">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定理2（激活输出的SVD表示）：MLP层的输出可精确表示为：</w:t>
      </w:r>
    </w:p>
    <w:p w14:paraId="60480045">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22"/>
          <w:sz w:val="24"/>
          <w:lang w:val="en-US" w:eastAsia="zh-CN"/>
        </w:rPr>
        <w:object>
          <v:shape id="_x0000_i1088" o:spt="75" type="#_x0000_t75" style="height:30pt;width:189pt;" o:ole="t" filled="f" o:preferrelative="t" stroked="f" coordsize="21600,21600">
            <v:path/>
            <v:fill on="f" focussize="0,0"/>
            <v:stroke on="f"/>
            <v:imagedata r:id="rId139" o:title=""/>
            <o:lock v:ext="edit" aspectratio="t"/>
            <w10:wrap type="none"/>
            <w10:anchorlock/>
          </v:shape>
          <o:OLEObject Type="Embed" ProgID="Equation.KSEE3" ShapeID="_x0000_i1088" DrawAspect="Content" ObjectID="_1468075788" r:id="rId138">
            <o:LockedField>false</o:LockedField>
          </o:OLEObject>
        </w:object>
      </w:r>
    </w:p>
    <w:p w14:paraId="6B9ED049">
      <w:pPr>
        <w:spacing w:line="240" w:lineRule="auto"/>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其中</w:t>
      </w:r>
      <w:r>
        <w:rPr>
          <w:rFonts w:hint="eastAsia" w:ascii="Times New Roman" w:hAnsi="Times New Roman" w:cs="Times New Roman"/>
          <w:position w:val="-12"/>
          <w:sz w:val="24"/>
          <w:lang w:val="en-US" w:eastAsia="zh-CN"/>
        </w:rPr>
        <w:object>
          <v:shape id="_x0000_i1089" o:spt="75" type="#_x0000_t75" style="height:18pt;width:12pt;" o:ole="t" filled="f" o:preferrelative="t" stroked="f" coordsize="21600,21600">
            <v:path/>
            <v:fill on="f" focussize="0,0"/>
            <v:stroke on="f"/>
            <v:imagedata r:id="rId141" o:title=""/>
            <o:lock v:ext="edit" aspectratio="t"/>
            <w10:wrap type="none"/>
            <w10:anchorlock/>
          </v:shape>
          <o:OLEObject Type="Embed" ProgID="Equation.KSEE3" ShapeID="_x0000_i1089" DrawAspect="Content" ObjectID="_1468075789" r:id="rId140">
            <o:LockedField>false</o:LockedField>
          </o:OLEObject>
        </w:object>
      </w:r>
      <w:r>
        <w:rPr>
          <w:rFonts w:hint="eastAsia" w:ascii="Times New Roman" w:hAnsi="Times New Roman" w:cs="Times New Roman"/>
          <w:sz w:val="24"/>
          <w:lang w:val="en-US" w:eastAsia="zh-CN"/>
        </w:rPr>
        <w:t>和</w:t>
      </w:r>
      <w:r>
        <w:rPr>
          <w:rFonts w:hint="eastAsia" w:ascii="Times New Roman" w:hAnsi="Times New Roman" w:cs="Times New Roman"/>
          <w:position w:val="-12"/>
          <w:sz w:val="24"/>
          <w:lang w:val="en-US" w:eastAsia="zh-CN"/>
        </w:rPr>
        <w:object>
          <v:shape id="_x0000_i1090" o:spt="75" type="#_x0000_t75" style="height:18pt;width:11pt;" o:ole="t" filled="f" o:preferrelative="t" stroked="f" coordsize="21600,21600">
            <v:path/>
            <v:fill on="f" focussize="0,0"/>
            <v:stroke on="f"/>
            <v:imagedata r:id="rId143" o:title=""/>
            <o:lock v:ext="edit" aspectratio="t"/>
            <w10:wrap type="none"/>
            <w10:anchorlock/>
          </v:shape>
          <o:OLEObject Type="Embed" ProgID="Equation.KSEE3" ShapeID="_x0000_i1090" DrawAspect="Content" ObjectID="_1468075790" r:id="rId142">
            <o:LockedField>false</o:LockedField>
          </o:OLEObject>
        </w:object>
      </w:r>
      <w:r>
        <w:rPr>
          <w:rFonts w:hint="eastAsia" w:ascii="Times New Roman" w:hAnsi="Times New Roman" w:cs="Times New Roman"/>
          <w:sz w:val="24"/>
          <w:lang w:val="en-US" w:eastAsia="zh-CN"/>
        </w:rPr>
        <w:t>分别是</w:t>
      </w:r>
      <w:r>
        <w:rPr>
          <w:rFonts w:hint="eastAsia" w:ascii="Times New Roman" w:hAnsi="Times New Roman" w:cs="Times New Roman"/>
          <w:position w:val="-6"/>
          <w:sz w:val="24"/>
          <w:lang w:val="en-US" w:eastAsia="zh-CN"/>
        </w:rPr>
        <w:object>
          <v:shape id="_x0000_i1091" o:spt="75" type="#_x0000_t75" style="height:13.95pt;width:13pt;" o:ole="t" filled="f" o:preferrelative="t" stroked="f" coordsize="21600,21600">
            <v:path/>
            <v:fill on="f" focussize="0,0"/>
            <v:stroke on="f"/>
            <v:imagedata r:id="rId145" o:title=""/>
            <o:lock v:ext="edit" aspectratio="t"/>
            <w10:wrap type="none"/>
            <w10:anchorlock/>
          </v:shape>
          <o:OLEObject Type="Embed" ProgID="Equation.KSEE3" ShapeID="_x0000_i1091" DrawAspect="Content" ObjectID="_1468075791" r:id="rId144">
            <o:LockedField>false</o:LockedField>
          </o:OLEObject>
        </w:object>
      </w:r>
      <w:r>
        <w:rPr>
          <w:rFonts w:hint="eastAsia" w:ascii="Times New Roman" w:hAnsi="Times New Roman" w:cs="Times New Roman"/>
          <w:sz w:val="24"/>
          <w:lang w:val="en-US" w:eastAsia="zh-CN"/>
        </w:rPr>
        <w:t>和</w:t>
      </w:r>
      <w:r>
        <w:rPr>
          <w:rFonts w:hint="eastAsia" w:ascii="Times New Roman" w:hAnsi="Times New Roman" w:cs="Times New Roman"/>
          <w:position w:val="-6"/>
          <w:sz w:val="24"/>
          <w:lang w:val="en-US" w:eastAsia="zh-CN"/>
        </w:rPr>
        <w:object>
          <v:shape id="_x0000_i1092" o:spt="75" type="#_x0000_t75" style="height:13.95pt;width:12pt;" o:ole="t" filled="f" o:preferrelative="t" stroked="f" coordsize="21600,21600">
            <v:path/>
            <v:fill on="f" focussize="0,0"/>
            <v:stroke on="f"/>
            <v:imagedata r:id="rId147" o:title=""/>
            <o:lock v:ext="edit" aspectratio="t"/>
            <w10:wrap type="none"/>
            <w10:anchorlock/>
          </v:shape>
          <o:OLEObject Type="Embed" ProgID="Equation.KSEE3" ShapeID="_x0000_i1092" DrawAspect="Content" ObjectID="_1468075792" r:id="rId146">
            <o:LockedField>false</o:LockedField>
          </o:OLEObject>
        </w:object>
      </w:r>
      <w:r>
        <w:rPr>
          <w:rFonts w:hint="eastAsia" w:ascii="Times New Roman" w:hAnsi="Times New Roman" w:cs="Times New Roman"/>
          <w:sz w:val="24"/>
          <w:lang w:val="en-US" w:eastAsia="zh-CN"/>
        </w:rPr>
        <w:t>的第</w:t>
      </w:r>
      <w:r>
        <w:rPr>
          <w:rFonts w:hint="eastAsia" w:ascii="Times New Roman" w:hAnsi="Times New Roman" w:cs="Times New Roman"/>
          <w:position w:val="-6"/>
          <w:sz w:val="24"/>
          <w:lang w:val="en-US" w:eastAsia="zh-CN"/>
        </w:rPr>
        <w:object>
          <v:shape id="_x0000_i1093" o:spt="75" type="#_x0000_t75" style="height:13pt;width:6.95pt;" o:ole="t" filled="f" o:preferrelative="t" stroked="f" coordsize="21600,21600">
            <v:path/>
            <v:fill on="f" focussize="0,0"/>
            <v:stroke on="f"/>
            <v:imagedata r:id="rId149" o:title=""/>
            <o:lock v:ext="edit" aspectratio="t"/>
            <w10:wrap type="none"/>
            <w10:anchorlock/>
          </v:shape>
          <o:OLEObject Type="Embed" ProgID="Equation.KSEE3" ShapeID="_x0000_i1093" DrawAspect="Content" ObjectID="_1468075793" r:id="rId148">
            <o:LockedField>false</o:LockedField>
          </o:OLEObject>
        </w:object>
      </w:r>
      <w:r>
        <w:rPr>
          <w:rFonts w:hint="eastAsia" w:ascii="Times New Roman" w:hAnsi="Times New Roman" w:cs="Times New Roman"/>
          <w:sz w:val="24"/>
          <w:lang w:val="en-US" w:eastAsia="zh-CN"/>
        </w:rPr>
        <w:t>列。</w:t>
      </w:r>
    </w:p>
    <w:p w14:paraId="32C594B2">
      <w:pPr>
        <w:spacing w:line="240" w:lineRule="auto"/>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定理3（主导方向近似）：当</w:t>
      </w:r>
      <w:r>
        <w:rPr>
          <w:rFonts w:hint="eastAsia" w:ascii="Times New Roman" w:hAnsi="Times New Roman" w:cs="Times New Roman"/>
          <w:position w:val="-12"/>
          <w:sz w:val="24"/>
          <w:lang w:val="en-US" w:eastAsia="zh-CN"/>
        </w:rPr>
        <w:object>
          <v:shape id="_x0000_i1094" o:spt="75" type="#_x0000_t75" style="height:18pt;width:44pt;" o:ole="t" filled="f" o:preferrelative="t" stroked="f" coordsize="21600,21600">
            <v:path/>
            <v:fill on="f" focussize="0,0"/>
            <v:stroke on="f"/>
            <v:imagedata r:id="rId151" o:title=""/>
            <o:lock v:ext="edit" aspectratio="t"/>
            <w10:wrap type="none"/>
            <w10:anchorlock/>
          </v:shape>
          <o:OLEObject Type="Embed" ProgID="Equation.KSEE3" ShapeID="_x0000_i1094" DrawAspect="Content" ObjectID="_1468075794" r:id="rId150">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6"/>
          <w:sz w:val="24"/>
          <w:lang w:val="en-US" w:eastAsia="zh-CN"/>
        </w:rPr>
        <w:object>
          <v:shape id="_x0000_i1095" o:spt="75" type="#_x0000_t75" style="height:13.95pt;width:24.95pt;" o:ole="t" filled="f" o:preferrelative="t" stroked="f" coordsize="21600,21600">
            <v:path/>
            <v:fill on="f" focussize="0,0"/>
            <v:stroke on="f"/>
            <v:imagedata r:id="rId153" o:title=""/>
            <o:lock v:ext="edit" aspectratio="t"/>
            <w10:wrap type="none"/>
            <w10:anchorlock/>
          </v:shape>
          <o:OLEObject Type="Embed" ProgID="Equation.KSEE3" ShapeID="_x0000_i1095" DrawAspect="Content" ObjectID="_1468075795" r:id="rId152">
            <o:LockedField>false</o:LockedField>
          </o:OLEObject>
        </w:object>
      </w:r>
      <w:r>
        <w:rPr>
          <w:rFonts w:hint="eastAsia" w:ascii="Times New Roman" w:hAnsi="Times New Roman" w:cs="Times New Roman"/>
          <w:sz w:val="24"/>
          <w:lang w:val="en-US" w:eastAsia="zh-CN"/>
        </w:rPr>
        <w:t>）时，输出可近似为：</w:t>
      </w:r>
    </w:p>
    <w:p w14:paraId="42ECC6F6">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12"/>
          <w:sz w:val="24"/>
          <w:lang w:val="en-US" w:eastAsia="zh-CN"/>
        </w:rPr>
        <w:object>
          <v:shape id="_x0000_i1096" o:spt="75" type="#_x0000_t75" style="height:18pt;width:85pt;" o:ole="t" filled="f" o:preferrelative="t" stroked="f" coordsize="21600,21600">
            <v:path/>
            <v:fill on="f" focussize="0,0"/>
            <v:stroke on="f"/>
            <v:imagedata r:id="rId155" o:title=""/>
            <o:lock v:ext="edit" aspectratio="t"/>
            <w10:wrap type="none"/>
            <w10:anchorlock/>
          </v:shape>
          <o:OLEObject Type="Embed" ProgID="Equation.KSEE3" ShapeID="_x0000_i1096" DrawAspect="Content" ObjectID="_1468075796" r:id="rId154">
            <o:LockedField>false</o:LockedField>
          </o:OLEObject>
        </w:object>
      </w:r>
    </w:p>
    <w:p w14:paraId="48F35912">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证明：由定理2直接可得，误差项为</w:t>
      </w:r>
      <w:r>
        <w:rPr>
          <w:rFonts w:hint="default" w:ascii="Times New Roman" w:hAnsi="Times New Roman" w:cs="Times New Roman"/>
          <w:position w:val="-22"/>
          <w:sz w:val="24"/>
          <w:lang w:val="en-US" w:eastAsia="zh-CN"/>
        </w:rPr>
        <w:object>
          <v:shape id="_x0000_i1097" o:spt="75" type="#_x0000_t75" style="height:30pt;width:78.95pt;" o:ole="t" filled="f" o:preferrelative="t" stroked="f" coordsize="21600,21600">
            <v:path/>
            <v:fill on="f" focussize="0,0"/>
            <v:stroke on="f"/>
            <v:imagedata r:id="rId157" o:title=""/>
            <o:lock v:ext="edit" aspectratio="t"/>
            <w10:wrap type="none"/>
            <w10:anchorlock/>
          </v:shape>
          <o:OLEObject Type="Embed" ProgID="Equation.KSEE3" ShapeID="_x0000_i1097" DrawAspect="Content" ObjectID="_1468075797" r:id="rId156">
            <o:LockedField>false</o:LockedField>
          </o:OLEObject>
        </w:object>
      </w:r>
      <w:r>
        <w:rPr>
          <w:rFonts w:hint="eastAsia" w:ascii="Times New Roman" w:hAnsi="Times New Roman" w:cs="Times New Roman"/>
          <w:sz w:val="24"/>
          <w:lang w:val="en-US" w:eastAsia="zh-CN"/>
        </w:rPr>
        <w:t>。</w:t>
      </w:r>
    </w:p>
    <w:p w14:paraId="0B3E3D5D">
      <w:pPr>
        <w:spacing w:line="240" w:lineRule="auto"/>
        <w:jc w:val="both"/>
        <w:rPr>
          <w:rFonts w:hint="default" w:ascii="Times New Roman" w:hAnsi="Times New Roman" w:cs="Times New Roman"/>
          <w:sz w:val="24"/>
          <w:lang w:val="en-US" w:eastAsia="zh-CN"/>
        </w:rPr>
      </w:pPr>
    </w:p>
    <w:p w14:paraId="3343F4F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A.5 巨量激活的生成机制</w:t>
      </w:r>
    </w:p>
    <w:p w14:paraId="66845274">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定义3（激活放大）：对于输入向量</w:t>
      </w:r>
      <w:r>
        <w:rPr>
          <w:rFonts w:hint="default" w:ascii="Times New Roman" w:hAnsi="Times New Roman" w:cs="Times New Roman"/>
          <w:position w:val="-10"/>
          <w:sz w:val="24"/>
          <w:lang w:val="en-US" w:eastAsia="zh-CN"/>
        </w:rPr>
        <w:object>
          <v:shape id="_x0000_i1098" o:spt="75" type="#_x0000_t75" style="height:17pt;width:13pt;" o:ole="t" filled="f" o:preferrelative="t" stroked="f" coordsize="21600,21600">
            <v:path/>
            <v:fill on="f" focussize="0,0"/>
            <v:stroke on="f"/>
            <v:imagedata r:id="rId159" o:title=""/>
            <o:lock v:ext="edit" aspectratio="t"/>
            <w10:wrap type="none"/>
            <w10:anchorlock/>
          </v:shape>
          <o:OLEObject Type="Embed" ProgID="Equation.KSEE3" ShapeID="_x0000_i1098" DrawAspect="Content" ObjectID="_1468075798" r:id="rId158">
            <o:LockedField>false</o:LockedField>
          </o:OLEObject>
        </w:object>
      </w:r>
      <w:r>
        <w:rPr>
          <w:rFonts w:hint="default" w:ascii="Times New Roman" w:hAnsi="Times New Roman" w:cs="Times New Roman"/>
          <w:sz w:val="24"/>
          <w:lang w:val="en-US" w:eastAsia="zh-CN"/>
        </w:rPr>
        <w:t>，在输出维度</w:t>
      </w:r>
      <w:r>
        <w:rPr>
          <w:rFonts w:hint="default" w:ascii="Times New Roman" w:hAnsi="Times New Roman" w:cs="Times New Roman"/>
          <w:position w:val="-10"/>
          <w:sz w:val="24"/>
          <w:lang w:val="en-US" w:eastAsia="zh-CN"/>
        </w:rPr>
        <w:object>
          <v:shape id="_x0000_i1099" o:spt="75" type="#_x0000_t75" style="height:15pt;width:10pt;" o:ole="t" filled="f" o:preferrelative="t" stroked="f" coordsize="21600,21600">
            <v:path/>
            <v:fill on="f" focussize="0,0"/>
            <v:stroke on="f"/>
            <v:imagedata r:id="rId161" o:title=""/>
            <o:lock v:ext="edit" aspectratio="t"/>
            <w10:wrap type="none"/>
            <w10:anchorlock/>
          </v:shape>
          <o:OLEObject Type="Embed" ProgID="Equation.KSEE3" ShapeID="_x0000_i1099" DrawAspect="Content" ObjectID="_1468075799" r:id="rId160">
            <o:LockedField>false</o:LockedField>
          </o:OLEObject>
        </w:object>
      </w:r>
      <w:r>
        <w:rPr>
          <w:rFonts w:hint="default" w:ascii="Times New Roman" w:hAnsi="Times New Roman" w:cs="Times New Roman"/>
          <w:sz w:val="24"/>
          <w:lang w:val="en-US" w:eastAsia="zh-CN"/>
        </w:rPr>
        <w:t>上的激活值为：</w:t>
      </w:r>
    </w:p>
    <w:p w14:paraId="76DC4543">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16"/>
          <w:sz w:val="24"/>
          <w:lang w:val="en-US" w:eastAsia="zh-CN"/>
        </w:rPr>
        <w:object>
          <v:shape id="_x0000_i1100" o:spt="75" type="#_x0000_t75" style="height:20pt;width:102pt;" o:ole="t" filled="f" o:preferrelative="t" stroked="f" coordsize="21600,21600">
            <v:path/>
            <v:fill on="f" focussize="0,0"/>
            <v:stroke on="f"/>
            <v:imagedata r:id="rId163" o:title=""/>
            <o:lock v:ext="edit" aspectratio="t"/>
            <w10:wrap type="none"/>
            <w10:anchorlock/>
          </v:shape>
          <o:OLEObject Type="Embed" ProgID="Equation.KSEE3" ShapeID="_x0000_i1100" DrawAspect="Content" ObjectID="_1468075800" r:id="rId162">
            <o:LockedField>false</o:LockedField>
          </o:OLEObject>
        </w:object>
      </w:r>
    </w:p>
    <w:p w14:paraId="1852091B">
      <w:pPr>
        <w:spacing w:line="240" w:lineRule="auto"/>
        <w:jc w:val="both"/>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定理4（巨量激活条件）：当输入向量</w:t>
      </w:r>
      <w:r>
        <w:rPr>
          <w:rFonts w:hint="default" w:ascii="Times New Roman" w:hAnsi="Times New Roman" w:cs="Times New Roman"/>
          <w:position w:val="-10"/>
          <w:sz w:val="24"/>
          <w:lang w:val="en-US" w:eastAsia="zh-CN"/>
        </w:rPr>
        <w:object>
          <v:shape id="_x0000_i1101" o:spt="75" type="#_x0000_t75" style="height:17pt;width:13pt;" o:ole="t" filled="f" o:preferrelative="t" stroked="f" coordsize="21600,21600">
            <v:path/>
            <v:fill on="f" focussize="0,0"/>
            <v:stroke on="f"/>
            <v:imagedata r:id="rId165" o:title=""/>
            <o:lock v:ext="edit" aspectratio="t"/>
            <w10:wrap type="none"/>
            <w10:anchorlock/>
          </v:shape>
          <o:OLEObject Type="Embed" ProgID="Equation.KSEE3" ShapeID="_x0000_i1101" DrawAspect="Content" ObjectID="_1468075801" r:id="rId164">
            <o:LockedField>false</o:LockedField>
          </o:OLEObject>
        </w:object>
      </w:r>
      <w:r>
        <w:rPr>
          <w:rFonts w:hint="default" w:ascii="Times New Roman" w:hAnsi="Times New Roman" w:cs="Times New Roman"/>
          <w:sz w:val="24"/>
          <w:lang w:val="en-US" w:eastAsia="zh-CN"/>
        </w:rPr>
        <w:t>满足与主奇异方向高度对齐</w:t>
      </w:r>
      <w:r>
        <w:rPr>
          <w:rFonts w:hint="eastAsia" w:ascii="Times New Roman" w:hAnsi="Times New Roman" w:cs="Times New Roman"/>
          <w:sz w:val="24"/>
          <w:lang w:val="en-US" w:eastAsia="zh-CN"/>
        </w:rPr>
        <w:t>（</w:t>
      </w:r>
      <w:r>
        <w:rPr>
          <w:rFonts w:hint="eastAsia" w:ascii="Times New Roman" w:hAnsi="Times New Roman" w:cs="Times New Roman"/>
          <w:position w:val="-10"/>
          <w:sz w:val="24"/>
          <w:lang w:val="en-US" w:eastAsia="zh-CN"/>
        </w:rPr>
        <w:object>
          <v:shape id="_x0000_i1102" o:spt="75" type="#_x0000_t75" style="height:17pt;width:28pt;" o:ole="t" filled="f" o:preferrelative="t" stroked="f" coordsize="21600,21600">
            <v:path/>
            <v:fill on="f" focussize="0,0"/>
            <v:stroke on="f"/>
            <v:imagedata r:id="rId167" o:title=""/>
            <o:lock v:ext="edit" aspectratio="t"/>
            <w10:wrap type="none"/>
            <w10:anchorlock/>
          </v:shape>
          <o:OLEObject Type="Embed" ProgID="Equation.KSEE3" ShapeID="_x0000_i1102" DrawAspect="Content" ObjectID="_1468075802" r:id="rId166">
            <o:LockedField>false</o:LockedField>
          </o:OLEObject>
        </w:object>
      </w:r>
      <w:r>
        <w:rPr>
          <w:rFonts w:hint="eastAsia" w:ascii="Times New Roman" w:hAnsi="Times New Roman" w:cs="Times New Roman"/>
          <w:sz w:val="24"/>
          <w:lang w:val="en-US" w:eastAsia="zh-CN"/>
        </w:rPr>
        <w:t>）较大且主奇异值（</w:t>
      </w:r>
      <w:r>
        <w:rPr>
          <w:rFonts w:hint="eastAsia" w:ascii="Times New Roman" w:hAnsi="Times New Roman" w:cs="Times New Roman"/>
          <w:position w:val="-10"/>
          <w:sz w:val="24"/>
          <w:lang w:val="en-US" w:eastAsia="zh-CN"/>
        </w:rPr>
        <w:object>
          <v:shape id="_x0000_i1103" o:spt="75" type="#_x0000_t75" style="height:17pt;width:13.95pt;" o:ole="t" filled="f" o:preferrelative="t" stroked="f" coordsize="21600,21600">
            <v:path/>
            <v:fill on="f" focussize="0,0"/>
            <v:stroke on="f"/>
            <v:imagedata r:id="rId169" o:title=""/>
            <o:lock v:ext="edit" aspectratio="t"/>
            <w10:wrap type="none"/>
            <w10:anchorlock/>
          </v:shape>
          <o:OLEObject Type="Embed" ProgID="Equation.KSEE3" ShapeID="_x0000_i1103" DrawAspect="Content" ObjectID="_1468075803" r:id="rId168">
            <o:LockedField>false</o:LockedField>
          </o:OLEObject>
        </w:object>
      </w:r>
      <w:r>
        <w:rPr>
          <w:rFonts w:hint="eastAsia" w:ascii="Times New Roman" w:hAnsi="Times New Roman" w:cs="Times New Roman"/>
          <w:sz w:val="24"/>
          <w:lang w:val="en-US" w:eastAsia="zh-CN"/>
        </w:rPr>
        <w:t>）足够大则会产生巨量激活。</w:t>
      </w:r>
    </w:p>
    <w:p w14:paraId="7F2E9D9A">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A.6 四维度分析的数学基础</w:t>
      </w:r>
    </w:p>
    <w:p w14:paraId="4322DC29">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方差集中性分析</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定义4（k维方差集中度）对于词</w:t>
      </w:r>
      <w:r>
        <w:rPr>
          <w:rFonts w:hint="default" w:ascii="Times New Roman" w:hAnsi="Times New Roman" w:cs="Times New Roman"/>
          <w:position w:val="-6"/>
          <w:sz w:val="24"/>
          <w:lang w:val="en-US" w:eastAsia="zh-CN"/>
        </w:rPr>
        <w:object>
          <v:shape id="_x0000_i1104" o:spt="75" type="#_x0000_t75" style="height:11pt;width:12pt;" o:ole="t" filled="f" o:preferrelative="t" stroked="f" coordsize="21600,21600">
            <v:path/>
            <v:fill on="f" focussize="0,0"/>
            <v:stroke on="f"/>
            <v:imagedata r:id="rId171" o:title=""/>
            <o:lock v:ext="edit" aspectratio="t"/>
            <w10:wrap type="none"/>
            <w10:anchorlock/>
          </v:shape>
          <o:OLEObject Type="Embed" ProgID="Equation.KSEE3" ShapeID="_x0000_i1104" DrawAspect="Content" ObjectID="_1468075804" r:id="rId170">
            <o:LockedField>false</o:LockedField>
          </o:OLEObject>
        </w:object>
      </w:r>
      <w:r>
        <w:rPr>
          <w:rFonts w:hint="default" w:ascii="Times New Roman" w:hAnsi="Times New Roman" w:cs="Times New Roman"/>
          <w:sz w:val="24"/>
          <w:lang w:val="en-US" w:eastAsia="zh-CN"/>
        </w:rPr>
        <w:t>的激活向量集合，其</w:t>
      </w:r>
      <w:r>
        <w:rPr>
          <w:rFonts w:hint="default" w:ascii="Times New Roman" w:hAnsi="Times New Roman" w:cs="Times New Roman"/>
          <w:position w:val="-6"/>
          <w:sz w:val="24"/>
          <w:lang w:val="en-US" w:eastAsia="zh-CN"/>
        </w:rPr>
        <w:object>
          <v:shape id="_x0000_i1105" o:spt="75" type="#_x0000_t75" style="height:13.95pt;width:10pt;" o:ole="t" filled="f" o:preferrelative="t" stroked="f" coordsize="21600,21600">
            <v:path/>
            <v:fill on="f" focussize="0,0"/>
            <v:stroke on="f"/>
            <v:imagedata r:id="rId173" o:title=""/>
            <o:lock v:ext="edit" aspectratio="t"/>
            <w10:wrap type="none"/>
            <w10:anchorlock/>
          </v:shape>
          <o:OLEObject Type="Embed" ProgID="Equation.KSEE3" ShapeID="_x0000_i1105" DrawAspect="Content" ObjectID="_1468075805" r:id="rId172">
            <o:LockedField>false</o:LockedField>
          </o:OLEObject>
        </w:object>
      </w:r>
      <w:r>
        <w:rPr>
          <w:rFonts w:hint="default" w:ascii="Times New Roman" w:hAnsi="Times New Roman" w:cs="Times New Roman"/>
          <w:sz w:val="24"/>
          <w:lang w:val="en-US" w:eastAsia="zh-CN"/>
        </w:rPr>
        <w:t>维方差集中度为：</w:t>
      </w:r>
    </w:p>
    <w:p w14:paraId="077BEEE8">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30"/>
          <w:sz w:val="24"/>
          <w:lang w:val="en-US" w:eastAsia="zh-CN"/>
        </w:rPr>
        <w:object>
          <v:shape id="_x0000_i1106" o:spt="75" type="#_x0000_t75" style="height:36pt;width:155pt;" o:ole="t" filled="f" o:preferrelative="t" stroked="f" coordsize="21600,21600">
            <v:path/>
            <v:fill on="f" focussize="0,0"/>
            <v:stroke on="f"/>
            <v:imagedata r:id="rId175" o:title=""/>
            <o:lock v:ext="edit" aspectratio="t"/>
            <w10:wrap type="none"/>
            <w10:anchorlock/>
          </v:shape>
          <o:OLEObject Type="Embed" ProgID="Equation.KSEE3" ShapeID="_x0000_i1106" DrawAspect="Content" ObjectID="_1468075806" r:id="rId174">
            <o:LockedField>false</o:LockedField>
          </o:OLEObject>
        </w:object>
      </w:r>
    </w:p>
    <w:p w14:paraId="5FA70250">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左右空间不对称性</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定义5（不对称比率）：</w:t>
      </w:r>
    </w:p>
    <w:p w14:paraId="484148EC">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36"/>
          <w:sz w:val="24"/>
          <w:lang w:val="en-US" w:eastAsia="zh-CN"/>
        </w:rPr>
        <w:object>
          <v:shape id="_x0000_i1107" o:spt="75" type="#_x0000_t75" style="height:39pt;width:109pt;" o:ole="t" filled="f" o:preferrelative="t" stroked="f" coordsize="21600,21600">
            <v:path/>
            <v:fill on="f" focussize="0,0"/>
            <v:stroke on="f"/>
            <v:imagedata r:id="rId177" o:title=""/>
            <o:lock v:ext="edit" aspectratio="t"/>
            <w10:wrap type="none"/>
            <w10:anchorlock/>
          </v:shape>
          <o:OLEObject Type="Embed" ProgID="Equation.KSEE3" ShapeID="_x0000_i1107" DrawAspect="Content" ObjectID="_1468075807" r:id="rId176">
            <o:LockedField>false</o:LockedField>
          </o:OLEObject>
        </w:object>
      </w:r>
    </w:p>
    <w:p w14:paraId="1BA40179">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跨语境稳定性分析</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定义6（跨语境稳定性）词</w:t>
      </w:r>
      <w:r>
        <w:rPr>
          <w:rFonts w:hint="default" w:ascii="Times New Roman" w:hAnsi="Times New Roman" w:cs="Times New Roman"/>
          <w:position w:val="-6"/>
          <w:sz w:val="24"/>
          <w:lang w:val="en-US" w:eastAsia="zh-CN"/>
        </w:rPr>
        <w:object>
          <v:shape id="_x0000_i1108" o:spt="75" type="#_x0000_t75" style="height:11pt;width:12pt;" o:ole="t" filled="f" o:preferrelative="t" stroked="f" coordsize="21600,21600">
            <v:path/>
            <v:fill on="f" focussize="0,0"/>
            <v:stroke on="f"/>
            <v:imagedata r:id="rId179" o:title=""/>
            <o:lock v:ext="edit" aspectratio="t"/>
            <w10:wrap type="none"/>
            <w10:anchorlock/>
          </v:shape>
          <o:OLEObject Type="Embed" ProgID="Equation.KSEE3" ShapeID="_x0000_i1108" DrawAspect="Content" ObjectID="_1468075808" r:id="rId178">
            <o:LockedField>false</o:LockedField>
          </o:OLEObject>
        </w:object>
      </w:r>
      <w:r>
        <w:rPr>
          <w:rFonts w:hint="default" w:ascii="Times New Roman" w:hAnsi="Times New Roman" w:cs="Times New Roman"/>
          <w:sz w:val="24"/>
          <w:lang w:val="en-US" w:eastAsia="zh-CN"/>
        </w:rPr>
        <w:t>的跨语境稳定性定义为：</w:t>
      </w:r>
    </w:p>
    <w:p w14:paraId="5A0DEA5D">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40"/>
          <w:sz w:val="24"/>
          <w:lang w:val="en-US" w:eastAsia="zh-CN"/>
        </w:rPr>
        <w:object>
          <v:shape id="_x0000_i1109" o:spt="75" type="#_x0000_t75" style="height:41pt;width:173pt;" o:ole="t" filled="f" o:preferrelative="t" stroked="f" coordsize="21600,21600">
            <v:path/>
            <v:fill on="f" focussize="0,0"/>
            <v:stroke on="f"/>
            <v:imagedata r:id="rId181" o:title=""/>
            <o:lock v:ext="edit" aspectratio="t"/>
            <w10:wrap type="none"/>
            <w10:anchorlock/>
          </v:shape>
          <o:OLEObject Type="Embed" ProgID="Equation.KSEE3" ShapeID="_x0000_i1109" DrawAspect="Content" ObjectID="_1468075809" r:id="rId180">
            <o:LockedField>false</o:LockedField>
          </o:OLEObject>
        </w:object>
      </w:r>
    </w:p>
    <w:p w14:paraId="3D8768A7">
      <w:pPr>
        <w:spacing w:line="240" w:lineRule="auto"/>
        <w:jc w:val="both"/>
        <w:rPr>
          <w:rFonts w:hint="default" w:ascii="Times New Roman" w:hAnsi="Times New Roman" w:cs="Times New Roman"/>
          <w:sz w:val="24"/>
          <w:lang w:val="en-US" w:eastAsia="zh-CN"/>
        </w:rPr>
      </w:pPr>
    </w:p>
    <w:p w14:paraId="39661768">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主方向对齐强度</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定义7（主方向对齐）：</w:t>
      </w:r>
    </w:p>
    <w:p w14:paraId="137A0ABD">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34"/>
          <w:sz w:val="24"/>
          <w:lang w:val="en-US" w:eastAsia="zh-CN"/>
        </w:rPr>
        <w:object>
          <v:shape id="_x0000_i1110" o:spt="75" type="#_x0000_t75" style="height:38pt;width:71pt;" o:ole="t" filled="f" o:preferrelative="t" stroked="f" coordsize="21600,21600">
            <v:path/>
            <v:fill on="f" focussize="0,0"/>
            <v:stroke on="f"/>
            <v:imagedata r:id="rId183" o:title=""/>
            <o:lock v:ext="edit" aspectratio="t"/>
            <w10:wrap type="none"/>
            <w10:anchorlock/>
          </v:shape>
          <o:OLEObject Type="Embed" ProgID="Equation.KSEE3" ShapeID="_x0000_i1110" DrawAspect="Content" ObjectID="_1468075810" r:id="rId182">
            <o:LockedField>false</o:LockedField>
          </o:OLEObject>
        </w:object>
      </w:r>
    </w:p>
    <w:p w14:paraId="36B85C7C">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t>A.7 统计显著性验证</w:t>
      </w:r>
    </w:p>
    <w:p w14:paraId="63229892">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定理5（Welch t检验）：对于两个独立样本，检验统计量为：</w:t>
      </w:r>
    </w:p>
    <w:p w14:paraId="668BE71E">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70"/>
          <w:sz w:val="24"/>
          <w:lang w:val="en-US" w:eastAsia="zh-CN"/>
        </w:rPr>
        <w:object>
          <v:shape id="_x0000_i1111" o:spt="75" type="#_x0000_t75" style="height:55pt;width:70pt;" o:ole="t" filled="f" o:preferrelative="t" stroked="f" coordsize="21600,21600">
            <v:path/>
            <v:fill on="f" focussize="0,0"/>
            <v:stroke on="f"/>
            <v:imagedata r:id="rId185" o:title=""/>
            <o:lock v:ext="edit" aspectratio="t"/>
            <w10:wrap type="none"/>
            <w10:anchorlock/>
          </v:shape>
          <o:OLEObject Type="Embed" ProgID="Equation.KSEE3" ShapeID="_x0000_i1111" DrawAspect="Content" ObjectID="_1468075811" r:id="rId184">
            <o:LockedField>false</o:LockedField>
          </o:OLEObject>
        </w:object>
      </w:r>
    </w:p>
    <w:p w14:paraId="5DCCFC7D">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定义8（Cohen's d效应量）：</w:t>
      </w:r>
    </w:p>
    <w:p w14:paraId="71FEB992">
      <w:pPr>
        <w:spacing w:line="240" w:lineRule="auto"/>
        <w:jc w:val="both"/>
        <w:rPr>
          <w:rFonts w:hint="default" w:ascii="Times New Roman" w:hAnsi="Times New Roman" w:cs="Times New Roman"/>
          <w:sz w:val="24"/>
          <w:lang w:val="en-US" w:eastAsia="zh-CN"/>
        </w:rPr>
      </w:pPr>
    </w:p>
    <w:p w14:paraId="7BF414B9">
      <w:pPr>
        <w:spacing w:line="240" w:lineRule="auto"/>
        <w:jc w:val="center"/>
        <w:rPr>
          <w:rFonts w:hint="default" w:ascii="Times New Roman" w:hAnsi="Times New Roman" w:cs="Times New Roman"/>
          <w:sz w:val="24"/>
          <w:lang w:val="en-US" w:eastAsia="zh-CN"/>
        </w:rPr>
      </w:pPr>
      <w:r>
        <w:rPr>
          <w:rFonts w:hint="default" w:ascii="Times New Roman" w:hAnsi="Times New Roman" w:cs="Times New Roman"/>
          <w:position w:val="-32"/>
          <w:sz w:val="24"/>
          <w:lang w:val="en-US" w:eastAsia="zh-CN"/>
        </w:rPr>
        <w:object>
          <v:shape id="_x0000_i1112" o:spt="75" type="#_x0000_t75" style="height:36pt;width:54pt;" o:ole="t" filled="f" o:preferrelative="t" stroked="f" coordsize="21600,21600">
            <v:path/>
            <v:fill on="f" focussize="0,0"/>
            <v:stroke on="f"/>
            <v:imagedata r:id="rId187" o:title=""/>
            <o:lock v:ext="edit" aspectratio="t"/>
            <w10:wrap type="none"/>
            <w10:anchorlock/>
          </v:shape>
          <o:OLEObject Type="Embed" ProgID="Equation.KSEE3" ShapeID="_x0000_i1112" DrawAspect="Content" ObjectID="_1468075812" r:id="rId186">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32"/>
          <w:sz w:val="24"/>
          <w:lang w:val="en-US" w:eastAsia="zh-CN"/>
        </w:rPr>
        <w:object>
          <v:shape id="_x0000_i1113" o:spt="75" type="#_x0000_t75" style="height:39pt;width:157.95pt;" o:ole="t" filled="f" o:preferrelative="t" stroked="f" coordsize="21600,21600">
            <v:path/>
            <v:fill on="f" focussize="0,0"/>
            <v:stroke on="f"/>
            <v:imagedata r:id="rId189" o:title=""/>
            <o:lock v:ext="edit" aspectratio="t"/>
            <w10:wrap type="none"/>
            <w10:anchorlock/>
          </v:shape>
          <o:OLEObject Type="Embed" ProgID="Equation.KSEE3" ShapeID="_x0000_i1113" DrawAspect="Content" ObjectID="_1468075813" r:id="rId188">
            <o:LockedField>false</o:LockedField>
          </o:OLEObject>
        </w:object>
      </w:r>
    </w:p>
    <w:p w14:paraId="4B5FFD5A">
      <w:pPr>
        <w:spacing w:line="240" w:lineRule="auto"/>
        <w:jc w:val="both"/>
        <w:rPr>
          <w:rFonts w:hint="default" w:ascii="Times New Roman" w:hAnsi="Times New Roman" w:cs="Times New Roman"/>
          <w:sz w:val="24"/>
          <w:lang w:val="en-US" w:eastAsia="zh-CN"/>
        </w:rPr>
      </w:pPr>
    </w:p>
    <w:p w14:paraId="0C247359">
      <w:pPr>
        <w:spacing w:line="240" w:lineRule="auto"/>
        <w:jc w:val="both"/>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所有维度的统计结果：</w:t>
      </w:r>
    </w:p>
    <w:tbl>
      <w:tblPr>
        <w:tblStyle w:val="4"/>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92"/>
        <w:gridCol w:w="1265"/>
        <w:gridCol w:w="1265"/>
        <w:gridCol w:w="999"/>
        <w:gridCol w:w="1260"/>
        <w:gridCol w:w="1536"/>
      </w:tblGrid>
      <w:tr w14:paraId="160EB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286" w:type="pct"/>
            <w:tcBorders>
              <w:top w:val="single" w:color="auto" w:sz="12" w:space="0"/>
              <w:left w:val="nil"/>
              <w:bottom w:val="single" w:color="auto" w:sz="4" w:space="0"/>
              <w:right w:val="nil"/>
            </w:tcBorders>
            <w:shd w:val="clear" w:color="auto" w:fill="auto"/>
            <w:noWrap/>
            <w:vAlign w:val="center"/>
          </w:tcPr>
          <w:p w14:paraId="7F86AD8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分析维度</w:t>
            </w:r>
          </w:p>
        </w:tc>
        <w:tc>
          <w:tcPr>
            <w:tcW w:w="742" w:type="pct"/>
            <w:tcBorders>
              <w:top w:val="single" w:color="auto" w:sz="12" w:space="0"/>
              <w:left w:val="nil"/>
              <w:bottom w:val="single" w:color="auto" w:sz="4" w:space="0"/>
              <w:right w:val="nil"/>
            </w:tcBorders>
            <w:shd w:val="clear" w:color="auto" w:fill="auto"/>
            <w:noWrap/>
            <w:vAlign w:val="center"/>
          </w:tcPr>
          <w:p w14:paraId="535397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功能词</w:t>
            </w:r>
          </w:p>
        </w:tc>
        <w:tc>
          <w:tcPr>
            <w:tcW w:w="742" w:type="pct"/>
            <w:tcBorders>
              <w:top w:val="single" w:color="auto" w:sz="12" w:space="0"/>
              <w:left w:val="nil"/>
              <w:bottom w:val="single" w:color="auto" w:sz="4" w:space="0"/>
              <w:right w:val="nil"/>
            </w:tcBorders>
            <w:shd w:val="clear" w:color="auto" w:fill="auto"/>
            <w:noWrap/>
            <w:vAlign w:val="center"/>
          </w:tcPr>
          <w:p w14:paraId="7F2D2A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内容词</w:t>
            </w:r>
          </w:p>
        </w:tc>
        <w:tc>
          <w:tcPr>
            <w:tcW w:w="586" w:type="pct"/>
            <w:tcBorders>
              <w:top w:val="single" w:color="auto" w:sz="12" w:space="0"/>
              <w:left w:val="nil"/>
              <w:bottom w:val="single" w:color="auto" w:sz="4" w:space="0"/>
              <w:right w:val="nil"/>
            </w:tcBorders>
            <w:shd w:val="clear" w:color="auto" w:fill="auto"/>
            <w:noWrap/>
            <w:vAlign w:val="center"/>
          </w:tcPr>
          <w:p w14:paraId="6AA419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t值</w:t>
            </w:r>
          </w:p>
        </w:tc>
        <w:tc>
          <w:tcPr>
            <w:tcW w:w="739" w:type="pct"/>
            <w:tcBorders>
              <w:top w:val="single" w:color="auto" w:sz="12" w:space="0"/>
              <w:left w:val="nil"/>
              <w:bottom w:val="single" w:color="auto" w:sz="4" w:space="0"/>
              <w:right w:val="nil"/>
            </w:tcBorders>
            <w:shd w:val="clear" w:color="auto" w:fill="auto"/>
            <w:noWrap/>
            <w:vAlign w:val="center"/>
          </w:tcPr>
          <w:p w14:paraId="70A83FC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p值</w:t>
            </w:r>
          </w:p>
        </w:tc>
        <w:tc>
          <w:tcPr>
            <w:tcW w:w="901" w:type="pct"/>
            <w:tcBorders>
              <w:top w:val="single" w:color="auto" w:sz="12" w:space="0"/>
              <w:left w:val="nil"/>
              <w:bottom w:val="single" w:color="auto" w:sz="4" w:space="0"/>
              <w:right w:val="nil"/>
            </w:tcBorders>
            <w:shd w:val="clear" w:color="auto" w:fill="auto"/>
            <w:noWrap/>
            <w:vAlign w:val="center"/>
          </w:tcPr>
          <w:p w14:paraId="3DE515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000000"/>
                <w:sz w:val="24"/>
                <w:szCs w:val="24"/>
                <w:u w:val="none"/>
              </w:rPr>
            </w:pPr>
            <w:r>
              <w:rPr>
                <w:rFonts w:hint="default" w:ascii="Times New Roman" w:hAnsi="Times New Roman" w:cs="Times New Roman" w:eastAsiaTheme="minorEastAsia"/>
                <w:b/>
                <w:i w:val="0"/>
                <w:iCs w:val="0"/>
                <w:color w:val="000000"/>
                <w:kern w:val="0"/>
                <w:sz w:val="24"/>
                <w:szCs w:val="24"/>
                <w:u w:val="none"/>
                <w:lang w:val="en-US" w:eastAsia="zh-CN" w:bidi="ar"/>
              </w:rPr>
              <w:t>Cohen's d</w:t>
            </w:r>
          </w:p>
        </w:tc>
      </w:tr>
      <w:tr w14:paraId="549B1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86" w:type="pct"/>
            <w:tcBorders>
              <w:top w:val="single" w:color="auto" w:sz="4" w:space="0"/>
              <w:left w:val="nil"/>
              <w:bottom w:val="nil"/>
              <w:right w:val="nil"/>
            </w:tcBorders>
            <w:shd w:val="clear" w:color="auto" w:fill="auto"/>
            <w:noWrap/>
            <w:vAlign w:val="center"/>
          </w:tcPr>
          <w:p w14:paraId="22B138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方差集中度</w:t>
            </w:r>
          </w:p>
        </w:tc>
        <w:tc>
          <w:tcPr>
            <w:tcW w:w="742" w:type="pct"/>
            <w:tcBorders>
              <w:top w:val="single" w:color="auto" w:sz="4" w:space="0"/>
              <w:left w:val="nil"/>
              <w:bottom w:val="nil"/>
              <w:right w:val="nil"/>
            </w:tcBorders>
            <w:shd w:val="clear" w:color="auto" w:fill="auto"/>
            <w:noWrap/>
            <w:vAlign w:val="center"/>
          </w:tcPr>
          <w:p w14:paraId="6F566F6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78.60%</w:t>
            </w:r>
          </w:p>
        </w:tc>
        <w:tc>
          <w:tcPr>
            <w:tcW w:w="742" w:type="pct"/>
            <w:tcBorders>
              <w:top w:val="single" w:color="auto" w:sz="4" w:space="0"/>
              <w:left w:val="nil"/>
              <w:bottom w:val="nil"/>
              <w:right w:val="nil"/>
            </w:tcBorders>
            <w:shd w:val="clear" w:color="auto" w:fill="auto"/>
            <w:noWrap/>
            <w:vAlign w:val="center"/>
          </w:tcPr>
          <w:p w14:paraId="0DD7A78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27.30%</w:t>
            </w:r>
          </w:p>
        </w:tc>
        <w:tc>
          <w:tcPr>
            <w:tcW w:w="586" w:type="pct"/>
            <w:tcBorders>
              <w:top w:val="single" w:color="auto" w:sz="4" w:space="0"/>
              <w:left w:val="nil"/>
              <w:bottom w:val="nil"/>
              <w:right w:val="nil"/>
            </w:tcBorders>
            <w:shd w:val="clear" w:color="auto" w:fill="auto"/>
            <w:noWrap/>
            <w:vAlign w:val="center"/>
          </w:tcPr>
          <w:p w14:paraId="1BB43C8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12.45</w:t>
            </w:r>
          </w:p>
        </w:tc>
        <w:tc>
          <w:tcPr>
            <w:tcW w:w="739" w:type="pct"/>
            <w:tcBorders>
              <w:top w:val="single" w:color="auto" w:sz="4" w:space="0"/>
              <w:left w:val="nil"/>
              <w:bottom w:val="nil"/>
              <w:right w:val="nil"/>
            </w:tcBorders>
            <w:shd w:val="clear" w:color="auto" w:fill="auto"/>
            <w:noWrap/>
            <w:vAlign w:val="center"/>
          </w:tcPr>
          <w:p w14:paraId="317750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&lt; 0.001</w:t>
            </w:r>
          </w:p>
        </w:tc>
        <w:tc>
          <w:tcPr>
            <w:tcW w:w="901" w:type="pct"/>
            <w:tcBorders>
              <w:top w:val="single" w:color="auto" w:sz="4" w:space="0"/>
              <w:left w:val="nil"/>
              <w:bottom w:val="nil"/>
              <w:right w:val="nil"/>
            </w:tcBorders>
            <w:shd w:val="clear" w:color="auto" w:fill="auto"/>
            <w:noWrap/>
            <w:vAlign w:val="center"/>
          </w:tcPr>
          <w:p w14:paraId="6208ECF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2.84</w:t>
            </w:r>
          </w:p>
        </w:tc>
      </w:tr>
      <w:tr w14:paraId="20B0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86" w:type="pct"/>
            <w:tcBorders>
              <w:top w:val="nil"/>
              <w:left w:val="nil"/>
              <w:bottom w:val="nil"/>
              <w:right w:val="nil"/>
            </w:tcBorders>
            <w:shd w:val="clear" w:color="auto" w:fill="auto"/>
            <w:noWrap/>
            <w:vAlign w:val="center"/>
          </w:tcPr>
          <w:p w14:paraId="22C15C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不对称比率</w:t>
            </w:r>
          </w:p>
        </w:tc>
        <w:tc>
          <w:tcPr>
            <w:tcW w:w="742" w:type="pct"/>
            <w:tcBorders>
              <w:top w:val="nil"/>
              <w:left w:val="nil"/>
              <w:bottom w:val="nil"/>
              <w:right w:val="nil"/>
            </w:tcBorders>
            <w:shd w:val="clear" w:color="auto" w:fill="auto"/>
            <w:noWrap/>
            <w:vAlign w:val="center"/>
          </w:tcPr>
          <w:p w14:paraId="66B6901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1.88</w:t>
            </w:r>
          </w:p>
        </w:tc>
        <w:tc>
          <w:tcPr>
            <w:tcW w:w="742" w:type="pct"/>
            <w:tcBorders>
              <w:top w:val="nil"/>
              <w:left w:val="nil"/>
              <w:bottom w:val="nil"/>
              <w:right w:val="nil"/>
            </w:tcBorders>
            <w:shd w:val="clear" w:color="auto" w:fill="auto"/>
            <w:noWrap/>
            <w:vAlign w:val="center"/>
          </w:tcPr>
          <w:p w14:paraId="046A00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0.86</w:t>
            </w:r>
          </w:p>
        </w:tc>
        <w:tc>
          <w:tcPr>
            <w:tcW w:w="586" w:type="pct"/>
            <w:tcBorders>
              <w:top w:val="nil"/>
              <w:left w:val="nil"/>
              <w:bottom w:val="nil"/>
              <w:right w:val="nil"/>
            </w:tcBorders>
            <w:shd w:val="clear" w:color="auto" w:fill="auto"/>
            <w:noWrap/>
            <w:vAlign w:val="center"/>
          </w:tcPr>
          <w:p w14:paraId="239C69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10.23</w:t>
            </w:r>
          </w:p>
        </w:tc>
        <w:tc>
          <w:tcPr>
            <w:tcW w:w="739" w:type="pct"/>
            <w:tcBorders>
              <w:top w:val="nil"/>
              <w:left w:val="nil"/>
              <w:bottom w:val="nil"/>
              <w:right w:val="nil"/>
            </w:tcBorders>
            <w:shd w:val="clear" w:color="auto" w:fill="auto"/>
            <w:noWrap/>
            <w:vAlign w:val="center"/>
          </w:tcPr>
          <w:p w14:paraId="3A2027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&lt; 0.001</w:t>
            </w:r>
          </w:p>
        </w:tc>
        <w:tc>
          <w:tcPr>
            <w:tcW w:w="901" w:type="pct"/>
            <w:tcBorders>
              <w:top w:val="nil"/>
              <w:left w:val="nil"/>
              <w:bottom w:val="nil"/>
              <w:right w:val="nil"/>
            </w:tcBorders>
            <w:shd w:val="clear" w:color="auto" w:fill="auto"/>
            <w:noWrap/>
            <w:vAlign w:val="center"/>
          </w:tcPr>
          <w:p w14:paraId="32E0214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2.17</w:t>
            </w:r>
          </w:p>
        </w:tc>
      </w:tr>
      <w:tr w14:paraId="49D49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86" w:type="pct"/>
            <w:tcBorders>
              <w:top w:val="nil"/>
              <w:left w:val="nil"/>
              <w:bottom w:val="nil"/>
              <w:right w:val="nil"/>
            </w:tcBorders>
            <w:shd w:val="clear" w:color="auto" w:fill="auto"/>
            <w:noWrap/>
            <w:vAlign w:val="center"/>
          </w:tcPr>
          <w:p w14:paraId="5172CA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跨语境稳定性</w:t>
            </w:r>
          </w:p>
        </w:tc>
        <w:tc>
          <w:tcPr>
            <w:tcW w:w="742" w:type="pct"/>
            <w:tcBorders>
              <w:top w:val="nil"/>
              <w:left w:val="nil"/>
              <w:bottom w:val="nil"/>
              <w:right w:val="nil"/>
            </w:tcBorders>
            <w:shd w:val="clear" w:color="auto" w:fill="auto"/>
            <w:noWrap/>
            <w:vAlign w:val="center"/>
          </w:tcPr>
          <w:p w14:paraId="59FD678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0.87</w:t>
            </w:r>
          </w:p>
        </w:tc>
        <w:tc>
          <w:tcPr>
            <w:tcW w:w="742" w:type="pct"/>
            <w:tcBorders>
              <w:top w:val="nil"/>
              <w:left w:val="nil"/>
              <w:bottom w:val="nil"/>
              <w:right w:val="nil"/>
            </w:tcBorders>
            <w:shd w:val="clear" w:color="auto" w:fill="auto"/>
            <w:noWrap/>
            <w:vAlign w:val="center"/>
          </w:tcPr>
          <w:p w14:paraId="1FEAFA9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0.52</w:t>
            </w:r>
          </w:p>
        </w:tc>
        <w:tc>
          <w:tcPr>
            <w:tcW w:w="586" w:type="pct"/>
            <w:tcBorders>
              <w:top w:val="nil"/>
              <w:left w:val="nil"/>
              <w:bottom w:val="nil"/>
              <w:right w:val="nil"/>
            </w:tcBorders>
            <w:shd w:val="clear" w:color="auto" w:fill="auto"/>
            <w:noWrap/>
            <w:vAlign w:val="center"/>
          </w:tcPr>
          <w:p w14:paraId="3EEA49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8.64</w:t>
            </w:r>
          </w:p>
        </w:tc>
        <w:tc>
          <w:tcPr>
            <w:tcW w:w="739" w:type="pct"/>
            <w:tcBorders>
              <w:top w:val="nil"/>
              <w:left w:val="nil"/>
              <w:bottom w:val="nil"/>
              <w:right w:val="nil"/>
            </w:tcBorders>
            <w:shd w:val="clear" w:color="auto" w:fill="auto"/>
            <w:noWrap/>
            <w:vAlign w:val="center"/>
          </w:tcPr>
          <w:p w14:paraId="498AD8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&lt; 0.001</w:t>
            </w:r>
          </w:p>
        </w:tc>
        <w:tc>
          <w:tcPr>
            <w:tcW w:w="901" w:type="pct"/>
            <w:tcBorders>
              <w:top w:val="nil"/>
              <w:left w:val="nil"/>
              <w:bottom w:val="nil"/>
              <w:right w:val="nil"/>
            </w:tcBorders>
            <w:shd w:val="clear" w:color="auto" w:fill="auto"/>
            <w:noWrap/>
            <w:vAlign w:val="center"/>
          </w:tcPr>
          <w:p w14:paraId="0E999D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1.78</w:t>
            </w:r>
          </w:p>
        </w:tc>
      </w:tr>
      <w:tr w14:paraId="57EFF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86" w:type="pct"/>
            <w:tcBorders>
              <w:top w:val="nil"/>
              <w:left w:val="nil"/>
              <w:bottom w:val="single" w:color="auto" w:sz="12" w:space="0"/>
              <w:right w:val="nil"/>
            </w:tcBorders>
            <w:shd w:val="clear" w:color="auto" w:fill="auto"/>
            <w:noWrap/>
            <w:vAlign w:val="center"/>
          </w:tcPr>
          <w:p w14:paraId="02A1C0D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主方向对齐</w:t>
            </w:r>
          </w:p>
        </w:tc>
        <w:tc>
          <w:tcPr>
            <w:tcW w:w="742" w:type="pct"/>
            <w:tcBorders>
              <w:top w:val="nil"/>
              <w:left w:val="nil"/>
              <w:bottom w:val="single" w:color="auto" w:sz="12" w:space="0"/>
              <w:right w:val="nil"/>
            </w:tcBorders>
            <w:shd w:val="clear" w:color="auto" w:fill="auto"/>
            <w:noWrap/>
            <w:vAlign w:val="center"/>
          </w:tcPr>
          <w:p w14:paraId="57FE108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0.652</w:t>
            </w:r>
          </w:p>
        </w:tc>
        <w:tc>
          <w:tcPr>
            <w:tcW w:w="742" w:type="pct"/>
            <w:tcBorders>
              <w:top w:val="nil"/>
              <w:left w:val="nil"/>
              <w:bottom w:val="single" w:color="auto" w:sz="12" w:space="0"/>
              <w:right w:val="nil"/>
            </w:tcBorders>
            <w:shd w:val="clear" w:color="auto" w:fill="auto"/>
            <w:noWrap/>
            <w:vAlign w:val="center"/>
          </w:tcPr>
          <w:p w14:paraId="478F767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0.172</w:t>
            </w:r>
          </w:p>
        </w:tc>
        <w:tc>
          <w:tcPr>
            <w:tcW w:w="586" w:type="pct"/>
            <w:tcBorders>
              <w:top w:val="nil"/>
              <w:left w:val="nil"/>
              <w:bottom w:val="single" w:color="auto" w:sz="12" w:space="0"/>
              <w:right w:val="nil"/>
            </w:tcBorders>
            <w:shd w:val="clear" w:color="auto" w:fill="auto"/>
            <w:noWrap/>
            <w:vAlign w:val="center"/>
          </w:tcPr>
          <w:p w14:paraId="04CD8A3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11.23</w:t>
            </w:r>
          </w:p>
        </w:tc>
        <w:tc>
          <w:tcPr>
            <w:tcW w:w="739" w:type="pct"/>
            <w:tcBorders>
              <w:top w:val="nil"/>
              <w:left w:val="nil"/>
              <w:bottom w:val="single" w:color="auto" w:sz="12" w:space="0"/>
              <w:right w:val="nil"/>
            </w:tcBorders>
            <w:shd w:val="clear" w:color="auto" w:fill="auto"/>
            <w:noWrap/>
            <w:vAlign w:val="center"/>
          </w:tcPr>
          <w:p w14:paraId="49C910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&lt; 0.001</w:t>
            </w:r>
          </w:p>
        </w:tc>
        <w:tc>
          <w:tcPr>
            <w:tcW w:w="901" w:type="pct"/>
            <w:tcBorders>
              <w:top w:val="nil"/>
              <w:left w:val="nil"/>
              <w:bottom w:val="single" w:color="auto" w:sz="12" w:space="0"/>
              <w:right w:val="nil"/>
            </w:tcBorders>
            <w:shd w:val="clear" w:color="auto" w:fill="auto"/>
            <w:noWrap/>
            <w:vAlign w:val="center"/>
          </w:tcPr>
          <w:p w14:paraId="7BF7A2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000000"/>
                <w:sz w:val="24"/>
                <w:szCs w:val="24"/>
                <w:u w:val="none"/>
              </w:rPr>
            </w:pPr>
            <w:r>
              <w:rPr>
                <w:rFonts w:hint="default" w:ascii="Times New Roman" w:hAnsi="Times New Roman" w:cs="Times New Roman" w:eastAsiaTheme="minorEastAsia"/>
                <w:i w:val="0"/>
                <w:iCs w:val="0"/>
                <w:color w:val="000000"/>
                <w:kern w:val="0"/>
                <w:sz w:val="24"/>
                <w:szCs w:val="24"/>
                <w:u w:val="none"/>
                <w:lang w:val="en-US" w:eastAsia="zh-CN" w:bidi="ar"/>
              </w:rPr>
              <w:t>2.85</w:t>
            </w:r>
          </w:p>
        </w:tc>
      </w:tr>
    </w:tbl>
    <w:p w14:paraId="2D902481">
      <w:pPr>
        <w:spacing w:line="240" w:lineRule="auto"/>
        <w:jc w:val="both"/>
        <w:rPr>
          <w:rFonts w:hint="default" w:ascii="Times New Roman" w:hAnsi="Times New Roman" w:cs="Times New Roman"/>
          <w:sz w:val="24"/>
          <w:lang w:val="en-US" w:eastAsia="zh-CN"/>
        </w:rPr>
      </w:pPr>
    </w:p>
    <w:p w14:paraId="6E8149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基于严格的数学推导与实验验证，本研究证实GPT-2中的巨量激活现象源于MLP层Linear2权重矩阵的奇异值分解结构：当词汇的中间激活向量与矩阵主奇异方向形成几何对齐时，其信号被最大奇异值（σ₁=38.26）定向放大，从而触发观测到的极端激活。通过四维度分析（方差集中性、跨语境稳定性、左右空间不对称性及主方向对齐强度），我们揭示功能词因固有的表征稳定性而更易触发此机制。统计检验显示所有维度均具高度显著性（p &lt;0.001，Cohen's d &gt;2.0），且理论预测与实验观测的吻合度达98.7%。该“对齐-放大”因果链不仅完整解释了巨量激活的生成机制，也为理解Transformer架构的内部计算逻辑提供了可解释的数学框架。</w:t>
      </w:r>
    </w:p>
    <w:p w14:paraId="3153A0A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sz w:val="24"/>
          <w:lang w:val="en-US" w:eastAsia="zh-CN"/>
        </w:rPr>
      </w:pPr>
    </w:p>
    <w:p w14:paraId="6E7A413E">
      <w:pPr>
        <w:widowControl w:val="0"/>
        <w:numPr>
          <w:ilvl w:val="0"/>
          <w:numId w:val="0"/>
        </w:numPr>
        <w:kinsoku w:val="0"/>
        <w:wordWrap w:val="0"/>
        <w:autoSpaceDE w:val="0"/>
        <w:autoSpaceDN w:val="0"/>
        <w:jc w:val="both"/>
        <w:rPr>
          <w:rFonts w:hint="default" w:ascii="Times New Roman" w:hAnsi="Times New Roman" w:eastAsia="黑体" w:cs="Times New Roman"/>
          <w:sz w:val="28"/>
          <w:szCs w:val="28"/>
          <w:lang w:val="en-US" w:eastAsia="zh-CN"/>
        </w:rPr>
      </w:pPr>
      <w:r>
        <w:rPr>
          <w:rFonts w:hint="eastAsia" w:ascii="Times New Roman" w:hAnsi="Times New Roman" w:eastAsia="黑体" w:cs="Times New Roman"/>
          <w:sz w:val="28"/>
          <w:szCs w:val="28"/>
          <w:lang w:val="en-US" w:eastAsia="zh-CN"/>
        </w:rPr>
        <w:t>B 剪枝前后实验数据表与可视化</w:t>
      </w:r>
    </w:p>
    <w:p w14:paraId="1C4E95A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lang w:val="en-US" w:eastAsia="zh-CN"/>
        </w:rPr>
      </w:pPr>
    </w:p>
    <w:p w14:paraId="3EDB9BAA">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B</w:t>
      </w:r>
      <w:r>
        <w:rPr>
          <w:rFonts w:hint="default" w:ascii="Times New Roman" w:hAnsi="Times New Roman" w:eastAsia="黑体" w:cs="Times New Roman"/>
          <w:sz w:val="24"/>
          <w:lang w:val="en-US" w:eastAsia="zh-CN"/>
        </w:rPr>
        <w:t>.1 剪枝前后实验数据表</w:t>
      </w:r>
    </w:p>
    <w:p w14:paraId="46050A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黑体" w:cs="Times New Roman"/>
          <w:sz w:val="24"/>
          <w:lang w:val="en-US" w:eastAsia="zh-CN"/>
        </w:rPr>
      </w:pPr>
      <w:r>
        <w:rPr>
          <w:rFonts w:hint="default" w:ascii="Times New Roman" w:hAnsi="Times New Roman" w:cs="Times New Roman"/>
          <w:sz w:val="24"/>
          <w:lang w:val="en-US" w:eastAsia="zh-CN"/>
        </w:rPr>
        <w:t>为系统评估注意力头剪枝对巨量激活现象的影响，本附录提供了基线及剪枝实验的详细数据。表 B-1 记录了 GPT-2 模型在未剪枝状态（基线）下各 Transformer 层的典型激活统计，包括每层 Top1 激活值、中位数激活值及其比值。表B-2则对比了修剪高关联头（Top10）与低关联头（Bottom5）后，各层 Top1 激活值的变化百分比。</w:t>
      </w:r>
    </w:p>
    <w:p w14:paraId="246EB582">
      <w:pPr>
        <w:spacing w:line="400" w:lineRule="exact"/>
        <w:jc w:val="center"/>
        <w:rPr>
          <w:rFonts w:hint="default" w:ascii="Times New Roman" w:hAnsi="Times New Roman" w:cs="Times New Roman"/>
          <w:sz w:val="24"/>
          <w:lang w:val="en-US" w:eastAsia="zh-CN"/>
        </w:rPr>
      </w:pPr>
      <w:r>
        <w:rPr>
          <w:rFonts w:hint="eastAsia" w:ascii="Times New Roman" w:hAnsi="Times New Roman" w:eastAsia="楷体" w:cs="Times New Roman"/>
          <w:szCs w:val="21"/>
          <w:lang w:val="en-US" w:eastAsia="zh-CN"/>
        </w:rPr>
        <w:t xml:space="preserve">Table B-1 </w:t>
      </w:r>
      <w:r>
        <w:rPr>
          <w:rFonts w:hint="default" w:ascii="Times New Roman" w:hAnsi="Times New Roman" w:eastAsia="楷体" w:cs="Times New Roman"/>
          <w:szCs w:val="21"/>
          <w:lang w:val="en-US" w:eastAsia="zh-CN"/>
        </w:rPr>
        <w:t>基线Massive Activations（未剪枝）</w:t>
      </w:r>
    </w:p>
    <w:tbl>
      <w:tblPr>
        <w:tblStyle w:val="4"/>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08"/>
        <w:gridCol w:w="1108"/>
        <w:gridCol w:w="1108"/>
        <w:gridCol w:w="1436"/>
        <w:gridCol w:w="3059"/>
      </w:tblGrid>
      <w:tr w14:paraId="236A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F754EF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层</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E5F14D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Top1</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D5B5D6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Top2</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CD6068A">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Top3</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3CA992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中位数</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6290CF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b/>
                <w:i w:val="0"/>
                <w:iCs w:val="0"/>
                <w:color w:val="1F2328"/>
                <w:sz w:val="24"/>
                <w:szCs w:val="24"/>
                <w:u w:val="none"/>
              </w:rPr>
            </w:pPr>
            <w:r>
              <w:rPr>
                <w:rFonts w:hint="default" w:ascii="Times New Roman" w:hAnsi="Times New Roman" w:cs="Times New Roman" w:eastAsiaTheme="minorEastAsia"/>
                <w:b/>
                <w:i w:val="0"/>
                <w:iCs w:val="0"/>
                <w:color w:val="1F2328"/>
                <w:kern w:val="0"/>
                <w:sz w:val="24"/>
                <w:szCs w:val="24"/>
                <w:u w:val="none"/>
                <w:lang w:val="en-US" w:eastAsia="zh-CN" w:bidi="ar"/>
              </w:rPr>
              <w:t>Top1/中位数比例</w:t>
            </w:r>
          </w:p>
        </w:tc>
      </w:tr>
      <w:tr w14:paraId="3EDA2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4BF093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0</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A60F0F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101</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647B3D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100</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C3093D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50</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9AF346A">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0.6</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5790EDA">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168×</w:t>
            </w:r>
          </w:p>
        </w:tc>
      </w:tr>
      <w:tr w14:paraId="31AA3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86AF11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BC9C3B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610</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B9E6D7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102</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46AE9C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52</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4E7B2CF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0.71</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9DE8ED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859×</w:t>
            </w:r>
          </w:p>
        </w:tc>
      </w:tr>
      <w:tr w14:paraId="00F52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060F3D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276CF64">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2475</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255A90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703</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E78108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101</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CE86804">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0.84</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68A059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2946×</w:t>
            </w:r>
          </w:p>
        </w:tc>
      </w:tr>
      <w:tr w14:paraId="6C9A2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4FF9A63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3</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795B4D7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2647</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95AD409">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781</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1D6E82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128</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B52802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1.01</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07AD63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2620×</w:t>
            </w:r>
          </w:p>
        </w:tc>
      </w:tr>
      <w:tr w14:paraId="07EE8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41E4F97">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4</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FAC3A1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2793</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D0A852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813</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DEB493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155</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424CC9E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1.15</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B9A8EE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2429×</w:t>
            </w:r>
          </w:p>
        </w:tc>
      </w:tr>
      <w:tr w14:paraId="73C84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2EB9BD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5</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D8FE92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2890</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78B3321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834</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58F1C34">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179</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FC787B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1.28</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E88351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2258×</w:t>
            </w:r>
          </w:p>
        </w:tc>
      </w:tr>
      <w:tr w14:paraId="2C8E1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07C6B5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6</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210151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2947</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0C69E9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844</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DF8652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192</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2851DC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1.43</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21F60F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2061×</w:t>
            </w:r>
          </w:p>
        </w:tc>
      </w:tr>
      <w:tr w14:paraId="78A1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0CAEE4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7</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C6F7822">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2982</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3632FB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851</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592F3F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202</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BAFE7C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1.56</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22833B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1912×</w:t>
            </w:r>
          </w:p>
        </w:tc>
      </w:tr>
      <w:tr w14:paraId="12681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2663F6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4825917">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3005</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58A3194">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857</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866A20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208</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FC09A3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1.74</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EDDEB4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1727×</w:t>
            </w:r>
          </w:p>
        </w:tc>
      </w:tr>
      <w:tr w14:paraId="1F9F7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7F2265C">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9</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C1C342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3016</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4EC311E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860</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2B5F71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211</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71B2A7E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2.12</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B0D029B">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1423×</w:t>
            </w:r>
          </w:p>
        </w:tc>
      </w:tr>
      <w:tr w14:paraId="3A88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BB3ED36">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10</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44EA938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3019</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BBF643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862</w:t>
            </w:r>
          </w:p>
        </w:tc>
        <w:tc>
          <w:tcPr>
            <w:tcW w:w="11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101141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214</w:t>
            </w:r>
          </w:p>
        </w:tc>
        <w:tc>
          <w:tcPr>
            <w:tcW w:w="1436"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3EAE42E">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2.61</w:t>
            </w:r>
          </w:p>
        </w:tc>
        <w:tc>
          <w:tcPr>
            <w:tcW w:w="30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977449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1157×</w:t>
            </w:r>
          </w:p>
        </w:tc>
      </w:tr>
      <w:tr w14:paraId="2FF32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9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FC54411">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11</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378A635">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447</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9C82273">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751</w:t>
            </w:r>
          </w:p>
        </w:tc>
        <w:tc>
          <w:tcPr>
            <w:tcW w:w="11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DEE6A9D">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150</w:t>
            </w:r>
          </w:p>
        </w:tc>
        <w:tc>
          <w:tcPr>
            <w:tcW w:w="1436"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EA11620">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3.21</w:t>
            </w:r>
          </w:p>
        </w:tc>
        <w:tc>
          <w:tcPr>
            <w:tcW w:w="30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5EB335F">
            <w:pPr>
              <w:keepNext/>
              <w:keepLines w:val="0"/>
              <w:widowControl/>
              <w:suppressLineNumbers w:val="0"/>
              <w:snapToGrid w:val="0"/>
              <w:ind w:left="0" w:leftChars="0" w:right="0" w:rightChars="0" w:firstLine="0" w:firstLineChars="0"/>
              <w:jc w:val="center"/>
              <w:textAlignment w:val="center"/>
              <w:rPr>
                <w:rFonts w:hint="default" w:ascii="Times New Roman" w:hAnsi="Times New Roman" w:cs="Times New Roman" w:eastAsiaTheme="minorEastAsia"/>
                <w:i w:val="0"/>
                <w:iCs w:val="0"/>
                <w:color w:val="1F2328"/>
                <w:sz w:val="24"/>
                <w:szCs w:val="24"/>
                <w:u w:val="none"/>
              </w:rPr>
            </w:pPr>
            <w:r>
              <w:rPr>
                <w:rFonts w:hint="default" w:ascii="Times New Roman" w:hAnsi="Times New Roman" w:cs="Times New Roman" w:eastAsiaTheme="minorEastAsia"/>
                <w:i w:val="0"/>
                <w:iCs w:val="0"/>
                <w:color w:val="1F2328"/>
                <w:kern w:val="0"/>
                <w:sz w:val="24"/>
                <w:szCs w:val="24"/>
                <w:u w:val="none"/>
                <w:lang w:val="en-US" w:eastAsia="zh-CN" w:bidi="ar"/>
              </w:rPr>
              <w:t>139×</w:t>
            </w:r>
          </w:p>
        </w:tc>
      </w:tr>
    </w:tbl>
    <w:p w14:paraId="5E167460">
      <w:pPr>
        <w:spacing w:line="400" w:lineRule="exact"/>
        <w:jc w:val="center"/>
        <w:rPr>
          <w:rFonts w:hint="default" w:ascii="Times New Roman" w:hAnsi="Times New Roman" w:eastAsia="楷体" w:cs="Times New Roman"/>
          <w:szCs w:val="21"/>
          <w:lang w:val="en-US" w:eastAsia="zh-CN"/>
        </w:rPr>
      </w:pPr>
      <w:r>
        <w:rPr>
          <w:rFonts w:hint="eastAsia" w:ascii="Times New Roman" w:hAnsi="Times New Roman" w:eastAsia="楷体" w:cs="Times New Roman"/>
          <w:szCs w:val="21"/>
          <w:lang w:val="en-US" w:eastAsia="zh-CN"/>
        </w:rPr>
        <w:t xml:space="preserve">Table B-2 </w:t>
      </w:r>
      <w:r>
        <w:rPr>
          <w:rFonts w:hint="default" w:ascii="Times New Roman" w:hAnsi="Times New Roman" w:eastAsia="楷体" w:cs="Times New Roman"/>
          <w:szCs w:val="21"/>
          <w:lang w:val="en-US" w:eastAsia="zh-CN"/>
        </w:rPr>
        <w:t>剪枝实验对比</w:t>
      </w:r>
    </w:p>
    <w:tbl>
      <w:tblPr>
        <w:tblStyle w:val="4"/>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5"/>
        <w:gridCol w:w="1457"/>
        <w:gridCol w:w="1959"/>
        <w:gridCol w:w="1007"/>
        <w:gridCol w:w="2551"/>
        <w:gridCol w:w="1008"/>
      </w:tblGrid>
      <w:tr w14:paraId="2CB71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397259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层</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1170069F">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基线Top1</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6FF77A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剪枝TOP头后</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737B7A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变化%</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D04C1D0">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剪枝BOTTOM头后</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08502D8">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变化%</w:t>
            </w:r>
          </w:p>
        </w:tc>
      </w:tr>
      <w:tr w14:paraId="4ECA6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E6B49F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0742E82">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101</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68968D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101</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AA4ECEF">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944A6C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99</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F9AF4C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-2.64</w:t>
            </w:r>
          </w:p>
        </w:tc>
      </w:tr>
      <w:tr w14:paraId="292A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63AF67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1</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0F3725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610</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17F7351">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610</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7ADB64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343DFDF">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605</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3FBBD8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-0.79</w:t>
            </w:r>
          </w:p>
        </w:tc>
      </w:tr>
      <w:tr w14:paraId="71FE1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4A36445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0CE31F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2475</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8001C8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2475</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7ED10F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6F1DE78">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2470</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D3DA5A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-0.19</w:t>
            </w:r>
          </w:p>
        </w:tc>
      </w:tr>
      <w:tr w14:paraId="613F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C0C5BC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4578463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2647</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BE977DA">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2647</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F4E323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2257483">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2637</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4EC8F1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w:t>
            </w:r>
          </w:p>
        </w:tc>
      </w:tr>
      <w:tr w14:paraId="5ECA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10AAC7C">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4</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2CB9F9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2793</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4A2E603">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2793</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7B92453">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86CD20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2781</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B670042">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-0.44</w:t>
            </w:r>
          </w:p>
        </w:tc>
      </w:tr>
      <w:tr w14:paraId="75261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DB8C063">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5</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33959FC">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2890</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EFD494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2890</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929A790">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6DFF60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2876</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6B57B0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-0.47</w:t>
            </w:r>
          </w:p>
        </w:tc>
      </w:tr>
      <w:tr w14:paraId="51C68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46A172F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6</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3D497C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2947</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06BC67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2947</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77F3B8E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4A921000">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2933</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E65E28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-0.47</w:t>
            </w:r>
          </w:p>
        </w:tc>
      </w:tr>
      <w:tr w14:paraId="73CAE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7331BC1D">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7</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85F1DE1">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2982</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33FB1F5">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2982</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BDE7CF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5643B0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2968</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07B1469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-0.49</w:t>
            </w:r>
          </w:p>
        </w:tc>
      </w:tr>
      <w:tr w14:paraId="1C1AD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241B942">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8</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E6034F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3005</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C59C40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3004</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BB33752">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47F3CC2">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2990</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2053A84">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-0.49</w:t>
            </w:r>
          </w:p>
        </w:tc>
      </w:tr>
      <w:tr w14:paraId="278B3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CD9AE84">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9</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1AA40E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3016</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12F5C1F">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3016</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4FC7EA0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-0.01</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1465FE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3002</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39BB51D0">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-0.49</w:t>
            </w:r>
          </w:p>
        </w:tc>
      </w:tr>
      <w:tr w14:paraId="737AE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7E16471">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10</w:t>
            </w:r>
          </w:p>
        </w:tc>
        <w:tc>
          <w:tcPr>
            <w:tcW w:w="145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2F2C43B3">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3019</w:t>
            </w:r>
          </w:p>
        </w:tc>
        <w:tc>
          <w:tcPr>
            <w:tcW w:w="1959"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031A759A">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3019</w:t>
            </w:r>
          </w:p>
        </w:tc>
        <w:tc>
          <w:tcPr>
            <w:tcW w:w="1007"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518AB5FE">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-0.02</w:t>
            </w:r>
          </w:p>
        </w:tc>
        <w:tc>
          <w:tcPr>
            <w:tcW w:w="2551"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6D257F86">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3004</w:t>
            </w:r>
          </w:p>
        </w:tc>
        <w:tc>
          <w:tcPr>
            <w:tcW w:w="1008" w:type="dxa"/>
            <w:tcBorders>
              <w:top w:val="single" w:color="D1D9E0" w:sz="4" w:space="0"/>
              <w:left w:val="single" w:color="D1D9E0" w:sz="4" w:space="0"/>
              <w:bottom w:val="single" w:color="D1D9E0" w:sz="4" w:space="0"/>
              <w:right w:val="single" w:color="D1D9E0" w:sz="4" w:space="0"/>
            </w:tcBorders>
            <w:shd w:val="clear" w:color="auto" w:fill="FFFFFF"/>
            <w:vAlign w:val="center"/>
          </w:tcPr>
          <w:p w14:paraId="35408A6D">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-0.5</w:t>
            </w:r>
          </w:p>
        </w:tc>
      </w:tr>
      <w:tr w14:paraId="394CB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35"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5202A1B9">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11</w:t>
            </w:r>
          </w:p>
        </w:tc>
        <w:tc>
          <w:tcPr>
            <w:tcW w:w="145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20115A4D">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447</w:t>
            </w:r>
          </w:p>
        </w:tc>
        <w:tc>
          <w:tcPr>
            <w:tcW w:w="1959"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2DBBB44">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450</w:t>
            </w:r>
          </w:p>
        </w:tc>
        <w:tc>
          <w:tcPr>
            <w:tcW w:w="1007"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6A69DAC0">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0.73</w:t>
            </w:r>
          </w:p>
        </w:tc>
        <w:tc>
          <w:tcPr>
            <w:tcW w:w="2551"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71B78C0B">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449</w:t>
            </w:r>
          </w:p>
        </w:tc>
        <w:tc>
          <w:tcPr>
            <w:tcW w:w="1008" w:type="dxa"/>
            <w:tcBorders>
              <w:top w:val="single" w:color="D1D9E0" w:sz="4" w:space="0"/>
              <w:left w:val="single" w:color="D1D9E0" w:sz="4" w:space="0"/>
              <w:bottom w:val="single" w:color="D1D9E0" w:sz="4" w:space="0"/>
              <w:right w:val="single" w:color="D1D9E0" w:sz="4" w:space="0"/>
            </w:tcBorders>
            <w:shd w:val="clear" w:color="auto" w:fill="F6F8FA"/>
            <w:vAlign w:val="center"/>
          </w:tcPr>
          <w:p w14:paraId="1DC53F17">
            <w:pPr>
              <w:keepNext w:val="0"/>
              <w:keepLines w:val="0"/>
              <w:widowControl/>
              <w:suppressLineNumbers w:val="0"/>
              <w:snapToGrid w:val="0"/>
              <w:jc w:val="center"/>
              <w:textAlignment w:val="center"/>
              <w:rPr>
                <w:rFonts w:hint="default" w:ascii="Times New Roman" w:hAnsi="Times New Roman" w:eastAsia="Segoe UI" w:cs="Times New Roman"/>
                <w:i w:val="0"/>
                <w:iCs w:val="0"/>
                <w:color w:val="1F2328"/>
                <w:sz w:val="24"/>
                <w:szCs w:val="24"/>
                <w:u w:val="none"/>
              </w:rPr>
            </w:pPr>
            <w:r>
              <w:rPr>
                <w:rFonts w:hint="default" w:ascii="Times New Roman" w:hAnsi="Times New Roman" w:eastAsia="Segoe UI" w:cs="Times New Roman"/>
                <w:i w:val="0"/>
                <w:iCs w:val="0"/>
                <w:color w:val="1F2328"/>
                <w:kern w:val="0"/>
                <w:sz w:val="24"/>
                <w:szCs w:val="24"/>
                <w:u w:val="none"/>
                <w:lang w:val="en-US" w:eastAsia="zh-CN" w:bidi="ar"/>
              </w:rPr>
              <w:t>0.59</w:t>
            </w:r>
          </w:p>
        </w:tc>
      </w:tr>
    </w:tbl>
    <w:p w14:paraId="06B6ADC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sz w:val="24"/>
          <w:lang w:val="en-US" w:eastAsia="zh-CN"/>
        </w:rPr>
      </w:pPr>
    </w:p>
    <w:p w14:paraId="2537BB5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如表 B-1 所示，巨量激活在早期层（如第 2 层）即出现爆发性增长，Top1 与中位数激活值的比率普遍超过 1000 倍，证实了该现象的极端性与层级特异性。表 B-2 进一步表明，无论修剪高关联头（Top10）或低关联头（Bottom5），各层 Top1 激活值的变化百分比均低于 ±2.64%，且多数层的变化率接近于零。这一结果与正文 4.2 节的结论一致，即注意力头剪枝对巨量激活强度的影响可忽略不计，进一步支持了“注意力机制非激活生成源”的论断。</w:t>
      </w:r>
    </w:p>
    <w:p w14:paraId="0FBD3B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sz w:val="24"/>
          <w:lang w:val="en-US" w:eastAsia="zh-CN"/>
        </w:rPr>
      </w:pPr>
    </w:p>
    <w:p w14:paraId="29BD2476">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lang w:val="en-US" w:eastAsia="zh-CN"/>
        </w:rPr>
      </w:pPr>
    </w:p>
    <w:p w14:paraId="41FDCEDD">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Times New Roman" w:hAnsi="Times New Roman" w:eastAsia="黑体" w:cs="Times New Roman"/>
          <w:sz w:val="24"/>
          <w:lang w:val="en-US" w:eastAsia="zh-CN"/>
        </w:rPr>
      </w:pPr>
    </w:p>
    <w:p w14:paraId="393C1ECE">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B</w:t>
      </w:r>
      <w:r>
        <w:rPr>
          <w:rFonts w:hint="default" w:ascii="Times New Roman" w:hAnsi="Times New Roman" w:eastAsia="黑体" w:cs="Times New Roman"/>
          <w:sz w:val="24"/>
          <w:lang w:val="en-US" w:eastAsia="zh-CN"/>
        </w:rPr>
        <w:t>.</w:t>
      </w:r>
      <w:r>
        <w:rPr>
          <w:rFonts w:hint="eastAsia" w:ascii="Times New Roman" w:hAnsi="Times New Roman" w:eastAsia="黑体" w:cs="Times New Roman"/>
          <w:sz w:val="24"/>
          <w:lang w:val="en-US" w:eastAsia="zh-CN"/>
        </w:rPr>
        <w:t>2</w:t>
      </w:r>
      <w:r>
        <w:rPr>
          <w:rFonts w:hint="default" w:ascii="Times New Roman" w:hAnsi="Times New Roman" w:eastAsia="黑体" w:cs="Times New Roman"/>
          <w:sz w:val="24"/>
          <w:lang w:val="en-US" w:eastAsia="zh-CN"/>
        </w:rPr>
        <w:t xml:space="preserve"> 3D可视化：剪枝前后对比</w:t>
      </w:r>
    </w:p>
    <w:p w14:paraId="599AE67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为直观展示剪枝操作对激活空间分布的影响，本附录提供了基于 3D 可视化的层间激活对比。图中分别呈现了第 2 层与第 5 层在剪枝特定注意力头前后的激活分布情况。</w:t>
      </w:r>
    </w:p>
    <w:p w14:paraId="09AF6024">
      <w:pPr>
        <w:pStyle w:val="3"/>
        <w:keepNext w:val="0"/>
        <w:keepLines w:val="0"/>
        <w:widowControl/>
        <w:suppressLineNumbers w:val="0"/>
        <w:jc w:val="center"/>
      </w:pPr>
      <w:r>
        <w:drawing>
          <wp:inline distT="0" distB="0" distL="114300" distR="114300">
            <wp:extent cx="4885055" cy="2491105"/>
            <wp:effectExtent l="0" t="0" r="4445" b="10795"/>
            <wp:docPr id="21"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6" descr="IMG_256"/>
                    <pic:cNvPicPr>
                      <a:picLocks noChangeAspect="1"/>
                    </pic:cNvPicPr>
                  </pic:nvPicPr>
                  <pic:blipFill>
                    <a:blip r:embed="rId190"/>
                    <a:stretch>
                      <a:fillRect/>
                    </a:stretch>
                  </pic:blipFill>
                  <pic:spPr>
                    <a:xfrm>
                      <a:off x="0" y="0"/>
                      <a:ext cx="4885055" cy="2491105"/>
                    </a:xfrm>
                    <a:prstGeom prst="rect">
                      <a:avLst/>
                    </a:prstGeom>
                    <a:noFill/>
                    <a:ln w="9525">
                      <a:noFill/>
                    </a:ln>
                  </pic:spPr>
                </pic:pic>
              </a:graphicData>
            </a:graphic>
          </wp:inline>
        </w:drawing>
      </w:r>
    </w:p>
    <w:p w14:paraId="5CE5116F">
      <w:pPr>
        <w:spacing w:line="400" w:lineRule="exact"/>
        <w:jc w:val="center"/>
        <w:rPr>
          <w:rFonts w:hint="default" w:ascii="Times New Roman" w:hAnsi="Times New Roman" w:cs="Times New Roman"/>
          <w:sz w:val="24"/>
          <w:lang w:val="en-US" w:eastAsia="zh-CN"/>
        </w:rPr>
      </w:pPr>
      <w:r>
        <w:rPr>
          <w:rFonts w:hint="default" w:ascii="Times New Roman" w:hAnsi="Times New Roman" w:eastAsia="楷体" w:cs="Times New Roman"/>
          <w:szCs w:val="21"/>
          <w:lang w:val="en-US" w:eastAsia="zh-CN"/>
        </w:rPr>
        <w:t>图B-1：Layer 2 - 剪枝Head 7前（左）后（右）</w:t>
      </w:r>
    </w:p>
    <w:p w14:paraId="063C64EC">
      <w:pPr>
        <w:pStyle w:val="3"/>
        <w:keepNext w:val="0"/>
        <w:keepLines w:val="0"/>
        <w:widowControl/>
        <w:suppressLineNumbers w:val="0"/>
        <w:jc w:val="center"/>
      </w:pPr>
      <w:r>
        <w:drawing>
          <wp:inline distT="0" distB="0" distL="114300" distR="114300">
            <wp:extent cx="4932045" cy="1774825"/>
            <wp:effectExtent l="0" t="0" r="8255" b="3175"/>
            <wp:docPr id="22" name="图片 1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8" descr="IMG_256"/>
                    <pic:cNvPicPr>
                      <a:picLocks noChangeAspect="1"/>
                    </pic:cNvPicPr>
                  </pic:nvPicPr>
                  <pic:blipFill>
                    <a:blip r:embed="rId191"/>
                    <a:stretch>
                      <a:fillRect/>
                    </a:stretch>
                  </pic:blipFill>
                  <pic:spPr>
                    <a:xfrm>
                      <a:off x="0" y="0"/>
                      <a:ext cx="4932045" cy="1774825"/>
                    </a:xfrm>
                    <a:prstGeom prst="rect">
                      <a:avLst/>
                    </a:prstGeom>
                    <a:noFill/>
                    <a:ln w="9525">
                      <a:noFill/>
                    </a:ln>
                  </pic:spPr>
                </pic:pic>
              </a:graphicData>
            </a:graphic>
          </wp:inline>
        </w:drawing>
      </w:r>
    </w:p>
    <w:p w14:paraId="5B6FA075">
      <w:pPr>
        <w:spacing w:line="400" w:lineRule="exact"/>
        <w:jc w:val="center"/>
        <w:rPr>
          <w:rFonts w:hint="default" w:ascii="Times New Roman" w:hAnsi="Times New Roman" w:eastAsia="楷体" w:cs="Times New Roman"/>
          <w:szCs w:val="21"/>
          <w:lang w:val="en-US" w:eastAsia="zh-CN"/>
        </w:rPr>
      </w:pPr>
      <w:r>
        <w:rPr>
          <w:rFonts w:hint="eastAsia" w:ascii="Times New Roman" w:hAnsi="Times New Roman" w:eastAsia="楷体" w:cs="Times New Roman"/>
          <w:szCs w:val="21"/>
          <w:lang w:val="en-US" w:eastAsia="zh-CN"/>
        </w:rPr>
        <w:t>图B-2：Layer 5差异分析 - 零影响</w:t>
      </w:r>
    </w:p>
    <w:p w14:paraId="05436885">
      <w:pPr>
        <w:spacing w:line="240" w:lineRule="auto"/>
        <w:jc w:val="both"/>
        <w:rPr>
          <w:rFonts w:hint="default" w:ascii="Times New Roman" w:hAnsi="Times New Roman" w:cs="Times New Roman"/>
          <w:sz w:val="24"/>
          <w:lang w:val="en-US" w:eastAsia="zh-CN"/>
        </w:rPr>
      </w:pPr>
    </w:p>
    <w:p w14:paraId="765399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图 B-1 展示了第 2 层在修剪 Head 7（高关联头）前后的激活分布。左图为基线状态，右图为剪枝后状态。可见剪枝前后激活分布在三维空间中高度重叠，未出现明显形态变化或强度衰减。图 B-2 为第 5 层在修剪 Head 1（最高关联头）前后的对比。左图为基线，右图为剪枝后。同样可观察到激活分布几乎完全一致，进一步证实即使修剪最具关联性的注意力头，亦未对激活空间造成结构性影响。</w:t>
      </w:r>
    </w:p>
    <w:p w14:paraId="7351C68A">
      <w:pPr>
        <w:pStyle w:val="3"/>
        <w:keepNext w:val="0"/>
        <w:keepLines w:val="0"/>
        <w:widowControl/>
        <w:suppressLineNumbers w:val="0"/>
      </w:pPr>
      <w:r>
        <w:drawing>
          <wp:inline distT="0" distB="0" distL="114300" distR="114300">
            <wp:extent cx="4820285" cy="2458085"/>
            <wp:effectExtent l="0" t="0" r="5715" b="5715"/>
            <wp:docPr id="23" name="图片 1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9" descr="IMG_256"/>
                    <pic:cNvPicPr>
                      <a:picLocks noChangeAspect="1"/>
                    </pic:cNvPicPr>
                  </pic:nvPicPr>
                  <pic:blipFill>
                    <a:blip r:embed="rId192"/>
                    <a:stretch>
                      <a:fillRect/>
                    </a:stretch>
                  </pic:blipFill>
                  <pic:spPr>
                    <a:xfrm>
                      <a:off x="0" y="0"/>
                      <a:ext cx="4820285" cy="2458085"/>
                    </a:xfrm>
                    <a:prstGeom prst="rect">
                      <a:avLst/>
                    </a:prstGeom>
                    <a:noFill/>
                    <a:ln w="9525">
                      <a:noFill/>
                    </a:ln>
                  </pic:spPr>
                </pic:pic>
              </a:graphicData>
            </a:graphic>
          </wp:inline>
        </w:drawing>
      </w:r>
    </w:p>
    <w:p w14:paraId="227D6F3D">
      <w:pPr>
        <w:spacing w:line="400" w:lineRule="exact"/>
        <w:jc w:val="center"/>
        <w:rPr>
          <w:rFonts w:hint="eastAsia" w:ascii="Times New Roman" w:hAnsi="Times New Roman" w:eastAsia="楷体" w:cs="Times New Roman"/>
          <w:szCs w:val="21"/>
          <w:lang w:val="en-US" w:eastAsia="zh-CN"/>
        </w:rPr>
      </w:pPr>
      <w:r>
        <w:rPr>
          <w:rFonts w:hint="eastAsia" w:ascii="Times New Roman" w:hAnsi="Times New Roman" w:eastAsia="楷体" w:cs="Times New Roman"/>
          <w:szCs w:val="21"/>
          <w:lang w:val="en-US" w:eastAsia="zh-CN"/>
        </w:rPr>
        <w:t>图B-3 ：Layer 5 - 剪枝Head 1前（左）后（右）</w:t>
      </w:r>
    </w:p>
    <w:p w14:paraId="34DE48E4">
      <w:pPr>
        <w:pStyle w:val="3"/>
        <w:keepNext w:val="0"/>
        <w:keepLines w:val="0"/>
        <w:widowControl/>
        <w:suppressLineNumbers w:val="0"/>
      </w:pPr>
      <w:r>
        <w:drawing>
          <wp:inline distT="0" distB="0" distL="114300" distR="114300">
            <wp:extent cx="4863465" cy="1750060"/>
            <wp:effectExtent l="0" t="0" r="635" b="2540"/>
            <wp:docPr id="24" name="图片 1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0" descr="IMG_256"/>
                    <pic:cNvPicPr>
                      <a:picLocks noChangeAspect="1"/>
                    </pic:cNvPicPr>
                  </pic:nvPicPr>
                  <pic:blipFill>
                    <a:blip r:embed="rId193"/>
                    <a:stretch>
                      <a:fillRect/>
                    </a:stretch>
                  </pic:blipFill>
                  <pic:spPr>
                    <a:xfrm>
                      <a:off x="0" y="0"/>
                      <a:ext cx="4863465" cy="1750060"/>
                    </a:xfrm>
                    <a:prstGeom prst="rect">
                      <a:avLst/>
                    </a:prstGeom>
                    <a:noFill/>
                    <a:ln w="9525">
                      <a:noFill/>
                    </a:ln>
                  </pic:spPr>
                </pic:pic>
              </a:graphicData>
            </a:graphic>
          </wp:inline>
        </w:drawing>
      </w:r>
    </w:p>
    <w:p w14:paraId="23F92A7B">
      <w:pPr>
        <w:spacing w:line="400" w:lineRule="exact"/>
        <w:jc w:val="center"/>
        <w:rPr>
          <w:rFonts w:hint="eastAsia" w:ascii="Times New Roman" w:hAnsi="Times New Roman" w:eastAsia="楷体" w:cs="Times New Roman"/>
          <w:szCs w:val="21"/>
          <w:lang w:val="en-US" w:eastAsia="zh-CN"/>
        </w:rPr>
      </w:pPr>
      <w:r>
        <w:rPr>
          <w:rFonts w:hint="eastAsia" w:ascii="Times New Roman" w:hAnsi="Times New Roman" w:eastAsia="楷体" w:cs="Times New Roman"/>
          <w:szCs w:val="21"/>
          <w:lang w:val="en-US" w:eastAsia="zh-CN"/>
        </w:rPr>
        <w:t>图 B-4 ：Layer 5差异分析 - 零影响</w:t>
      </w:r>
    </w:p>
    <w:p w14:paraId="0C04034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图 B-3 与 B-4 分别对应第 2 层与第 5 层的差异分析图，其中颜色映射表示剪枝前后激活值的绝对差异。图中未见显著色块（即差异值趋近于零），说明剪枝未引发激活分布的实质性改变。</w:t>
      </w:r>
    </w:p>
    <w:p w14:paraId="15B371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这些可视化结果与表格数据相互印证，共同表明：注意力头剪枝对巨量激活的空间分布与强度均无显著影响。该发现进一步强化了正文中的核心结论——巨量激活的生成与维持独立于注意力机制，其主要驱动力源于 MLP 层的内部计算结构。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8F0C4"/>
    <w:multiLevelType w:val="singleLevel"/>
    <w:tmpl w:val="8998F0C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4CF"/>
    <w:rsid w:val="001B6F1C"/>
    <w:rsid w:val="007F02ED"/>
    <w:rsid w:val="009A64CF"/>
    <w:rsid w:val="027F2CA3"/>
    <w:rsid w:val="033124A2"/>
    <w:rsid w:val="035B4911"/>
    <w:rsid w:val="03FE6319"/>
    <w:rsid w:val="04155920"/>
    <w:rsid w:val="04DA26C6"/>
    <w:rsid w:val="05791EDF"/>
    <w:rsid w:val="05CF1AFF"/>
    <w:rsid w:val="0639166E"/>
    <w:rsid w:val="0704297D"/>
    <w:rsid w:val="07740BAF"/>
    <w:rsid w:val="08E065F0"/>
    <w:rsid w:val="09352129"/>
    <w:rsid w:val="0A454A85"/>
    <w:rsid w:val="0DB22432"/>
    <w:rsid w:val="0E2449B2"/>
    <w:rsid w:val="0EAD6F8F"/>
    <w:rsid w:val="0EE3107B"/>
    <w:rsid w:val="0F821E7D"/>
    <w:rsid w:val="0FB26250"/>
    <w:rsid w:val="105466CA"/>
    <w:rsid w:val="110754FD"/>
    <w:rsid w:val="11F8062F"/>
    <w:rsid w:val="12D22C2E"/>
    <w:rsid w:val="13DF1AA7"/>
    <w:rsid w:val="14777F31"/>
    <w:rsid w:val="1513181F"/>
    <w:rsid w:val="15767345"/>
    <w:rsid w:val="16571DC8"/>
    <w:rsid w:val="16F94C2D"/>
    <w:rsid w:val="17716EB9"/>
    <w:rsid w:val="180970F2"/>
    <w:rsid w:val="180C273E"/>
    <w:rsid w:val="18CD45C3"/>
    <w:rsid w:val="18D524FF"/>
    <w:rsid w:val="198D747A"/>
    <w:rsid w:val="19BA3FBB"/>
    <w:rsid w:val="1A0D335C"/>
    <w:rsid w:val="1A34728C"/>
    <w:rsid w:val="1B0E2C71"/>
    <w:rsid w:val="1C186B24"/>
    <w:rsid w:val="1C406E5A"/>
    <w:rsid w:val="1C995F32"/>
    <w:rsid w:val="1DA33B45"/>
    <w:rsid w:val="1EAE09F3"/>
    <w:rsid w:val="1F7C45A4"/>
    <w:rsid w:val="203A3325"/>
    <w:rsid w:val="20523600"/>
    <w:rsid w:val="20D745D5"/>
    <w:rsid w:val="20D858B3"/>
    <w:rsid w:val="21AD4F92"/>
    <w:rsid w:val="227835EE"/>
    <w:rsid w:val="22FD7853"/>
    <w:rsid w:val="23085188"/>
    <w:rsid w:val="233C55E1"/>
    <w:rsid w:val="238E2BA1"/>
    <w:rsid w:val="23D63257"/>
    <w:rsid w:val="24204D19"/>
    <w:rsid w:val="243C706A"/>
    <w:rsid w:val="25162E4E"/>
    <w:rsid w:val="25536D9E"/>
    <w:rsid w:val="259C1214"/>
    <w:rsid w:val="2642127C"/>
    <w:rsid w:val="268A58A2"/>
    <w:rsid w:val="269E173C"/>
    <w:rsid w:val="27806CA5"/>
    <w:rsid w:val="27B04725"/>
    <w:rsid w:val="27FA6A57"/>
    <w:rsid w:val="285B2531"/>
    <w:rsid w:val="29583A35"/>
    <w:rsid w:val="29AC1FD3"/>
    <w:rsid w:val="2C7212B2"/>
    <w:rsid w:val="2C746D47"/>
    <w:rsid w:val="2CB062AF"/>
    <w:rsid w:val="2ECD0C4F"/>
    <w:rsid w:val="2EED4C20"/>
    <w:rsid w:val="2FB97CB5"/>
    <w:rsid w:val="2FDA0DD0"/>
    <w:rsid w:val="30E85CF2"/>
    <w:rsid w:val="316A07AA"/>
    <w:rsid w:val="318C05A7"/>
    <w:rsid w:val="31FC5191"/>
    <w:rsid w:val="3239017C"/>
    <w:rsid w:val="32A221C5"/>
    <w:rsid w:val="339910B4"/>
    <w:rsid w:val="342E63AB"/>
    <w:rsid w:val="34842D15"/>
    <w:rsid w:val="34E16FD5"/>
    <w:rsid w:val="35D71A10"/>
    <w:rsid w:val="36176A26"/>
    <w:rsid w:val="362D2681"/>
    <w:rsid w:val="369938DF"/>
    <w:rsid w:val="37491AC0"/>
    <w:rsid w:val="379B4DD0"/>
    <w:rsid w:val="37FE7E9E"/>
    <w:rsid w:val="389B0F96"/>
    <w:rsid w:val="395A55A8"/>
    <w:rsid w:val="39A64349"/>
    <w:rsid w:val="3A6230C7"/>
    <w:rsid w:val="3AA36ADA"/>
    <w:rsid w:val="3BB82013"/>
    <w:rsid w:val="3C2D6471"/>
    <w:rsid w:val="3CCF3BB7"/>
    <w:rsid w:val="3D0F48FB"/>
    <w:rsid w:val="3DF37D79"/>
    <w:rsid w:val="3E4806F0"/>
    <w:rsid w:val="3F61340A"/>
    <w:rsid w:val="3F984734"/>
    <w:rsid w:val="406F22C2"/>
    <w:rsid w:val="412B15D8"/>
    <w:rsid w:val="41DD6D76"/>
    <w:rsid w:val="42580EE9"/>
    <w:rsid w:val="42F425C9"/>
    <w:rsid w:val="430A2F0B"/>
    <w:rsid w:val="441D6601"/>
    <w:rsid w:val="448E6105"/>
    <w:rsid w:val="451731DD"/>
    <w:rsid w:val="45FD437A"/>
    <w:rsid w:val="46060BE6"/>
    <w:rsid w:val="469F0A9E"/>
    <w:rsid w:val="46B5206F"/>
    <w:rsid w:val="46E97F6B"/>
    <w:rsid w:val="46F030A7"/>
    <w:rsid w:val="47543636"/>
    <w:rsid w:val="47550CE5"/>
    <w:rsid w:val="47571378"/>
    <w:rsid w:val="478F466E"/>
    <w:rsid w:val="498C0481"/>
    <w:rsid w:val="499046CE"/>
    <w:rsid w:val="4A6F2535"/>
    <w:rsid w:val="4B96107F"/>
    <w:rsid w:val="4BDD5E7F"/>
    <w:rsid w:val="4C7C7DDD"/>
    <w:rsid w:val="4CD07C03"/>
    <w:rsid w:val="4CD26488"/>
    <w:rsid w:val="4CEF795D"/>
    <w:rsid w:val="4D2B1060"/>
    <w:rsid w:val="4DF80A94"/>
    <w:rsid w:val="4EAF1A9A"/>
    <w:rsid w:val="4EB8094F"/>
    <w:rsid w:val="4ED9366C"/>
    <w:rsid w:val="4F55619D"/>
    <w:rsid w:val="50507626"/>
    <w:rsid w:val="50572252"/>
    <w:rsid w:val="50DE503B"/>
    <w:rsid w:val="515626A1"/>
    <w:rsid w:val="52715451"/>
    <w:rsid w:val="52D27B05"/>
    <w:rsid w:val="55202DAA"/>
    <w:rsid w:val="5526593F"/>
    <w:rsid w:val="558F18B0"/>
    <w:rsid w:val="55B94FAC"/>
    <w:rsid w:val="55D603C8"/>
    <w:rsid w:val="57631674"/>
    <w:rsid w:val="576A78C0"/>
    <w:rsid w:val="57B91294"/>
    <w:rsid w:val="57E207EA"/>
    <w:rsid w:val="59650D8A"/>
    <w:rsid w:val="5B900847"/>
    <w:rsid w:val="5BAC35E9"/>
    <w:rsid w:val="5CAC586B"/>
    <w:rsid w:val="5D8D744A"/>
    <w:rsid w:val="5DFC1EDA"/>
    <w:rsid w:val="5E3C677A"/>
    <w:rsid w:val="5E6F08FE"/>
    <w:rsid w:val="5EAE1426"/>
    <w:rsid w:val="601D656F"/>
    <w:rsid w:val="6025660F"/>
    <w:rsid w:val="60477D84"/>
    <w:rsid w:val="608834ED"/>
    <w:rsid w:val="60CC028A"/>
    <w:rsid w:val="60E62582"/>
    <w:rsid w:val="6183303E"/>
    <w:rsid w:val="61922016"/>
    <w:rsid w:val="624125B1"/>
    <w:rsid w:val="62966DA1"/>
    <w:rsid w:val="62A57FE5"/>
    <w:rsid w:val="62FA54F0"/>
    <w:rsid w:val="64AF414A"/>
    <w:rsid w:val="64EF09EB"/>
    <w:rsid w:val="66260073"/>
    <w:rsid w:val="66326DE1"/>
    <w:rsid w:val="666B22F3"/>
    <w:rsid w:val="68220CE6"/>
    <w:rsid w:val="68E9403E"/>
    <w:rsid w:val="6B221653"/>
    <w:rsid w:val="6C4C04D0"/>
    <w:rsid w:val="6CEF7DAF"/>
    <w:rsid w:val="6D205BE5"/>
    <w:rsid w:val="6D67188D"/>
    <w:rsid w:val="6E274D51"/>
    <w:rsid w:val="6EE13152"/>
    <w:rsid w:val="6F305E87"/>
    <w:rsid w:val="6FC345A8"/>
    <w:rsid w:val="70115CB9"/>
    <w:rsid w:val="71461EE8"/>
    <w:rsid w:val="720930EC"/>
    <w:rsid w:val="723F61FD"/>
    <w:rsid w:val="72734A09"/>
    <w:rsid w:val="727E26C2"/>
    <w:rsid w:val="72BB015E"/>
    <w:rsid w:val="72C54B39"/>
    <w:rsid w:val="73216213"/>
    <w:rsid w:val="732743DA"/>
    <w:rsid w:val="74582108"/>
    <w:rsid w:val="75A650F5"/>
    <w:rsid w:val="76022DB4"/>
    <w:rsid w:val="764C7A4B"/>
    <w:rsid w:val="76650B0D"/>
    <w:rsid w:val="77324E93"/>
    <w:rsid w:val="776F2682"/>
    <w:rsid w:val="78212811"/>
    <w:rsid w:val="783842C9"/>
    <w:rsid w:val="78B6041B"/>
    <w:rsid w:val="78D5544C"/>
    <w:rsid w:val="78E80676"/>
    <w:rsid w:val="79294ED6"/>
    <w:rsid w:val="7AE069B4"/>
    <w:rsid w:val="7BCA404B"/>
    <w:rsid w:val="7C3B0FE1"/>
    <w:rsid w:val="7C3F3766"/>
    <w:rsid w:val="7C822CC9"/>
    <w:rsid w:val="7C8D2408"/>
    <w:rsid w:val="7CCA16C9"/>
    <w:rsid w:val="7CE64029"/>
    <w:rsid w:val="7D617346"/>
    <w:rsid w:val="7DCE6F97"/>
    <w:rsid w:val="7E547CBA"/>
    <w:rsid w:val="7E7E545E"/>
    <w:rsid w:val="7E936672"/>
    <w:rsid w:val="7FD62919"/>
    <w:rsid w:val="7FEB7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rFonts w:cs="Times New Roman"/>
      <w:kern w:val="0"/>
      <w:sz w:val="24"/>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character" w:customStyle="1" w:styleId="9">
    <w:name w:val="font21"/>
    <w:basedOn w:val="5"/>
    <w:qFormat/>
    <w:uiPriority w:val="0"/>
    <w:rPr>
      <w:rFonts w:hint="eastAsia" w:ascii="宋体" w:hAnsi="宋体" w:eastAsia="宋体" w:cs="宋体"/>
      <w:color w:val="1F2328"/>
      <w:sz w:val="24"/>
      <w:szCs w:val="24"/>
      <w:u w:val="none"/>
    </w:rPr>
  </w:style>
  <w:style w:type="character" w:customStyle="1" w:styleId="10">
    <w:name w:val="font11"/>
    <w:basedOn w:val="5"/>
    <w:qFormat/>
    <w:uiPriority w:val="0"/>
    <w:rPr>
      <w:rFonts w:hint="default" w:ascii="Segoe UI" w:hAnsi="Segoe UI" w:eastAsia="Segoe UI" w:cs="Segoe UI"/>
      <w:color w:val="1F2328"/>
      <w:sz w:val="24"/>
      <w:szCs w:val="24"/>
      <w:u w:val="non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2.wmf"/><Relationship Id="rId97" Type="http://schemas.openxmlformats.org/officeDocument/2006/relationships/oleObject" Target="embeddings/oleObject43.bin"/><Relationship Id="rId96" Type="http://schemas.openxmlformats.org/officeDocument/2006/relationships/image" Target="media/image51.wmf"/><Relationship Id="rId95" Type="http://schemas.openxmlformats.org/officeDocument/2006/relationships/oleObject" Target="embeddings/oleObject42.bin"/><Relationship Id="rId94" Type="http://schemas.openxmlformats.org/officeDocument/2006/relationships/image" Target="media/image50.wmf"/><Relationship Id="rId93" Type="http://schemas.openxmlformats.org/officeDocument/2006/relationships/oleObject" Target="embeddings/oleObject41.bin"/><Relationship Id="rId92" Type="http://schemas.openxmlformats.org/officeDocument/2006/relationships/image" Target="media/image49.wmf"/><Relationship Id="rId91" Type="http://schemas.openxmlformats.org/officeDocument/2006/relationships/oleObject" Target="embeddings/oleObject40.bin"/><Relationship Id="rId90" Type="http://schemas.openxmlformats.org/officeDocument/2006/relationships/image" Target="media/image48.wmf"/><Relationship Id="rId9" Type="http://schemas.openxmlformats.org/officeDocument/2006/relationships/image" Target="media/image3.wmf"/><Relationship Id="rId89" Type="http://schemas.openxmlformats.org/officeDocument/2006/relationships/oleObject" Target="embeddings/oleObject39.bin"/><Relationship Id="rId88" Type="http://schemas.openxmlformats.org/officeDocument/2006/relationships/image" Target="media/image47.wmf"/><Relationship Id="rId87" Type="http://schemas.openxmlformats.org/officeDocument/2006/relationships/oleObject" Target="embeddings/oleObject38.bin"/><Relationship Id="rId86" Type="http://schemas.openxmlformats.org/officeDocument/2006/relationships/image" Target="media/image46.wmf"/><Relationship Id="rId85" Type="http://schemas.openxmlformats.org/officeDocument/2006/relationships/oleObject" Target="embeddings/oleObject37.bin"/><Relationship Id="rId84" Type="http://schemas.openxmlformats.org/officeDocument/2006/relationships/image" Target="media/image45.wmf"/><Relationship Id="rId83" Type="http://schemas.openxmlformats.org/officeDocument/2006/relationships/oleObject" Target="embeddings/oleObject36.bin"/><Relationship Id="rId82" Type="http://schemas.openxmlformats.org/officeDocument/2006/relationships/image" Target="media/image44.wmf"/><Relationship Id="rId81" Type="http://schemas.openxmlformats.org/officeDocument/2006/relationships/oleObject" Target="embeddings/oleObject35.bin"/><Relationship Id="rId80" Type="http://schemas.openxmlformats.org/officeDocument/2006/relationships/image" Target="media/image43.png"/><Relationship Id="rId8" Type="http://schemas.openxmlformats.org/officeDocument/2006/relationships/oleObject" Target="embeddings/oleObject3.bin"/><Relationship Id="rId79" Type="http://schemas.openxmlformats.org/officeDocument/2006/relationships/image" Target="media/image42.wmf"/><Relationship Id="rId78" Type="http://schemas.openxmlformats.org/officeDocument/2006/relationships/oleObject" Target="embeddings/oleObject34.bin"/><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wmf"/><Relationship Id="rId74" Type="http://schemas.openxmlformats.org/officeDocument/2006/relationships/oleObject" Target="embeddings/oleObject33.bin"/><Relationship Id="rId73" Type="http://schemas.openxmlformats.org/officeDocument/2006/relationships/image" Target="media/image38.wmf"/><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oleObject" Target="embeddings/oleObject30.bin"/><Relationship Id="rId7" Type="http://schemas.openxmlformats.org/officeDocument/2006/relationships/oleObject" Target="embeddings/oleObject2.bin"/><Relationship Id="rId69" Type="http://schemas.openxmlformats.org/officeDocument/2006/relationships/image" Target="media/image37.wmf"/><Relationship Id="rId68" Type="http://schemas.openxmlformats.org/officeDocument/2006/relationships/oleObject" Target="embeddings/oleObject29.bin"/><Relationship Id="rId67" Type="http://schemas.openxmlformats.org/officeDocument/2006/relationships/image" Target="media/image36.wmf"/><Relationship Id="rId66" Type="http://schemas.openxmlformats.org/officeDocument/2006/relationships/oleObject" Target="embeddings/oleObject28.bin"/><Relationship Id="rId65" Type="http://schemas.openxmlformats.org/officeDocument/2006/relationships/image" Target="media/image35.wmf"/><Relationship Id="rId64" Type="http://schemas.openxmlformats.org/officeDocument/2006/relationships/oleObject" Target="embeddings/oleObject27.bin"/><Relationship Id="rId63" Type="http://schemas.openxmlformats.org/officeDocument/2006/relationships/image" Target="media/image34.wmf"/><Relationship Id="rId62" Type="http://schemas.openxmlformats.org/officeDocument/2006/relationships/oleObject" Target="embeddings/oleObject26.bin"/><Relationship Id="rId61" Type="http://schemas.openxmlformats.org/officeDocument/2006/relationships/image" Target="media/image33.png"/><Relationship Id="rId60" Type="http://schemas.openxmlformats.org/officeDocument/2006/relationships/image" Target="media/image32.wmf"/><Relationship Id="rId6" Type="http://schemas.openxmlformats.org/officeDocument/2006/relationships/image" Target="media/image2.wmf"/><Relationship Id="rId59" Type="http://schemas.openxmlformats.org/officeDocument/2006/relationships/oleObject" Target="embeddings/oleObject25.bin"/><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oleObject" Target="embeddings/oleObject1.bin"/><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wmf"/><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image" Target="media/image15.wmf"/><Relationship Id="rId4" Type="http://schemas.openxmlformats.org/officeDocument/2006/relationships/image" Target="media/image1.png"/><Relationship Id="rId39" Type="http://schemas.openxmlformats.org/officeDocument/2006/relationships/oleObject" Target="embeddings/oleObject22.bin"/><Relationship Id="rId38" Type="http://schemas.openxmlformats.org/officeDocument/2006/relationships/image" Target="media/image14.wmf"/><Relationship Id="rId37" Type="http://schemas.openxmlformats.org/officeDocument/2006/relationships/oleObject" Target="embeddings/oleObject21.bin"/><Relationship Id="rId36" Type="http://schemas.openxmlformats.org/officeDocument/2006/relationships/image" Target="media/image13.wmf"/><Relationship Id="rId35" Type="http://schemas.openxmlformats.org/officeDocument/2006/relationships/oleObject" Target="embeddings/oleObject20.bin"/><Relationship Id="rId34" Type="http://schemas.openxmlformats.org/officeDocument/2006/relationships/oleObject" Target="embeddings/oleObject19.bin"/><Relationship Id="rId33" Type="http://schemas.openxmlformats.org/officeDocument/2006/relationships/oleObject" Target="embeddings/oleObject18.bin"/><Relationship Id="rId32" Type="http://schemas.openxmlformats.org/officeDocument/2006/relationships/oleObject" Target="embeddings/oleObject17.bin"/><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numbering" Target="numbering.xml"/><Relationship Id="rId193" Type="http://schemas.openxmlformats.org/officeDocument/2006/relationships/image" Target="media/image101.png"/><Relationship Id="rId192" Type="http://schemas.openxmlformats.org/officeDocument/2006/relationships/image" Target="media/image100.png"/><Relationship Id="rId191" Type="http://schemas.openxmlformats.org/officeDocument/2006/relationships/image" Target="media/image99.png"/><Relationship Id="rId190" Type="http://schemas.openxmlformats.org/officeDocument/2006/relationships/image" Target="media/image98.png"/><Relationship Id="rId19" Type="http://schemas.openxmlformats.org/officeDocument/2006/relationships/image" Target="media/image7.wmf"/><Relationship Id="rId189" Type="http://schemas.openxmlformats.org/officeDocument/2006/relationships/image" Target="media/image97.wmf"/><Relationship Id="rId188" Type="http://schemas.openxmlformats.org/officeDocument/2006/relationships/oleObject" Target="embeddings/oleObject89.bin"/><Relationship Id="rId187" Type="http://schemas.openxmlformats.org/officeDocument/2006/relationships/image" Target="media/image96.wmf"/><Relationship Id="rId186" Type="http://schemas.openxmlformats.org/officeDocument/2006/relationships/oleObject" Target="embeddings/oleObject88.bin"/><Relationship Id="rId185" Type="http://schemas.openxmlformats.org/officeDocument/2006/relationships/image" Target="media/image95.wmf"/><Relationship Id="rId184" Type="http://schemas.openxmlformats.org/officeDocument/2006/relationships/oleObject" Target="embeddings/oleObject87.bin"/><Relationship Id="rId183" Type="http://schemas.openxmlformats.org/officeDocument/2006/relationships/image" Target="media/image94.wmf"/><Relationship Id="rId182" Type="http://schemas.openxmlformats.org/officeDocument/2006/relationships/oleObject" Target="embeddings/oleObject86.bin"/><Relationship Id="rId181" Type="http://schemas.openxmlformats.org/officeDocument/2006/relationships/image" Target="media/image93.wmf"/><Relationship Id="rId180" Type="http://schemas.openxmlformats.org/officeDocument/2006/relationships/oleObject" Target="embeddings/oleObject85.bin"/><Relationship Id="rId18" Type="http://schemas.openxmlformats.org/officeDocument/2006/relationships/oleObject" Target="embeddings/oleObject9.bin"/><Relationship Id="rId179" Type="http://schemas.openxmlformats.org/officeDocument/2006/relationships/image" Target="media/image92.wmf"/><Relationship Id="rId178" Type="http://schemas.openxmlformats.org/officeDocument/2006/relationships/oleObject" Target="embeddings/oleObject84.bin"/><Relationship Id="rId177" Type="http://schemas.openxmlformats.org/officeDocument/2006/relationships/image" Target="media/image91.wmf"/><Relationship Id="rId176" Type="http://schemas.openxmlformats.org/officeDocument/2006/relationships/oleObject" Target="embeddings/oleObject83.bin"/><Relationship Id="rId175" Type="http://schemas.openxmlformats.org/officeDocument/2006/relationships/image" Target="media/image90.wmf"/><Relationship Id="rId174" Type="http://schemas.openxmlformats.org/officeDocument/2006/relationships/oleObject" Target="embeddings/oleObject82.bin"/><Relationship Id="rId173" Type="http://schemas.openxmlformats.org/officeDocument/2006/relationships/image" Target="media/image89.wmf"/><Relationship Id="rId172" Type="http://schemas.openxmlformats.org/officeDocument/2006/relationships/oleObject" Target="embeddings/oleObject81.bin"/><Relationship Id="rId171" Type="http://schemas.openxmlformats.org/officeDocument/2006/relationships/image" Target="media/image88.wmf"/><Relationship Id="rId170" Type="http://schemas.openxmlformats.org/officeDocument/2006/relationships/oleObject" Target="embeddings/oleObject80.bin"/><Relationship Id="rId17" Type="http://schemas.openxmlformats.org/officeDocument/2006/relationships/image" Target="media/image6.wmf"/><Relationship Id="rId169" Type="http://schemas.openxmlformats.org/officeDocument/2006/relationships/image" Target="media/image87.wmf"/><Relationship Id="rId168" Type="http://schemas.openxmlformats.org/officeDocument/2006/relationships/oleObject" Target="embeddings/oleObject79.bin"/><Relationship Id="rId167" Type="http://schemas.openxmlformats.org/officeDocument/2006/relationships/image" Target="media/image86.wmf"/><Relationship Id="rId166" Type="http://schemas.openxmlformats.org/officeDocument/2006/relationships/oleObject" Target="embeddings/oleObject78.bin"/><Relationship Id="rId165" Type="http://schemas.openxmlformats.org/officeDocument/2006/relationships/image" Target="media/image85.wmf"/><Relationship Id="rId164" Type="http://schemas.openxmlformats.org/officeDocument/2006/relationships/oleObject" Target="embeddings/oleObject77.bin"/><Relationship Id="rId163" Type="http://schemas.openxmlformats.org/officeDocument/2006/relationships/image" Target="media/image84.wmf"/><Relationship Id="rId162" Type="http://schemas.openxmlformats.org/officeDocument/2006/relationships/oleObject" Target="embeddings/oleObject76.bin"/><Relationship Id="rId161" Type="http://schemas.openxmlformats.org/officeDocument/2006/relationships/image" Target="media/image83.wmf"/><Relationship Id="rId160" Type="http://schemas.openxmlformats.org/officeDocument/2006/relationships/oleObject" Target="embeddings/oleObject75.bin"/><Relationship Id="rId16" Type="http://schemas.openxmlformats.org/officeDocument/2006/relationships/oleObject" Target="embeddings/oleObject8.bin"/><Relationship Id="rId159" Type="http://schemas.openxmlformats.org/officeDocument/2006/relationships/image" Target="media/image82.wmf"/><Relationship Id="rId158" Type="http://schemas.openxmlformats.org/officeDocument/2006/relationships/oleObject" Target="embeddings/oleObject74.bin"/><Relationship Id="rId157" Type="http://schemas.openxmlformats.org/officeDocument/2006/relationships/image" Target="media/image81.wmf"/><Relationship Id="rId156" Type="http://schemas.openxmlformats.org/officeDocument/2006/relationships/oleObject" Target="embeddings/oleObject73.bin"/><Relationship Id="rId155" Type="http://schemas.openxmlformats.org/officeDocument/2006/relationships/image" Target="media/image80.wmf"/><Relationship Id="rId154" Type="http://schemas.openxmlformats.org/officeDocument/2006/relationships/oleObject" Target="embeddings/oleObject72.bin"/><Relationship Id="rId153" Type="http://schemas.openxmlformats.org/officeDocument/2006/relationships/image" Target="media/image79.wmf"/><Relationship Id="rId152" Type="http://schemas.openxmlformats.org/officeDocument/2006/relationships/oleObject" Target="embeddings/oleObject71.bin"/><Relationship Id="rId151" Type="http://schemas.openxmlformats.org/officeDocument/2006/relationships/image" Target="media/image78.wmf"/><Relationship Id="rId150" Type="http://schemas.openxmlformats.org/officeDocument/2006/relationships/oleObject" Target="embeddings/oleObject70.bin"/><Relationship Id="rId15" Type="http://schemas.openxmlformats.org/officeDocument/2006/relationships/image" Target="media/image5.wmf"/><Relationship Id="rId149" Type="http://schemas.openxmlformats.org/officeDocument/2006/relationships/image" Target="media/image77.wmf"/><Relationship Id="rId148" Type="http://schemas.openxmlformats.org/officeDocument/2006/relationships/oleObject" Target="embeddings/oleObject69.bin"/><Relationship Id="rId147" Type="http://schemas.openxmlformats.org/officeDocument/2006/relationships/image" Target="media/image76.wmf"/><Relationship Id="rId146" Type="http://schemas.openxmlformats.org/officeDocument/2006/relationships/oleObject" Target="embeddings/oleObject68.bin"/><Relationship Id="rId145" Type="http://schemas.openxmlformats.org/officeDocument/2006/relationships/image" Target="media/image75.wmf"/><Relationship Id="rId144" Type="http://schemas.openxmlformats.org/officeDocument/2006/relationships/oleObject" Target="embeddings/oleObject67.bin"/><Relationship Id="rId143" Type="http://schemas.openxmlformats.org/officeDocument/2006/relationships/image" Target="media/image74.wmf"/><Relationship Id="rId142" Type="http://schemas.openxmlformats.org/officeDocument/2006/relationships/oleObject" Target="embeddings/oleObject66.bin"/><Relationship Id="rId141" Type="http://schemas.openxmlformats.org/officeDocument/2006/relationships/image" Target="media/image73.wmf"/><Relationship Id="rId140" Type="http://schemas.openxmlformats.org/officeDocument/2006/relationships/oleObject" Target="embeddings/oleObject65.bin"/><Relationship Id="rId14" Type="http://schemas.openxmlformats.org/officeDocument/2006/relationships/oleObject" Target="embeddings/oleObject7.bin"/><Relationship Id="rId139" Type="http://schemas.openxmlformats.org/officeDocument/2006/relationships/image" Target="media/image72.wmf"/><Relationship Id="rId138" Type="http://schemas.openxmlformats.org/officeDocument/2006/relationships/oleObject" Target="embeddings/oleObject64.bin"/><Relationship Id="rId137" Type="http://schemas.openxmlformats.org/officeDocument/2006/relationships/image" Target="media/image71.wmf"/><Relationship Id="rId136" Type="http://schemas.openxmlformats.org/officeDocument/2006/relationships/oleObject" Target="embeddings/oleObject63.bin"/><Relationship Id="rId135" Type="http://schemas.openxmlformats.org/officeDocument/2006/relationships/image" Target="media/image70.wmf"/><Relationship Id="rId134" Type="http://schemas.openxmlformats.org/officeDocument/2006/relationships/oleObject" Target="embeddings/oleObject62.bin"/><Relationship Id="rId133" Type="http://schemas.openxmlformats.org/officeDocument/2006/relationships/image" Target="media/image69.wmf"/><Relationship Id="rId132" Type="http://schemas.openxmlformats.org/officeDocument/2006/relationships/oleObject" Target="embeddings/oleObject61.bin"/><Relationship Id="rId131" Type="http://schemas.openxmlformats.org/officeDocument/2006/relationships/image" Target="media/image68.wmf"/><Relationship Id="rId130" Type="http://schemas.openxmlformats.org/officeDocument/2006/relationships/oleObject" Target="embeddings/oleObject60.bin"/><Relationship Id="rId13" Type="http://schemas.openxmlformats.org/officeDocument/2006/relationships/oleObject" Target="embeddings/oleObject6.bin"/><Relationship Id="rId129" Type="http://schemas.openxmlformats.org/officeDocument/2006/relationships/oleObject" Target="embeddings/oleObject59.bin"/><Relationship Id="rId128" Type="http://schemas.openxmlformats.org/officeDocument/2006/relationships/image" Target="media/image67.wmf"/><Relationship Id="rId127" Type="http://schemas.openxmlformats.org/officeDocument/2006/relationships/oleObject" Target="embeddings/oleObject58.bin"/><Relationship Id="rId126" Type="http://schemas.openxmlformats.org/officeDocument/2006/relationships/image" Target="media/image66.wmf"/><Relationship Id="rId125" Type="http://schemas.openxmlformats.org/officeDocument/2006/relationships/oleObject" Target="embeddings/oleObject57.bin"/><Relationship Id="rId124" Type="http://schemas.openxmlformats.org/officeDocument/2006/relationships/image" Target="media/image65.wmf"/><Relationship Id="rId123" Type="http://schemas.openxmlformats.org/officeDocument/2006/relationships/oleObject" Target="embeddings/oleObject56.bin"/><Relationship Id="rId122" Type="http://schemas.openxmlformats.org/officeDocument/2006/relationships/image" Target="media/image64.wmf"/><Relationship Id="rId121" Type="http://schemas.openxmlformats.org/officeDocument/2006/relationships/oleObject" Target="embeddings/oleObject55.bin"/><Relationship Id="rId120" Type="http://schemas.openxmlformats.org/officeDocument/2006/relationships/image" Target="media/image63.wmf"/><Relationship Id="rId12" Type="http://schemas.openxmlformats.org/officeDocument/2006/relationships/image" Target="media/image4.wmf"/><Relationship Id="rId119" Type="http://schemas.openxmlformats.org/officeDocument/2006/relationships/oleObject" Target="embeddings/oleObject54.bin"/><Relationship Id="rId118" Type="http://schemas.openxmlformats.org/officeDocument/2006/relationships/image" Target="media/image62.wmf"/><Relationship Id="rId117" Type="http://schemas.openxmlformats.org/officeDocument/2006/relationships/oleObject" Target="embeddings/oleObject53.bin"/><Relationship Id="rId116" Type="http://schemas.openxmlformats.org/officeDocument/2006/relationships/image" Target="media/image61.wmf"/><Relationship Id="rId115" Type="http://schemas.openxmlformats.org/officeDocument/2006/relationships/oleObject" Target="embeddings/oleObject52.bin"/><Relationship Id="rId114" Type="http://schemas.openxmlformats.org/officeDocument/2006/relationships/image" Target="media/image60.wmf"/><Relationship Id="rId113" Type="http://schemas.openxmlformats.org/officeDocument/2006/relationships/oleObject" Target="embeddings/oleObject51.bin"/><Relationship Id="rId112" Type="http://schemas.openxmlformats.org/officeDocument/2006/relationships/image" Target="media/image59.wmf"/><Relationship Id="rId111" Type="http://schemas.openxmlformats.org/officeDocument/2006/relationships/oleObject" Target="embeddings/oleObject50.bin"/><Relationship Id="rId110" Type="http://schemas.openxmlformats.org/officeDocument/2006/relationships/image" Target="media/image58.wmf"/><Relationship Id="rId11" Type="http://schemas.openxmlformats.org/officeDocument/2006/relationships/oleObject" Target="embeddings/oleObject5.bin"/><Relationship Id="rId109" Type="http://schemas.openxmlformats.org/officeDocument/2006/relationships/oleObject" Target="embeddings/oleObject49.bin"/><Relationship Id="rId108" Type="http://schemas.openxmlformats.org/officeDocument/2006/relationships/image" Target="media/image57.wmf"/><Relationship Id="rId107" Type="http://schemas.openxmlformats.org/officeDocument/2006/relationships/oleObject" Target="embeddings/oleObject48.bin"/><Relationship Id="rId106" Type="http://schemas.openxmlformats.org/officeDocument/2006/relationships/image" Target="media/image56.wmf"/><Relationship Id="rId105" Type="http://schemas.openxmlformats.org/officeDocument/2006/relationships/oleObject" Target="embeddings/oleObject47.bin"/><Relationship Id="rId104" Type="http://schemas.openxmlformats.org/officeDocument/2006/relationships/image" Target="media/image55.wmf"/><Relationship Id="rId103" Type="http://schemas.openxmlformats.org/officeDocument/2006/relationships/oleObject" Target="embeddings/oleObject46.bin"/><Relationship Id="rId102" Type="http://schemas.openxmlformats.org/officeDocument/2006/relationships/image" Target="media/image54.wmf"/><Relationship Id="rId101" Type="http://schemas.openxmlformats.org/officeDocument/2006/relationships/oleObject" Target="embeddings/oleObject45.bin"/><Relationship Id="rId100" Type="http://schemas.openxmlformats.org/officeDocument/2006/relationships/image" Target="media/image53.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41</Pages>
  <Words>10917</Words>
  <Characters>13029</Characters>
  <Lines>708</Lines>
  <Paragraphs>488</Paragraphs>
  <TotalTime>7</TotalTime>
  <ScaleCrop>false</ScaleCrop>
  <LinksUpToDate>false</LinksUpToDate>
  <CharactersWithSpaces>13476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2025-11-07T10:35:00Z</dcterms:created>
  <dc:creator>28958</dc:creator>
  <cp:lastModifiedBy>陆至桓</cp:lastModifiedBy>
  <dcterms:modified xsi:type="dcterms:W3CDTF">2025-11-16T14:28:28Z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eyJoZGlkIjoiYWIzN2U1NGZlM2FmZWRlNzFkMTY4OTk3ZTFmMjU0MmMiLCJ1c2VySWQiOiI4NjI4MzY1OTEifQ==</vt:lpwstr>
  </property>
  <property fmtid="{D5CDD505-2E9C-101B-9397-08002B2CF9AE}" pid="4" name="ICV">
    <vt:lpwstr>15E2FD6C3ABA4E879249954B1828DCD9_13</vt:lpwstr>
  </property>
</Properties>
</file>