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0800" w14:textId="77777777" w:rsidR="00681200" w:rsidRDefault="00681200" w:rsidP="00681200">
      <w:r>
        <w:t>We thank all reviewers for the constructive feedback.</w:t>
      </w:r>
    </w:p>
    <w:p w14:paraId="339D9C60" w14:textId="77777777" w:rsidR="00681200" w:rsidRDefault="00681200" w:rsidP="00681200"/>
    <w:p w14:paraId="4084E771" w14:textId="77777777" w:rsidR="00681200" w:rsidRDefault="00681200" w:rsidP="00681200">
      <w:r>
        <w:t>Questions about regarding sample type and breadth(bDKj</w:t>
      </w:r>
      <w:proofErr w:type="gramStart"/>
      <w:r>
        <w:t>1,qarC</w:t>
      </w:r>
      <w:proofErr w:type="gramEnd"/>
      <w:r>
        <w:t>4)</w:t>
      </w:r>
    </w:p>
    <w:p w14:paraId="45AFBF5B" w14:textId="77777777" w:rsidR="00681200" w:rsidRDefault="00681200" w:rsidP="00681200"/>
    <w:p w14:paraId="024CCFB8" w14:textId="77777777" w:rsidR="00681200" w:rsidRDefault="00681200" w:rsidP="00681200">
      <w:r>
        <w:t xml:space="preserve">Regarding the limited number of input samples: </w:t>
      </w:r>
      <w:r w:rsidRPr="00681200">
        <w:rPr>
          <w:b/>
          <w:bCs/>
        </w:rPr>
        <w:t>This study focuses on mechanistic interpretability</w:t>
      </w:r>
      <w:r>
        <w:t xml:space="preserve">, rather than distribution statistics or generalization performance evaluation. Previous work has observed Massive Activations on large-scale corpora; therefore, </w:t>
      </w:r>
      <w:r w:rsidRPr="00681200">
        <w:rPr>
          <w:b/>
          <w:bCs/>
        </w:rPr>
        <w:t>our goal is not to re-verify its frequency in the data, but rather to deeply analyze its generation path and internal geometry</w:t>
      </w:r>
      <w:r>
        <w:t xml:space="preserve">. For this reason, we intentionally chose a small-scale, controlled input set as the stimulus </w:t>
      </w:r>
      <w:r w:rsidRPr="00681200">
        <w:rPr>
          <w:b/>
          <w:bCs/>
        </w:rPr>
        <w:t>to control variables as much as possible and reduce interference at the distribution level</w:t>
      </w:r>
      <w:r>
        <w:t>, thereby more clearly revealing the causal relationship between weight structure and activation amplification. In other words, this study focuses on a structural explanation at the mechanistic level, rather than the statistical prevalence of this phenomenon in natural language corpora.</w:t>
      </w:r>
    </w:p>
    <w:p w14:paraId="57C96829" w14:textId="77777777" w:rsidR="00681200" w:rsidRPr="00681200" w:rsidRDefault="00681200" w:rsidP="00681200">
      <w:pPr>
        <w:rPr>
          <w:b/>
          <w:bCs/>
        </w:rPr>
      </w:pPr>
      <w:r>
        <w:t>Regarding the limited coverage of the model: Current experiments are primarily based on English corpora and a dense Transformer architecture (up to 13B parameters</w:t>
      </w:r>
      <w:proofErr w:type="gramStart"/>
      <w:r>
        <w:t>),</w:t>
      </w:r>
      <w:proofErr w:type="gramEnd"/>
      <w:r>
        <w:t xml:space="preserve"> therefore </w:t>
      </w:r>
      <w:r w:rsidRPr="00681200">
        <w:rPr>
          <w:b/>
          <w:bCs/>
        </w:rPr>
        <w:t>the external generalization scope of our conclusions should be clearly defined</w:t>
      </w:r>
      <w:r>
        <w:t xml:space="preserve">. However, it is worth noting that the Massive Activations generation mechanism we reveal relies on the spectral geometry of the projected weight matrix under the MLP, rather than the lexical features of a specific language. In other words, </w:t>
      </w:r>
      <w:r w:rsidRPr="00681200">
        <w:rPr>
          <w:b/>
          <w:bCs/>
        </w:rPr>
        <w:t>this mechanism is mainly influenced by the distribution of model weights, rather than the linguistic morphology itself</w:t>
      </w:r>
      <w:r>
        <w:t xml:space="preserve">. Different languages </w:t>
      </w:r>
      <w:r>
        <w:rPr>
          <w:rFonts w:ascii="Times New Roman" w:hAnsi="Times New Roman" w:cs="Times New Roman"/>
        </w:rPr>
        <w:t>​​</w:t>
      </w:r>
      <w:r>
        <w:t xml:space="preserve">(especially morphologically rich languages) may alter the distribution type of trigger tokens, </w:t>
      </w:r>
      <w:r w:rsidRPr="00681200">
        <w:rPr>
          <w:b/>
          <w:bCs/>
        </w:rPr>
        <w:t>but this does not directly negate the existence of a geometric amplification mechanism.</w:t>
      </w:r>
    </w:p>
    <w:p w14:paraId="64ADCE14" w14:textId="77777777" w:rsidR="00681200" w:rsidRDefault="00681200" w:rsidP="00681200"/>
    <w:p w14:paraId="7AC7B64B" w14:textId="77777777" w:rsidR="00681200" w:rsidRDefault="00681200" w:rsidP="00681200">
      <w:r>
        <w:t>Question about LayerNorm as Confound(bDKj2)</w:t>
      </w:r>
    </w:p>
    <w:p w14:paraId="5AA96410" w14:textId="77777777" w:rsidR="00681200" w:rsidRDefault="00681200" w:rsidP="00681200"/>
    <w:p w14:paraId="2F70AD94" w14:textId="77777777" w:rsidR="00681200" w:rsidRDefault="00681200" w:rsidP="00681200">
      <w:r>
        <w:t xml:space="preserve">This point is indeed worth discussing. The γ parameter of LayerNorm may have an uneven distribution in the Transformer, and its value has a scaling effect on the amplitude of downstream modules. However, our experimental </w:t>
      </w:r>
      <w:r w:rsidRPr="00681200">
        <w:rPr>
          <w:b/>
          <w:bCs/>
        </w:rPr>
        <w:t>results show that the generation of Massive Activations is not dominated by LayerNorm gain</w:t>
      </w:r>
      <w:r>
        <w:t>. Specifically: First, in our geometric analysis (RQ4), we found that Massive Activations are highly aligned with the principal singular direction (v</w:t>
      </w:r>
      <w:r>
        <w:rPr>
          <w:rFonts w:ascii="Cambria Math" w:hAnsi="Cambria Math" w:cs="Cambria Math"/>
        </w:rPr>
        <w:t>₁</w:t>
      </w:r>
      <w:r>
        <w:t xml:space="preserve">) of the projection matrix under the MLP, rather than with the γ vector of LayerNorm. </w:t>
      </w:r>
      <w:r w:rsidRPr="00681200">
        <w:rPr>
          <w:b/>
          <w:bCs/>
        </w:rPr>
        <w:t xml:space="preserve">If LayerNorm is the main source of </w:t>
      </w:r>
      <w:r w:rsidRPr="00681200">
        <w:rPr>
          <w:b/>
          <w:bCs/>
        </w:rPr>
        <w:lastRenderedPageBreak/>
        <w:t>amplification, then the activation direction should be mainly dominated by γ, not determined by the principal direction of SVD</w:t>
      </w:r>
      <w:r>
        <w:t xml:space="preserve">. Second, in our experiments in RQ5, we performed random orthogonal replacements on the V matrix of </w:t>
      </w:r>
      <w:proofErr w:type="spellStart"/>
      <w:r>
        <w:t>W_down</w:t>
      </w:r>
      <w:proofErr w:type="spellEnd"/>
      <w:r>
        <w:t xml:space="preserve">. While keeping the singular value spectrum structure and LayerNorm parameters completely unchanged, the activation intensity collapsed by as much as 78.8%–99.1% in multiple models. </w:t>
      </w:r>
      <w:r w:rsidRPr="00681200">
        <w:rPr>
          <w:b/>
          <w:bCs/>
        </w:rPr>
        <w:t xml:space="preserve">The results of this causal intervention clearly demonstrate that the generation of Massive Activation depends on the geometric orientation of the weights, rather than a simple scale-amplification effect. </w:t>
      </w:r>
      <w:r>
        <w:t>Therefore, we believe that while LayerNorm gain may modulate the overall scale, it does not constitute the fundamental cause of Massive Activation.</w:t>
      </w:r>
    </w:p>
    <w:p w14:paraId="10BFD299" w14:textId="77777777" w:rsidR="00681200" w:rsidRDefault="00681200" w:rsidP="00681200"/>
    <w:p w14:paraId="29FEE42B" w14:textId="77777777" w:rsidR="00681200" w:rsidRDefault="00681200" w:rsidP="00681200">
      <w:r>
        <w:t xml:space="preserve">Question about co-occurrence bias/aggregation effects of high-frequency tokens in the embedding </w:t>
      </w:r>
      <w:proofErr w:type="gramStart"/>
      <w:r>
        <w:t>space.(</w:t>
      </w:r>
      <w:proofErr w:type="gramEnd"/>
      <w:r>
        <w:t>daTc1)</w:t>
      </w:r>
    </w:p>
    <w:p w14:paraId="3283FC05" w14:textId="77777777" w:rsidR="00681200" w:rsidRDefault="00681200" w:rsidP="00681200">
      <w:r>
        <w:t>First, it's important to note that the geometric structure analyzed in this study resides in the singular orientation space of the projected weight matrix under the MLP, rather than the input embedding space. I</w:t>
      </w:r>
      <w:r w:rsidRPr="00681200">
        <w:rPr>
          <w:b/>
          <w:bCs/>
        </w:rPr>
        <w:t xml:space="preserve">f this phenomenon were driven solely </w:t>
      </w:r>
      <w:proofErr w:type="gramStart"/>
      <w:r w:rsidRPr="00681200">
        <w:rPr>
          <w:b/>
          <w:bCs/>
        </w:rPr>
        <w:t>by word</w:t>
      </w:r>
      <w:proofErr w:type="gramEnd"/>
      <w:r w:rsidRPr="00681200">
        <w:rPr>
          <w:b/>
          <w:bCs/>
        </w:rPr>
        <w:t xml:space="preserve"> frequency, it should primarily reflect the main orientation of the embedding space, rather than depending on the singular vector structure of the MLP weights.</w:t>
      </w:r>
      <w:r>
        <w:t xml:space="preserve"> Second, if word frequency were the only driving factor, all high-frequency words (including high-frequency content words) should have similar trigger probabilities. However, we observed that Massive Activations are mainly concentrated in the function word category, rather than all high-frequency tokens, indicating a clear category selectivity in the triggering mechanism. </w:t>
      </w:r>
      <w:r w:rsidRPr="00681200">
        <w:rPr>
          <w:b/>
          <w:bCs/>
        </w:rPr>
        <w:t xml:space="preserve">More importantly, while keeping the embedding space and input distribution unchanged, we randomized the orientation of the V matrix of </w:t>
      </w:r>
      <w:proofErr w:type="spellStart"/>
      <w:r w:rsidRPr="00681200">
        <w:rPr>
          <w:b/>
          <w:bCs/>
        </w:rPr>
        <w:t>W_down</w:t>
      </w:r>
      <w:proofErr w:type="spellEnd"/>
      <w:r w:rsidRPr="00681200">
        <w:rPr>
          <w:b/>
          <w:bCs/>
        </w:rPr>
        <w:t xml:space="preserve">, resulting in a 78%–99% collapse of activation intensity across multiple models. This result strongly suggests that the amplification effect depends on the geometric orientation structure of the weights, rather than the input word frequency distribution. </w:t>
      </w:r>
      <w:r>
        <w:t>Based on the above analysis, we believe that Massive Activations are closer to a "structural anchoring effect of syntactic features in the MLP geometric space" than a simple high-frequency aggregation bias.</w:t>
      </w:r>
    </w:p>
    <w:p w14:paraId="0C6820B7" w14:textId="77777777" w:rsidR="00681200" w:rsidRDefault="00681200" w:rsidP="00681200"/>
    <w:p w14:paraId="11BBB83E" w14:textId="77777777" w:rsidR="00681200" w:rsidRDefault="00681200" w:rsidP="00681200">
      <w:r>
        <w:t xml:space="preserve">Question about if the result can help quantization or model compression lacks empirical </w:t>
      </w:r>
      <w:proofErr w:type="gramStart"/>
      <w:r>
        <w:t>evidence.(</w:t>
      </w:r>
      <w:proofErr w:type="gramEnd"/>
      <w:r>
        <w:t>daTc2)</w:t>
      </w:r>
    </w:p>
    <w:p w14:paraId="6997D8FE" w14:textId="77777777" w:rsidR="00681200" w:rsidRDefault="00681200" w:rsidP="00681200">
      <w:r>
        <w:t>The core contribution of this paper lies in</w:t>
      </w:r>
      <w:r w:rsidRPr="00681200">
        <w:rPr>
          <w:b/>
          <w:bCs/>
        </w:rPr>
        <w:t xml:space="preserve"> revealing the geometric-causal generation mechanism of Massive Activations</w:t>
      </w:r>
      <w:r>
        <w:t xml:space="preserve">, falling under the category of mechanical interpretability research, rather than directly proposing new quantization or </w:t>
      </w:r>
      <w:r>
        <w:lastRenderedPageBreak/>
        <w:t xml:space="preserve">compression algorithms. Regarding the statement in the paper that it "can be used for quantization or model compression," </w:t>
      </w:r>
      <w:r w:rsidRPr="00681200">
        <w:rPr>
          <w:b/>
          <w:bCs/>
        </w:rPr>
        <w:t>our intention is to point out that this mechanism provides an explanatory basis for the structural origin of anomalous activations</w:t>
      </w:r>
      <w:r>
        <w:t>, thus potentially providing inspiration for subsequent engineering methods—rather than claiming that we have achieved verified performance improvements.</w:t>
      </w:r>
    </w:p>
    <w:p w14:paraId="016C8A81" w14:textId="77777777" w:rsidR="00681200" w:rsidRDefault="00681200" w:rsidP="00681200"/>
    <w:p w14:paraId="3C0A1E80" w14:textId="77777777" w:rsidR="00681200" w:rsidRDefault="00681200" w:rsidP="00681200">
      <w:r>
        <w:t>Question about how the MA have influence on the models(daTc3)</w:t>
      </w:r>
    </w:p>
    <w:p w14:paraId="6B40F1B6" w14:textId="77777777" w:rsidR="00681200" w:rsidRPr="00681200" w:rsidRDefault="00681200" w:rsidP="00681200">
      <w:pPr>
        <w:rPr>
          <w:b/>
          <w:bCs/>
        </w:rPr>
      </w:pPr>
      <w:r>
        <w:t>To clarify, this paper does not advocate "suppressing Massive Activations" as an optimization objective, nor does it define it as a numerical defect that should be eliminated. The orientation perturbation experiment in RQ5 is merely a causal verification tool,</w:t>
      </w:r>
      <w:r w:rsidRPr="00681200">
        <w:rPr>
          <w:b/>
          <w:bCs/>
        </w:rPr>
        <w:t xml:space="preserve"> aiming to demonstrate that the generation of Massive Activations depends on a specific weight geometry. </w:t>
      </w:r>
      <w:r>
        <w:t xml:space="preserve">This intervention is essentially a "structural necessity test," not intended to design deployable model modifications. Therefore, its impact on Perplexity or downstream task performance does not constitute proof against the mechanism conclusion. Even if extreme orientation perturbations do lead to performance changes, </w:t>
      </w:r>
      <w:r w:rsidRPr="00681200">
        <w:rPr>
          <w:b/>
          <w:bCs/>
        </w:rPr>
        <w:t>this only indicates a coupling relationship between Massive Activations and the model's internal representation structure, without affecting our conclusions regarding its geometric generation path.</w:t>
      </w:r>
    </w:p>
    <w:p w14:paraId="3585B6EC" w14:textId="77777777" w:rsidR="00681200" w:rsidRDefault="00681200" w:rsidP="00681200"/>
    <w:p w14:paraId="65C75379" w14:textId="77777777" w:rsidR="00681200" w:rsidRDefault="00681200" w:rsidP="00681200">
      <w:r>
        <w:t>Question about if we have classification on the models(daTc4)</w:t>
      </w:r>
    </w:p>
    <w:p w14:paraId="2ADA3DB2" w14:textId="77777777" w:rsidR="00681200" w:rsidRPr="00681200" w:rsidRDefault="00681200" w:rsidP="00681200">
      <w:pPr>
        <w:rPr>
          <w:b/>
          <w:bCs/>
        </w:rPr>
      </w:pPr>
      <w:r>
        <w:t xml:space="preserve">In fact, this paper has covered a variety of mainstream designs in cross-architecture experiments, including Post-LN (GPT-2), Pre-LN + </w:t>
      </w:r>
      <w:proofErr w:type="spellStart"/>
      <w:r>
        <w:t>RMSNorm</w:t>
      </w:r>
      <w:proofErr w:type="spellEnd"/>
      <w:r>
        <w:t xml:space="preserve"> (LLaMA-2, Qwen2.5), and different activation functions (GELU, </w:t>
      </w:r>
      <w:proofErr w:type="spellStart"/>
      <w:r>
        <w:t>SiLU</w:t>
      </w:r>
      <w:proofErr w:type="spellEnd"/>
      <w:r>
        <w:t xml:space="preserve">, </w:t>
      </w:r>
      <w:proofErr w:type="spellStart"/>
      <w:r>
        <w:t>SwiGLU</w:t>
      </w:r>
      <w:proofErr w:type="spellEnd"/>
      <w:r>
        <w:t xml:space="preserve">). </w:t>
      </w:r>
      <w:r w:rsidRPr="00681200">
        <w:rPr>
          <w:b/>
          <w:bCs/>
        </w:rPr>
        <w:t>As shown in Table 3, we further classify the models into three categories based on the triggering mechanism: Generative-Promoting, Inhibitory-Regulatory, and Mixed/Hybrid. This classification itself reflects the differences in regulation modes under different architectural designs.</w:t>
      </w:r>
    </w:p>
    <w:p w14:paraId="117DAF5B" w14:textId="77777777" w:rsidR="00681200" w:rsidRDefault="00681200" w:rsidP="00681200"/>
    <w:p w14:paraId="1DBCF9CC" w14:textId="77777777" w:rsidR="00681200" w:rsidRDefault="00681200" w:rsidP="00681200">
      <w:r>
        <w:t>The questions about the analysis on Qwen2.5(daTc</w:t>
      </w:r>
      <w:proofErr w:type="gramStart"/>
      <w:r>
        <w:t>5,qarC</w:t>
      </w:r>
      <w:proofErr w:type="gramEnd"/>
      <w:r>
        <w:t>3)</w:t>
      </w:r>
    </w:p>
    <w:p w14:paraId="75C7C260" w14:textId="77777777" w:rsidR="00681200" w:rsidRDefault="00681200" w:rsidP="00681200">
      <w:r>
        <w:t xml:space="preserve">First, we note that, except for Qwen-2.5, the visual separation between the trigger and control layers on the cumulative energy curves of some models is not </w:t>
      </w:r>
      <w:proofErr w:type="gramStart"/>
      <w:r>
        <w:t>very obvious</w:t>
      </w:r>
      <w:proofErr w:type="gramEnd"/>
      <w:r>
        <w:t xml:space="preserve">, so the term "extreme" may indeed seem overemphasized visually. However, </w:t>
      </w:r>
      <w:r w:rsidRPr="00681200">
        <w:rPr>
          <w:b/>
          <w:bCs/>
        </w:rPr>
        <w:t xml:space="preserve">it should be noted that our judgment of spectral anisotropy is not based on subjective </w:t>
      </w:r>
      <w:r w:rsidRPr="00681200">
        <w:rPr>
          <w:b/>
          <w:bCs/>
        </w:rPr>
        <w:lastRenderedPageBreak/>
        <w:t>observation of the curves, but on the quantitative indicator η = σ</w:t>
      </w:r>
      <w:r w:rsidRPr="00681200">
        <w:rPr>
          <w:rFonts w:ascii="Cambria Math" w:hAnsi="Cambria Math" w:cs="Cambria Math"/>
          <w:b/>
          <w:bCs/>
        </w:rPr>
        <w:t>₁</w:t>
      </w:r>
      <w:r w:rsidRPr="00681200">
        <w:rPr>
          <w:b/>
          <w:bCs/>
        </w:rPr>
        <w:t xml:space="preserve"> / σ</w:t>
      </w:r>
      <w:r w:rsidRPr="00681200">
        <w:rPr>
          <w:rFonts w:ascii="Cambria Math" w:hAnsi="Cambria Math" w:cs="Cambria Math"/>
          <w:b/>
          <w:bCs/>
        </w:rPr>
        <w:t>₂</w:t>
      </w:r>
      <w:r w:rsidRPr="00681200">
        <w:rPr>
          <w:b/>
          <w:bCs/>
        </w:rPr>
        <w:t xml:space="preserve"> (see Table 1)</w:t>
      </w:r>
      <w:r>
        <w:t>. For example, GPT-2 has an η of 3.05, while Qwen-2.5 has 2.64, indicating that the first singular direction is significantly dominant, even as the cumulative energy curves gradually converge in subsequent dimensions.</w:t>
      </w:r>
      <w:r w:rsidRPr="00681200">
        <w:rPr>
          <w:b/>
          <w:bCs/>
        </w:rPr>
        <w:t xml:space="preserve"> Furthermore, we observe that different architectures exhibit varying degrees of spectral concentration: Qwen-2.5 shows a highly concentrated structure, while GPT-J, Mistral, and others exhibit relatively dispersed geometries. </w:t>
      </w:r>
      <w:r>
        <w:t>This cross-architecture difference precisely supports our conclusion in RQ5 that distinguishes between "concentrated" and "distributed" modes.</w:t>
      </w:r>
    </w:p>
    <w:p w14:paraId="0B78D0B8" w14:textId="77777777" w:rsidR="00681200" w:rsidRDefault="00681200" w:rsidP="00681200">
      <w:r>
        <w:t>Secondly, the increased proportion of semantic token triggers in Qwen2.5 may indeed reflect a shift in the focus of MA representation under different architectures, a phenomenon worthy of further exploration in future work.</w:t>
      </w:r>
      <w:r w:rsidRPr="00681200">
        <w:rPr>
          <w:b/>
          <w:bCs/>
        </w:rPr>
        <w:t xml:space="preserve"> It should be noted that the core objective of this paper is to reveal the geometric generation mechanism of Massive Activations, rather than systematically analyzing the specific semantic content they encode.</w:t>
      </w:r>
      <w:r>
        <w:t xml:space="preserve"> We demonstrate a structural shift from a triggering pattern dominated by function words to one with a greater tendency towards semantic triggering through cross-model analysis, but we have not yet delved into the corresponding linguistic or semantic features behind these semantic dimensions.</w:t>
      </w:r>
    </w:p>
    <w:p w14:paraId="34EBCF47" w14:textId="77777777" w:rsidR="00681200" w:rsidRDefault="00681200" w:rsidP="00681200"/>
    <w:p w14:paraId="557BA59E" w14:textId="77777777" w:rsidR="00681200" w:rsidRDefault="00681200" w:rsidP="00681200">
      <w:r>
        <w:t>The question of Theoretical Inconsistency in Formalism(qarC1)</w:t>
      </w:r>
    </w:p>
    <w:p w14:paraId="038D7B8A" w14:textId="77777777" w:rsidR="00681200" w:rsidRPr="00681200" w:rsidRDefault="00681200" w:rsidP="00681200">
      <w:pPr>
        <w:rPr>
          <w:b/>
          <w:bCs/>
        </w:rPr>
      </w:pPr>
      <w:r>
        <w:t>We thank the reviewers for pointing out the lack of rigor in the scale representation in the derivation of Eq. 17. We acknowledge that an approximate order of magnitude was indeed used in the formula, without explicitly distinguishing the scale difference between $\</w:t>
      </w:r>
      <w:proofErr w:type="spellStart"/>
      <w:r>
        <w:t>mathbb</w:t>
      </w:r>
      <w:proofErr w:type="spellEnd"/>
      <w:r>
        <w:t>{E}[</w:t>
      </w:r>
      <w:proofErr w:type="gramStart"/>
      <w:r>
        <w:t>\cos\theta]$</w:t>
      </w:r>
      <w:proofErr w:type="gramEnd"/>
      <w:r>
        <w:t xml:space="preserve"> and $\</w:t>
      </w:r>
      <w:proofErr w:type="spellStart"/>
      <w:r>
        <w:t>mathbb</w:t>
      </w:r>
      <w:proofErr w:type="spellEnd"/>
      <w:r>
        <w:t>{E}[\cos^2\</w:t>
      </w:r>
      <w:proofErr w:type="gramStart"/>
      <w:r>
        <w:t>theta]$</w:t>
      </w:r>
      <w:proofErr w:type="gramEnd"/>
      <w:r>
        <w:t>.</w:t>
      </w:r>
      <w:r w:rsidRPr="00681200">
        <w:rPr>
          <w:b/>
          <w:bCs/>
        </w:rPr>
        <w:t xml:space="preserve"> Strictly speaking, in high-dimensional space, the expected value of the square cosine similarity between a random unit vector and a fixed vector is $1/d_{ff}$, corresponding to a cosine magnitude of $1/\sqrt{d_{ff</w:t>
      </w:r>
      <w:proofErr w:type="gramStart"/>
      <w:r w:rsidRPr="00681200">
        <w:rPr>
          <w:b/>
          <w:bCs/>
        </w:rPr>
        <w:t>}}$</w:t>
      </w:r>
      <w:proofErr w:type="gramEnd"/>
      <w:r w:rsidRPr="00681200">
        <w:rPr>
          <w:b/>
          <w:bCs/>
        </w:rPr>
        <w:t>.</w:t>
      </w:r>
    </w:p>
    <w:p w14:paraId="65C90824" w14:textId="77777777" w:rsidR="00681200" w:rsidRDefault="00681200" w:rsidP="00681200"/>
    <w:p w14:paraId="6C4A30F5" w14:textId="77777777" w:rsidR="00681200" w:rsidRDefault="00681200" w:rsidP="00681200">
      <w:r>
        <w:t>The question of the Presentation Quality(qarC2)</w:t>
      </w:r>
    </w:p>
    <w:p w14:paraId="796E3801" w14:textId="754505B6" w:rsidR="00A14ED5" w:rsidRDefault="00681200" w:rsidP="00681200">
      <w:r>
        <w:t>We thank the reviewers for pointing out the spelling and formatting errors in Figures 2 and 6.</w:t>
      </w:r>
      <w:r w:rsidRPr="00681200">
        <w:rPr>
          <w:b/>
          <w:bCs/>
        </w:rPr>
        <w:t xml:space="preserve"> We will correct these in the revised version</w:t>
      </w:r>
      <w:r>
        <w:t>.</w:t>
      </w:r>
    </w:p>
    <w:sectPr w:rsidR="00A14E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7A"/>
    <w:rsid w:val="00281D26"/>
    <w:rsid w:val="0067607A"/>
    <w:rsid w:val="00681200"/>
    <w:rsid w:val="007838FE"/>
    <w:rsid w:val="00A14ED5"/>
    <w:rsid w:val="00E41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788C3A0-24E5-7249-96AE-DD5DD112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60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60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60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60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60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60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60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60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60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60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60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60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607A"/>
    <w:rPr>
      <w:rFonts w:cstheme="majorBidi"/>
      <w:color w:val="0F4761" w:themeColor="accent1" w:themeShade="BF"/>
      <w:sz w:val="28"/>
      <w:szCs w:val="28"/>
    </w:rPr>
  </w:style>
  <w:style w:type="character" w:customStyle="1" w:styleId="50">
    <w:name w:val="标题 5 字符"/>
    <w:basedOn w:val="a0"/>
    <w:link w:val="5"/>
    <w:uiPriority w:val="9"/>
    <w:semiHidden/>
    <w:rsid w:val="0067607A"/>
    <w:rPr>
      <w:rFonts w:cstheme="majorBidi"/>
      <w:color w:val="0F4761" w:themeColor="accent1" w:themeShade="BF"/>
      <w:sz w:val="24"/>
    </w:rPr>
  </w:style>
  <w:style w:type="character" w:customStyle="1" w:styleId="60">
    <w:name w:val="标题 6 字符"/>
    <w:basedOn w:val="a0"/>
    <w:link w:val="6"/>
    <w:uiPriority w:val="9"/>
    <w:semiHidden/>
    <w:rsid w:val="0067607A"/>
    <w:rPr>
      <w:rFonts w:cstheme="majorBidi"/>
      <w:b/>
      <w:bCs/>
      <w:color w:val="0F4761" w:themeColor="accent1" w:themeShade="BF"/>
    </w:rPr>
  </w:style>
  <w:style w:type="character" w:customStyle="1" w:styleId="70">
    <w:name w:val="标题 7 字符"/>
    <w:basedOn w:val="a0"/>
    <w:link w:val="7"/>
    <w:uiPriority w:val="9"/>
    <w:semiHidden/>
    <w:rsid w:val="0067607A"/>
    <w:rPr>
      <w:rFonts w:cstheme="majorBidi"/>
      <w:b/>
      <w:bCs/>
      <w:color w:val="595959" w:themeColor="text1" w:themeTint="A6"/>
    </w:rPr>
  </w:style>
  <w:style w:type="character" w:customStyle="1" w:styleId="80">
    <w:name w:val="标题 8 字符"/>
    <w:basedOn w:val="a0"/>
    <w:link w:val="8"/>
    <w:uiPriority w:val="9"/>
    <w:semiHidden/>
    <w:rsid w:val="0067607A"/>
    <w:rPr>
      <w:rFonts w:cstheme="majorBidi"/>
      <w:color w:val="595959" w:themeColor="text1" w:themeTint="A6"/>
    </w:rPr>
  </w:style>
  <w:style w:type="character" w:customStyle="1" w:styleId="90">
    <w:name w:val="标题 9 字符"/>
    <w:basedOn w:val="a0"/>
    <w:link w:val="9"/>
    <w:uiPriority w:val="9"/>
    <w:semiHidden/>
    <w:rsid w:val="0067607A"/>
    <w:rPr>
      <w:rFonts w:eastAsiaTheme="majorEastAsia" w:cstheme="majorBidi"/>
      <w:color w:val="595959" w:themeColor="text1" w:themeTint="A6"/>
    </w:rPr>
  </w:style>
  <w:style w:type="paragraph" w:styleId="a3">
    <w:name w:val="Title"/>
    <w:basedOn w:val="a"/>
    <w:next w:val="a"/>
    <w:link w:val="a4"/>
    <w:uiPriority w:val="10"/>
    <w:qFormat/>
    <w:rsid w:val="006760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60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0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60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07A"/>
    <w:pPr>
      <w:spacing w:before="160"/>
      <w:jc w:val="center"/>
    </w:pPr>
    <w:rPr>
      <w:i/>
      <w:iCs/>
      <w:color w:val="404040" w:themeColor="text1" w:themeTint="BF"/>
    </w:rPr>
  </w:style>
  <w:style w:type="character" w:customStyle="1" w:styleId="a8">
    <w:name w:val="引用 字符"/>
    <w:basedOn w:val="a0"/>
    <w:link w:val="a7"/>
    <w:uiPriority w:val="29"/>
    <w:rsid w:val="0067607A"/>
    <w:rPr>
      <w:i/>
      <w:iCs/>
      <w:color w:val="404040" w:themeColor="text1" w:themeTint="BF"/>
    </w:rPr>
  </w:style>
  <w:style w:type="paragraph" w:styleId="a9">
    <w:name w:val="List Paragraph"/>
    <w:basedOn w:val="a"/>
    <w:uiPriority w:val="34"/>
    <w:qFormat/>
    <w:rsid w:val="0067607A"/>
    <w:pPr>
      <w:ind w:left="720"/>
      <w:contextualSpacing/>
    </w:pPr>
  </w:style>
  <w:style w:type="character" w:styleId="aa">
    <w:name w:val="Intense Emphasis"/>
    <w:basedOn w:val="a0"/>
    <w:uiPriority w:val="21"/>
    <w:qFormat/>
    <w:rsid w:val="0067607A"/>
    <w:rPr>
      <w:i/>
      <w:iCs/>
      <w:color w:val="0F4761" w:themeColor="accent1" w:themeShade="BF"/>
    </w:rPr>
  </w:style>
  <w:style w:type="paragraph" w:styleId="ab">
    <w:name w:val="Intense Quote"/>
    <w:basedOn w:val="a"/>
    <w:next w:val="a"/>
    <w:link w:val="ac"/>
    <w:uiPriority w:val="30"/>
    <w:qFormat/>
    <w:rsid w:val="00676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607A"/>
    <w:rPr>
      <w:i/>
      <w:iCs/>
      <w:color w:val="0F4761" w:themeColor="accent1" w:themeShade="BF"/>
    </w:rPr>
  </w:style>
  <w:style w:type="character" w:styleId="ad">
    <w:name w:val="Intense Reference"/>
    <w:basedOn w:val="a0"/>
    <w:uiPriority w:val="32"/>
    <w:qFormat/>
    <w:rsid w:val="00676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1422</Words>
  <Characters>8112</Characters>
  <Application>Microsoft Office Word</Application>
  <DocSecurity>0</DocSecurity>
  <Lines>67</Lines>
  <Paragraphs>19</Paragraphs>
  <ScaleCrop>false</ScaleCrop>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Ludan daye</dc:creator>
  <cp:keywords/>
  <dc:description/>
  <cp:lastModifiedBy>Ludan daye</cp:lastModifiedBy>
  <cp:revision>2</cp:revision>
  <dcterms:created xsi:type="dcterms:W3CDTF">2026-02-20T00:56:00Z</dcterms:created>
  <dcterms:modified xsi:type="dcterms:W3CDTF">2026-02-20T01:05:00Z</dcterms:modified>
</cp:coreProperties>
</file>