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№ ИТ-2026/14 на передачу прав и оказание услуг</w:t>
      </w:r>
    </w:p>
    <w:p>
      <w:r>
        <w:t>г. Москва. ООО «Ромашка» (Лицензиат) и ООО «Софтлайн-Интегратор» (Лицензиар) заключили настоящий договор о нижеследующем.</w:t>
      </w:r>
    </w:p>
    <w:p>
      <w:r>
        <w:t>1.1. Лицензиар предоставляет Лицензиату права использования программ для ЭВМ и оказывает сопутствующие услуги согласно спецификации (таблица 1).</w:t>
      </w:r>
    </w:p>
    <w:p>
      <w:r>
        <w:t>1.2. Программное обеспечение по позициям 1 и 2 устанавливается на серверы Лицензиата. Лицензиат вправе ограничить доступ третьих лиц к экземплярам ПО.</w:t>
      </w:r>
    </w:p>
    <w:p>
      <w:r>
        <w:t>1.3. По позиции 3 доступ предоставляется через сеть Интернет на серверах Лицензиара; экземпляр программы Лицензиату не передаётся.</w:t>
      </w:r>
    </w:p>
    <w:p>
      <w:r>
        <w:t>Таблица 1.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Стоимость, руб.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Неисключительная лицензия на СУБД «Постгрес Про», серверная установка</w:t>
            </w:r>
          </w:p>
        </w:tc>
        <w:tc>
          <w:tcPr>
            <w:tcW w:type="dxa" w:w="2160"/>
          </w:tcPr>
          <w:p>
            <w:r>
              <w:t>850 000</w:t>
            </w:r>
          </w:p>
        </w:tc>
        <w:tc>
          <w:tcPr>
            <w:tcW w:type="dxa" w:w="2160"/>
          </w:tcPr>
          <w:p>
            <w:r>
              <w:t>36 мес.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Лицензия на антивирус для 30 рабочих мест, установка на серверы заказчика</w:t>
            </w:r>
          </w:p>
        </w:tc>
        <w:tc>
          <w:tcPr>
            <w:tcW w:type="dxa" w:w="2160"/>
          </w:tcPr>
          <w:p>
            <w:r>
              <w:t>45 000</w:t>
            </w:r>
          </w:p>
        </w:tc>
        <w:tc>
          <w:tcPr>
            <w:tcW w:type="dxa" w:w="2160"/>
          </w:tcPr>
          <w:p>
            <w:r>
              <w:t>24 мес.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Подписка на облачную CRM (SaaS), доступ через сеть Интернет</w:t>
            </w:r>
          </w:p>
        </w:tc>
        <w:tc>
          <w:tcPr>
            <w:tcW w:type="dxa" w:w="2160"/>
          </w:tcPr>
          <w:p>
            <w:r>
              <w:t>120 000</w:t>
            </w:r>
          </w:p>
        </w:tc>
        <w:tc>
          <w:tcPr>
            <w:tcW w:type="dxa" w:w="2160"/>
          </w:tcPr>
          <w:p>
            <w:r>
              <w:t>12 мес.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Обучение сотрудников работе с СУБД, очный курс</w:t>
            </w:r>
          </w:p>
        </w:tc>
        <w:tc>
          <w:tcPr>
            <w:tcW w:type="dxa" w:w="2160"/>
          </w:tcPr>
          <w:p>
            <w:r>
              <w:t>60 000</w:t>
            </w:r>
          </w:p>
        </w:tc>
        <w:tc>
          <w:tcPr>
            <w:tcW w:type="dxa" w:w="2160"/>
          </w:tcPr>
          <w:p>
            <w:r>
              <w:t>единовременно</w:t>
            </w:r>
          </w:p>
        </w:tc>
      </w:tr>
    </w:tbl>
    <w:p>
      <w:r>
        <w:t>2.1. Общая стоимость по договору составляет 1 075 000 (один миллион семьдесят пять тысяч) рублей, НДС не облагается.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