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79"/>
          <w:sz w:val="40"/>
          <w:szCs w:val="40"/>
        </w:rPr>
        <w:t xml:space="preserve">Préparation aux questions du jury</w:t>
      </w:r>
    </w:p>
    <w:p>
      <w:pPr>
        <w:spacing w:after="100"/>
        <w:jc w:val="center"/>
      </w:pPr>
      <w:r>
        <w:rPr>
          <w:i/>
          <w:iCs/>
          <w:color w:val="555555"/>
          <w:sz w:val="24"/>
          <w:szCs w:val="24"/>
        </w:rPr>
        <w:t xml:space="preserve">Défi du taux de conversion — Data Science Weekly</w:t>
      </w:r>
    </w:p>
    <w:p>
      <w:pPr>
        <w:spacing w:after="400"/>
        <w:jc w:val="center"/>
      </w:pPr>
      <w:r>
        <w:rPr>
          <w:color w:val="888888"/>
          <w:sz w:val="20"/>
          <w:szCs w:val="20"/>
        </w:rPr>
        <w:t xml:space="preserve">10 questions probables (~5 minutes d'échange) avec réponses préparées</w:t>
      </w:r>
    </w:p>
    <w:p>
      <w:pPr>
        <w:spacing w:after="300" w:line="300"/>
      </w:pPr>
      <w:r>
        <w:rPr>
          <w:i/>
          <w:iCs/>
          <w:color w:val="666666"/>
          <w:sz w:val="20"/>
          <w:szCs w:val="20"/>
        </w:rPr>
        <w:t xml:space="preserve">Ces questions couvrent les points du code et des choix méthodologiques les plus susceptibles d'être interrogés : justification des choix de préparation des données, comparaison des modèles, et surtout la décision qui a le plus fait progresser le score — l'optimisation du seuil plutôt que le rééquilibrage des classes. Pour chacune, vise une réponse orale de 20 à 30 secondes ; le texte ci-dessous peut être condensé si besoin.</w:t>
      </w:r>
    </w:p>
    <w:p>
      <w:pPr>
        <w:spacing w:after="60"/>
      </w:pPr>
      <w:r>
        <w:rPr>
          <w:i/>
          <w:iCs/>
          <w:color w:val="888888"/>
          <w:sz w:val="18"/>
          <w:szCs w:val="18"/>
        </w:rPr>
        <w:t xml:space="preserve">Choix de métrique</w:t>
      </w:r>
    </w:p>
    <w:p>
      <w:pPr>
        <w:pBdr>
          <w:left w:val="single" w:color="1F4E79" w:sz="18" w:space="8"/>
        </w:pBdr>
        <w:spacing w:after="80" w:before="260"/>
      </w:pPr>
      <w:r>
        <w:rPr>
          <w:b/>
          <w:bCs/>
          <w:color w:val="1F4E79"/>
          <w:sz w:val="24"/>
          <w:szCs w:val="24"/>
        </w:rPr>
        <w:t xml:space="preserve">Q1. Pourquoi avoir utilisé le F1-score plutôt que l'accuracy pour évaluer votre modèle ?</w:t>
      </w:r>
    </w:p>
    <w:p>
      <w:pPr>
        <w:spacing w:after="220" w:line="300"/>
      </w:pPr>
      <w:r>
        <w:rPr>
          <w:sz w:val="22"/>
          <w:szCs w:val="22"/>
        </w:rPr>
        <w:t xml:space="preserve">Parce que la classe cible est très déséquilibrée : seulement 3,2 % de conversions. Un modèle qui prédit toujours « non converti » obtiendrait déjà 96,8 % d'accuracy sans avoir rien appris d'utile. Le F1-score, qui combine précision et rappel sur la classe minoritaire, est bien plus révélateur de la capacité réelle du modèle à détecter les conversions. C'est aussi la métrique imposée par l'énoncé du challenge, pour que tous les participants soient comparés équitablement.</w:t>
      </w:r>
    </w:p>
    <w:p>
      <w:pPr>
        <w:spacing w:after="60"/>
      </w:pPr>
      <w:r>
        <w:rPr>
          <w:i/>
          <w:iCs/>
          <w:color w:val="888888"/>
          <w:sz w:val="18"/>
          <w:szCs w:val="18"/>
        </w:rPr>
        <w:t xml:space="preserve">Préparation des données</w:t>
      </w:r>
    </w:p>
    <w:p>
      <w:pPr>
        <w:pBdr>
          <w:left w:val="single" w:color="1F4E79" w:sz="18" w:space="8"/>
        </w:pBdr>
        <w:spacing w:after="80" w:before="260"/>
      </w:pPr>
      <w:r>
        <w:rPr>
          <w:b/>
          <w:bCs/>
          <w:color w:val="1F4E79"/>
          <w:sz w:val="24"/>
          <w:szCs w:val="24"/>
        </w:rPr>
        <w:t xml:space="preserve">Q2. Pourquoi avoir supprimé les deux lignes avec un âge de 111 et 123 ans plutôt que de les corriger ou de les garder ?</w:t>
      </w:r>
    </w:p>
    <w:p>
      <w:pPr>
        <w:spacing w:after="220" w:line="300"/>
      </w:pPr>
      <w:r>
        <w:rPr>
          <w:sz w:val="22"/>
          <w:szCs w:val="22"/>
        </w:rPr>
        <w:t xml:space="preserve">Ce sont clairement des erreurs de saisie ou de capture — un âge humain plausible se situe grosso modo entre 10 et 90 ans. Je n'avais aucune information permettant de deviner la vraie valeur, donc les corriger aurait été arbitraire. Comme il ne s'agit que de 2 lignes sur 284 580, les supprimer n'a aucun impact sur la taille de l'échantillon d'apprentissage, alors que les garder aurait pu biaiser la standardisation de la variable âge, qui est sensible aux valeurs extrêmes.</w:t>
      </w:r>
    </w:p>
    <w:p>
      <w:pPr>
        <w:spacing w:after="60"/>
      </w:pPr>
      <w:r>
        <w:rPr>
          <w:i/>
          <w:iCs/>
          <w:color w:val="888888"/>
          <w:sz w:val="18"/>
          <w:szCs w:val="18"/>
        </w:rPr>
        <w:t xml:space="preserve">Préparation des données</w:t>
      </w:r>
    </w:p>
    <w:p>
      <w:pPr>
        <w:pBdr>
          <w:left w:val="single" w:color="1F4E79" w:sz="18" w:space="8"/>
        </w:pBdr>
        <w:spacing w:after="80" w:before="260"/>
      </w:pPr>
      <w:r>
        <w:rPr>
          <w:b/>
          <w:bCs/>
          <w:color w:val="1F4E79"/>
          <w:sz w:val="24"/>
          <w:szCs w:val="24"/>
        </w:rPr>
        <w:t xml:space="preserve">Q3. Pourquoi avoir utilisé un one-hot encoding pour les variables pays et source plutôt qu'un simple encodage numérique (label encoding) ?</w:t>
      </w:r>
    </w:p>
    <w:p>
      <w:pPr>
        <w:spacing w:after="220" w:line="300"/>
      </w:pPr>
      <w:r>
        <w:rPr>
          <w:sz w:val="22"/>
          <w:szCs w:val="22"/>
        </w:rPr>
        <w:t xml:space="preserve">Le pays et la source sont des variables catégorielles nominales, sans ordre naturel entre les modalités — on ne peut pas dire que « Chine &lt; UK &lt; US » a un sens numérique. Un label encoding introduirait un ordre artificiel que le modèle interpréterait à tort comme une relation d'ordre ou de distance. Le one-hot encoding évite ce biais, au prix de quelques colonnes supplémentaires, ce qui reste tout à fait gérable avec seulement 4 pays et 3 sources.</w:t>
      </w:r>
    </w:p>
    <w:p>
      <w:pPr>
        <w:spacing w:after="60"/>
      </w:pPr>
      <w:r>
        <w:rPr>
          <w:i/>
          <w:iCs/>
          <w:color w:val="888888"/>
          <w:sz w:val="18"/>
          <w:szCs w:val="18"/>
        </w:rPr>
        <w:t xml:space="preserve">Modélisation</w:t>
      </w:r>
    </w:p>
    <w:p>
      <w:pPr>
        <w:pBdr>
          <w:left w:val="single" w:color="1F4E79" w:sz="18" w:space="8"/>
        </w:pBdr>
        <w:spacing w:after="80" w:before="260"/>
      </w:pPr>
      <w:r>
        <w:rPr>
          <w:b/>
          <w:bCs/>
          <w:color w:val="1F4E79"/>
          <w:sz w:val="24"/>
          <w:szCs w:val="24"/>
        </w:rPr>
        <w:t xml:space="preserve">Q4. Pourquoi avoir testé plusieurs algorithmes plutôt que de partir directement sur le plus performant ?</w:t>
      </w:r>
    </w:p>
    <w:p>
      <w:pPr>
        <w:spacing w:after="220" w:line="300"/>
      </w:pPr>
      <w:r>
        <w:rPr>
          <w:sz w:val="22"/>
          <w:szCs w:val="22"/>
        </w:rPr>
        <w:t xml:space="preserve">D'abord par méthodologie : on ne peut pas savoir a priori quel modèle sera le plus performant sur un jeu de données donné, il faut comparer. Ensuite parce que chaque modèle apporte quelque chose de différent : la régression logistique donne une référence simple et des coefficients directement interprétables, utile pour la partie analyse ; les modèles à base d'arbres capturent des interactions non linéaires entre variables sans que j'aie besoin de les construire manuellement. Comparer les trois m'a aussi permis de vérifier que le gain de performance venait bien de la méthode de gestion du déséquilibre, et pas seulement du choix d'un algorithme plus complexe.</w:t>
      </w:r>
    </w:p>
    <w:p>
      <w:pPr>
        <w:spacing w:after="60"/>
      </w:pPr>
      <w:r>
        <w:rPr>
          <w:i/>
          <w:iCs/>
          <w:color w:val="888888"/>
          <w:sz w:val="18"/>
          <w:szCs w:val="18"/>
        </w:rPr>
        <w:t xml:space="preserve">Point clé du projet</w:t>
      </w:r>
    </w:p>
    <w:p>
      <w:pPr>
        <w:pBdr>
          <w:left w:val="single" w:color="1F4E79" w:sz="18" w:space="8"/>
        </w:pBdr>
        <w:spacing w:after="80" w:before="260"/>
      </w:pPr>
      <w:r>
        <w:rPr>
          <w:b/>
          <w:bCs/>
          <w:color w:val="1F4E79"/>
          <w:sz w:val="24"/>
          <w:szCs w:val="24"/>
        </w:rPr>
        <w:t xml:space="preserve">Q5. Vous dites avoir amélioré le F1-score de 0,57 à 0,76 en changeant votre gestion du déséquilibre de classes. Pouvez-vous expliquer précisément ce qui se passe techniquement ?</w:t>
      </w:r>
    </w:p>
    <w:p>
      <w:pPr>
        <w:spacing w:after="220" w:line="300"/>
      </w:pPr>
      <w:r>
        <w:rPr>
          <w:sz w:val="22"/>
          <w:szCs w:val="22"/>
        </w:rPr>
        <w:t xml:space="preserve">Avec class_weight='balanced' ou scale_pos_weight, on force le modèle, pendant l'entraînement, à traiter chaque exemple de la classe minoritaire comme s'il représentait beaucoup plus d'exemples réels. Le modèle devient donc beaucoup plus enclin à prédire la classe minoritaire, ce qui augmente le rappel mais fait chuter la précision — il y a trop de fausses alertes. En entraînant sans ce rééquilibrage, le modèle apprend des probabilités plus fidèles aux données réelles ; je choisis ensuite, sur la courbe précision-rappel, le seuil de probabilité qui maximise spécifiquement le F1-score plutôt que de garder le seuil par défaut de 0,5. C'est une façon plus fine et plus directement alignée sur la métrique cible de gérer le déséquilibre.</w:t>
      </w:r>
    </w:p>
    <w:p>
      <w:pPr>
        <w:spacing w:after="60"/>
      </w:pPr>
      <w:r>
        <w:rPr>
          <w:i/>
          <w:iCs/>
          <w:color w:val="888888"/>
          <w:sz w:val="18"/>
          <w:szCs w:val="18"/>
        </w:rPr>
        <w:t xml:space="preserve">Rigueur méthodologique</w:t>
      </w:r>
    </w:p>
    <w:p>
      <w:pPr>
        <w:pBdr>
          <w:left w:val="single" w:color="1F4E79" w:sz="18" w:space="8"/>
        </w:pBdr>
        <w:spacing w:after="80" w:before="260"/>
      </w:pPr>
      <w:r>
        <w:rPr>
          <w:b/>
          <w:bCs/>
          <w:color w:val="1F4E79"/>
          <w:sz w:val="24"/>
          <w:szCs w:val="24"/>
        </w:rPr>
        <w:t xml:space="preserve">Q6. Comment savez-vous que votre seuil de décision optimal (0,359) n'est pas simplement du surapprentissage sur votre jeu de validation ?</w:t>
      </w:r>
    </w:p>
    <w:p>
      <w:pPr>
        <w:spacing w:after="220" w:line="300"/>
      </w:pPr>
      <w:r>
        <w:rPr>
          <w:sz w:val="22"/>
          <w:szCs w:val="22"/>
        </w:rPr>
        <w:t xml:space="preserve">C'est une limite honnête de ma démarche actuelle : le seuil est choisi sur le même jeu de validation que celui utilisé pour rapporter le score final, ce qui peut légèrement optimiser ce seuil pour ce jeu précis. Une version plus rigoureuse consisterait à découper les données en trois parties — apprentissage, validation pour choisir le seuil, et test final pour évaluer sans aucune fuite d'information — ou à faire cette optimisation de seuil par validation croisée. Avec 285 000 lignes et un seuil qui reste stable autour de 0,35-0,40 sur mes différents modèles, le risque de surapprentissage du seuil lui-même reste limité, mais ce serait la première amélioration méthodologique que j'apporterais.</w:t>
      </w:r>
    </w:p>
    <w:p>
      <w:pPr>
        <w:spacing w:after="60"/>
      </w:pPr>
      <w:r>
        <w:rPr>
          <w:i/>
          <w:iCs/>
          <w:color w:val="888888"/>
          <w:sz w:val="18"/>
          <w:szCs w:val="18"/>
        </w:rPr>
        <w:t xml:space="preserve">Rigueur méthodologique</w:t>
      </w:r>
    </w:p>
    <w:p>
      <w:pPr>
        <w:pBdr>
          <w:left w:val="single" w:color="1F4E79" w:sz="18" w:space="8"/>
        </w:pBdr>
        <w:spacing w:after="80" w:before="260"/>
      </w:pPr>
      <w:r>
        <w:rPr>
          <w:b/>
          <w:bCs/>
          <w:color w:val="1F4E79"/>
          <w:sz w:val="24"/>
          <w:szCs w:val="24"/>
        </w:rPr>
        <w:t xml:space="preserve">Q7. Vous avez fait une recherche sur grille (GridSearchCV) avec une validation croisée à 3 plis. Pourquoi 3 et pas 5 ou 10 ?</w:t>
      </w:r>
    </w:p>
    <w:p>
      <w:pPr>
        <w:spacing w:after="220" w:line="300"/>
      </w:pPr>
      <w:r>
        <w:rPr>
          <w:sz w:val="22"/>
          <w:szCs w:val="22"/>
        </w:rPr>
        <w:t xml:space="preserve">C'est un compromis pratique entre robustesse de l'estimation et temps de calcul : avec 227 000 lignes d'apprentissage, chaque pli contient déjà plus de 75 000 exemples, ce qui suffit à obtenir une estimation stable de la performance. Passer à 5 ou 10 plis aurait démultiplié le temps de calcul de la recherche sur grille sans gain de fiabilité proportionnel sur un jeu de données de cette taille. Sur un jeu de données plus petit, j'aurais choisi un nombre de plis plus élevé pour compenser la variance d'échantillonnage.</w:t>
      </w:r>
    </w:p>
    <w:p>
      <w:pPr>
        <w:spacing w:after="60"/>
      </w:pPr>
      <w:r>
        <w:rPr>
          <w:i/>
          <w:iCs/>
          <w:color w:val="888888"/>
          <w:sz w:val="18"/>
          <w:szCs w:val="18"/>
        </w:rPr>
        <w:t xml:space="preserve">Interprétation métier</w:t>
      </w:r>
    </w:p>
    <w:p>
      <w:pPr>
        <w:pBdr>
          <w:left w:val="single" w:color="1F4E79" w:sz="18" w:space="8"/>
        </w:pBdr>
        <w:spacing w:after="80" w:before="260"/>
      </w:pPr>
      <w:r>
        <w:rPr>
          <w:b/>
          <w:bCs/>
          <w:color w:val="1F4E79"/>
          <w:sz w:val="24"/>
          <w:szCs w:val="24"/>
        </w:rPr>
        <w:t xml:space="preserve">Q8. Le pays pèse presque 19 % dans votre modèle, avec la Chine qui ne convertit presque jamais. Est-ce que cela veut dire qu'il ne faut plus cibler les visiteurs chinois ?</w:t>
      </w:r>
    </w:p>
    <w:p>
      <w:pPr>
        <w:spacing w:after="220" w:line="300"/>
      </w:pPr>
      <w:r>
        <w:rPr>
          <w:sz w:val="22"/>
          <w:szCs w:val="22"/>
        </w:rPr>
        <w:t xml:space="preserve">Non, et c'est un point sur lequel je suis prudent dans mes recommandations. Le modèle capture une corrélation forte, mais pas nécessairement une cause actionnable : ce faible taux de conversion peut venir d'un problème de contenu non localisé, d'une source de trafic chinois peu qualifiée, ou même de restrictions d'accès à certains services depuis la Chine. Avant de réduire les efforts sur ce marché, je recommande une investigation qualitative pour comprendre la cause réelle plutôt qu'une décision automatique basée uniquement sur l'importance de la variable dans le modèle.</w:t>
      </w:r>
    </w:p>
    <w:p>
      <w:pPr>
        <w:spacing w:after="60"/>
      </w:pPr>
      <w:r>
        <w:rPr>
          <w:i/>
          <w:iCs/>
          <w:color w:val="888888"/>
          <w:sz w:val="18"/>
          <w:szCs w:val="18"/>
        </w:rPr>
        <w:t xml:space="preserve">Généralisation du code</w:t>
      </w:r>
    </w:p>
    <w:p>
      <w:pPr>
        <w:pBdr>
          <w:left w:val="single" w:color="1F4E79" w:sz="18" w:space="8"/>
        </w:pBdr>
        <w:spacing w:after="80" w:before="260"/>
      </w:pPr>
      <w:r>
        <w:rPr>
          <w:b/>
          <w:bCs/>
          <w:color w:val="1F4E79"/>
          <w:sz w:val="24"/>
          <w:szCs w:val="24"/>
        </w:rPr>
        <w:t xml:space="preserve">Q9. Vous avez ré-entraîné votre modèle final sur 100 % des données d'entraînement avant de prédire sur le fichier de test. Pourquoi, et n'est-ce pas risqué ?</w:t>
      </w:r>
    </w:p>
    <w:p>
      <w:pPr>
        <w:spacing w:after="220" w:line="300"/>
      </w:pPr>
      <w:r>
        <w:rPr>
          <w:sz w:val="22"/>
          <w:szCs w:val="22"/>
        </w:rPr>
        <w:t xml:space="preserve">Une fois les hyperparamètres et le seuil choisis et validés sur le split 80/20, il n'y a plus de raison de laisser 20 % des données d'apprentissage inutilisées pour la prédiction finale : plus le modèle voit de données, mieux il généralise en principe. Ce n'est pas risqué ici car toutes les décisions de modélisation — choix d'algorithme, hyperparamètres, seuil — ont déjà été figées avant ce ré-entraînement, sur le jeu de validation. Je n'utilise jamais le fichier de test réel (sans étiquette) pour prendre une quelconque décision de modélisation, ce qui évite toute fuite d'information.</w:t>
      </w:r>
    </w:p>
    <w:p>
      <w:pPr>
        <w:spacing w:after="60"/>
      </w:pPr>
      <w:r>
        <w:rPr>
          <w:i/>
          <w:iCs/>
          <w:color w:val="888888"/>
          <w:sz w:val="18"/>
          <w:szCs w:val="18"/>
        </w:rPr>
        <w:t xml:space="preserve">Ouverture / esprit critique</w:t>
      </w:r>
    </w:p>
    <w:p>
      <w:pPr>
        <w:pBdr>
          <w:left w:val="single" w:color="1F4E79" w:sz="18" w:space="8"/>
        </w:pBdr>
        <w:spacing w:after="80" w:before="260"/>
      </w:pPr>
      <w:r>
        <w:rPr>
          <w:b/>
          <w:bCs/>
          <w:color w:val="1F4E79"/>
          <w:sz w:val="24"/>
          <w:szCs w:val="24"/>
        </w:rPr>
        <w:t xml:space="preserve">Q10. Si vous aviez deux semaines de plus sur ce projet, qu'amélioreriez-vous en priorité ?</w:t>
      </w:r>
    </w:p>
    <w:p>
      <w:pPr>
        <w:spacing w:after="220" w:line="300"/>
      </w:pPr>
      <w:r>
        <w:rPr>
          <w:sz w:val="22"/>
          <w:szCs w:val="22"/>
        </w:rPr>
        <w:t xml:space="preserve">Trois pistes, par ordre de priorité. D'abord, séparer proprement le choix du seuil de décision du jeu de validation final, comme évoqué plus tôt, pour une évaluation plus rigoureuse. Ensuite, approfondir l'analyse du cas chinois avec des données complémentaires si elles existent (langue, appareil, source détaillée), car c'est la variable la moins bien comprise malgré son poids important. Enfin, tester une ingénierie de variables plus poussée, par exemple une variable croisant pays et source, pour voir si des interactions spécifiques expliquent mieux certains comportements que les variables prises séparément.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Soutenance — Défi du taux de conversion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2026-09-10T08:03:11.909Z</dcterms:created>
  <dcterms:modified xsi:type="dcterms:W3CDTF">2026-09-10T08:03:11.910Z</dcterms:modified>
</cp:coreProperties>
</file>

<file path=docProps/custom.xml><?xml version="1.0" encoding="utf-8"?>
<Properties xmlns="http://schemas.openxmlformats.org/officeDocument/2006/custom-properties" xmlns:vt="http://schemas.openxmlformats.org/officeDocument/2006/docPropsVTypes"/>
</file>