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Discours de présentation orale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Défi du taux de conversion — Data Science Weekly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Format : 5 minutes chrono — script minuté avec repères oraux</w:t>
      </w:r>
    </w:p>
    <w:p>
      <w:pPr>
        <w:spacing w:after="140" w:line="300"/>
      </w:pPr>
      <w:r>
        <w:rPr>
          <w:i/>
          <w:iCs/>
          <w:color w:val="666666"/>
          <w:sz w:val="20"/>
          <w:szCs w:val="20"/>
        </w:rPr>
        <w:t xml:space="preserve">Note d'usage : le texte ci-dessous est calibré pour ~5 minutes à un débit de présentation normal (≈140 mots/minute). Les phrases entre crochets [ainsi] sont des indications de ton ou de geste, à ne pas lire à voix haute. Entraîne-toi à voix haute une fois pour ajuster ton propre rythme.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F4E79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0:00 – 0:45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Introduction et contexte</w:t>
            </w:r>
          </w:p>
        </w:tc>
      </w:tr>
    </w:tbl>
    <w:p>
      <w:pPr>
        <w:spacing w:after="140" w:line="300"/>
      </w:pPr>
      <w:r>
        <w:t xml:space="preserve">« Bonjour à tous. Je vais vous présenter mon travail sur le défi du taux de conversion proposé par Data Science Weekly, une newsletter spécialisée en data science.</w:t>
      </w:r>
    </w:p>
    <w:p>
      <w:pPr>
        <w:spacing w:after="140" w:line="300"/>
      </w:pPr>
      <w:r>
        <w:t xml:space="preserve">L'objectif métier est simple à énoncer mais intéressant à résoudre : à partir de quelques informations sur un visiteur du site — son pays, son âge, s'il est nouveau ou déjà connu, sa source d'acquisition et le nombre de pages qu'il a consultées — peut-on prédire s'il va s'abonner à la newsletter ? Et surtout, qu'est-ce que ce modèle peut nous apprendre pour améliorer ce taux de conversion à l'avenir ?</w:t>
      </w:r>
    </w:p>
    <w:p>
      <w:pPr>
        <w:spacing w:after="140" w:line="300"/>
      </w:pPr>
      <w:r>
        <w:t xml:space="preserve">Le jeu de données contient environ 285 000 sessions, et la difficulté principale est immédiatement visible : seulement 3,2 % des visiteurs se convertissent réellement. C'est un problème de classification très déséquilibré, ce qui va orienter toutes mes décisions techniques. » [pause, transition vers l'écran de données]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F4E79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0:45 – 1:45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Exploration des données et préparation</w:t>
            </w:r>
          </w:p>
        </w:tc>
      </w:tr>
    </w:tbl>
    <w:p>
      <w:pPr>
        <w:spacing w:after="140" w:line="300"/>
      </w:pPr>
      <w:r>
        <w:t xml:space="preserve">« J'ai commencé par une analyse exploratoire pour comprendre les relations entre chaque variable et la conversion. Trois signaux sont apparus très nettement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nombre de pages visitées : les visiteurs convertis en visitent en moyenne 14, contre 4 pour les non-convertis — un facteur supérieur à 3.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statut de nouvel utilisateur : les visiteurs déjà connus convertissent cinq fois plus que les nouveaux.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pays : la Chine, qui représente pourtant le deuxième volume de trafic, ne convertit presque jamais, alors que l'Allemagne et le Royaume-Uni convertissent bien mieux que la moyenne.</w:t>
      </w:r>
    </w:p>
    <w:p>
      <w:pPr>
        <w:spacing w:after="140" w:line="300"/>
      </w:pPr>
      <w:r>
        <w:t xml:space="preserve">« Côté préparation, j'ai retiré deux valeurs d'âge clairement aberrantes — 111 et 123 ans — puis encodé les variables catégorielles en variables indicatrices, et standardisé les variables numériques. J'ai enfin séparé les données en 80 % apprentissage et 20 % validation, en conservant la même proportion de conversions dans les deux parties grâce à une stratification. » [transition vers la partie modélisation]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F4E79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1:45 – 3:00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Modélisation et décision clé</w:t>
            </w:r>
          </w:p>
        </w:tc>
      </w:tr>
    </w:tbl>
    <w:p>
      <w:pPr>
        <w:spacing w:after="140" w:line="300"/>
      </w:pPr>
      <w:r>
        <w:t xml:space="preserve">« Pour la modélisation, j'ai comparé trois algorithmes : une régression logistique comme référence simple et interprétable, une forêt aléatoire, et un gradient boosting XGBoost, tous deux capables de capturer des interactions complexes entre variables.</w:t>
      </w:r>
    </w:p>
    <w:p>
      <w:pPr>
        <w:spacing w:after="140" w:line="300"/>
      </w:pPr>
      <w:r>
        <w:t xml:space="preserve">Le point le plus intéressant de ce projet n'est pas le choix de l'algorithme, mais la gestion du déséquilibre de classes. Ma première approche — la plus classique — consistait à pondérer automatiquement les classes pour compenser le déséquilibre. Résultat : un F1-score plafonné entre 0,51 et 0,57, avec beaucoup de fausses alertes.</w:t>
      </w:r>
    </w:p>
    <w:p>
      <w:pPr>
        <w:spacing w:after="140" w:line="300"/>
      </w:pPr>
      <w:r>
        <w:t xml:space="preserve">J'ai alors changé de stratégie : entraîner les modèles sans pondération forcée, puis optimiser a posteriori le seuil de décision — normalement fixé à 0,5 par défaut — en cherchant sur la courbe précision-rappel le seuil qui maximise le F1-score. Ce simple changement a fait passer le score de 0,57 à 0,76, sans changer l'algorithme. C'est la décision qui a eu le plus d'impact sur ce projet. » [insister sur ce point, c'est le cœur technique du projet]</w:t>
      </w:r>
    </w:p>
    <w:p>
      <w:pPr>
        <w:spacing w:after="140" w:line="300"/>
      </w:pPr>
      <w:r>
        <w:t xml:space="preserve">« Après une recherche sur grille des hyperparamètres, mon modèle final est un XGBoost avec un seuil de décision à 0,359, qui atteint un F1-score de 0,767 sur les données de validation : 80 % de précision et 74 % de rappel sur la classe des convertis.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F4E79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3:00 – 4:15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Résultats et recommandations</w:t>
            </w:r>
          </w:p>
        </w:tc>
      </w:tr>
    </w:tbl>
    <w:p>
      <w:pPr>
        <w:spacing w:after="140" w:line="300"/>
      </w:pPr>
      <w:r>
        <w:t xml:space="preserve">« Une fois le modèle entraîné, j'ai analysé l'importance de chaque variable pour comprendre ce qu'il a appris — et en tirer des recommandations concrètes.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nombre de pages visitées explique à lui seul 69 % du pouvoir prédictif du modèle. C'est un signal comportemental et actionnable : encourager la navigation, via des recommandations de contenu ou un meilleur maillage interne, devrait avoir un effet direct sur la conversion.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statut utilisateur pèse 9 % : les visiteurs récurrents convertissent bien mieux, ce qui plaide pour des actions de rétention et de retargeting plutôt qu'un focus exclusif sur l'acquisition.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Le pays pèse près de 19 % au total, tiré par le contraste extrême avec la Chine. C'est un signal à creuser avant d'agir — cela peut venir d'un problème de localisation du contenu ou d'une source de trafic peu qualifiée — plutôt qu'une conclusion définitive.</w:t>
      </w:r>
    </w:p>
    <w:p>
      <w:pPr>
        <w:spacing w:after="140" w:line="300"/>
      </w:pPr>
      <w:r>
        <w:t xml:space="preserve">« Ces trois leviers — engagement sur site, fidélisation des utilisateurs récurrents, et investigation du marché chinois — sont mes recommandations principales à l'équipe marketing.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F4E79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4:15 – 5:00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Conclusion</w:t>
            </w:r>
          </w:p>
        </w:tc>
      </w:tr>
    </w:tbl>
    <w:p>
      <w:pPr>
        <w:spacing w:after="140" w:line="300"/>
      </w:pPr>
      <w:r>
        <w:t xml:space="preserve">« Pour résumer : je pars d'un problème très déséquilibré, je construis un modèle XGBoost qui atteint un F1-score de 0,767, et surtout j'identifie que le levier technique le plus efficace ici n'était pas un algorithme plus sophistiqué, mais l'optimisation du seuil de décision. Et au-delà de la performance du modèle, l'analyse de ses paramètres donne à Data Science Weekly des pistes d'action concrètes et priorisées pour améliorer son taux de conversion. Je vous remercie, je suis prêt à répondre à vos questions. »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Soutenance — Défi du taux de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2026-09-10T08:02:18.709Z</dcterms:created>
  <dcterms:modified xsi:type="dcterms:W3CDTF">2026-09-10T08:02:18.721Z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