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Jérôme Pagé – Responsable des livrables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Simon Lepage – Scrum master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Jonathan Simard – Secrétaire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Ludovic D’Anjou-</w:t>
      </w:r>
      <w:proofErr w:type="spellStart"/>
      <w:r w:rsidRPr="0012396F">
        <w:rPr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E52F54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52F54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le backbone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yellow"/>
                <w:lang w:val="fr-CA"/>
              </w:rPr>
            </w:pPr>
            <w:r w:rsidRPr="00E82628">
              <w:rPr>
                <w:rFonts w:eastAsia="Cambria"/>
                <w:sz w:val="24"/>
                <w:highlight w:val="yellow"/>
                <w:lang w:val="fr-CA"/>
              </w:rPr>
              <w:t xml:space="preserve">Configurer et produire une infrastructure d'affichage avec </w:t>
            </w:r>
            <w:proofErr w:type="spellStart"/>
            <w:r w:rsidRPr="00E82628">
              <w:rPr>
                <w:rFonts w:eastAsia="Cambria"/>
                <w:sz w:val="24"/>
                <w:highlight w:val="yellow"/>
                <w:lang w:val="fr-CA"/>
              </w:rPr>
              <w:t>Jmonkey</w:t>
            </w:r>
            <w:proofErr w:type="spellEnd"/>
            <w:r w:rsidRPr="00E82628">
              <w:rPr>
                <w:rFonts w:eastAsia="Cambria"/>
                <w:sz w:val="24"/>
                <w:highlight w:val="yellow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 xml:space="preserve">Concevoir un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systeme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de gestion des Materials (produire un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et pour chaque équation envoyée, la fusionner </w:t>
            </w:r>
            <w:bookmarkStart w:id="0" w:name="_GoBack"/>
            <w:bookmarkEnd w:id="0"/>
            <w:r w:rsidRPr="00E82628">
              <w:rPr>
                <w:rFonts w:eastAsia="Cambria"/>
                <w:sz w:val="24"/>
                <w:lang w:val="fr-CA"/>
              </w:rPr>
              <w:t xml:space="preserve">avec une copie du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generique</w:t>
            </w:r>
            <w:proofErr w:type="spellEnd"/>
            <w:r w:rsidRPr="00E82628">
              <w:rPr>
                <w:rFonts w:eastAsia="Cambria"/>
                <w:sz w:val="24"/>
                <w:lang w:val="fr-CA"/>
              </w:rPr>
              <w:t xml:space="preserve"> et le charger dans </w:t>
            </w:r>
            <w:proofErr w:type="gramStart"/>
            <w:r w:rsidRPr="00E82628">
              <w:rPr>
                <w:rFonts w:eastAsia="Cambria"/>
                <w:sz w:val="24"/>
                <w:lang w:val="fr-CA"/>
              </w:rPr>
              <w:t xml:space="preserve">le 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Material</w:t>
            </w:r>
            <w:proofErr w:type="spellEnd"/>
            <w:proofErr w:type="gramEnd"/>
            <w:r w:rsidRPr="00E82628">
              <w:rPr>
                <w:rFonts w:eastAsia="Cambria"/>
                <w:sz w:val="24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52F54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E82628">
              <w:rPr>
                <w:rFonts w:eastAsia="Cambria"/>
                <w:sz w:val="24"/>
                <w:lang w:val="fr-CA"/>
              </w:rPr>
              <w:t xml:space="preserve">Envoie des vecteurs aux </w:t>
            </w:r>
            <w:proofErr w:type="spellStart"/>
            <w:r w:rsidRPr="00E82628">
              <w:rPr>
                <w:rFonts w:eastAsia="Cambria"/>
                <w:sz w:val="24"/>
                <w:lang w:val="fr-CA"/>
              </w:rPr>
              <w:t>shaders</w:t>
            </w:r>
            <w:proofErr w:type="spellEnd"/>
          </w:p>
        </w:tc>
      </w:tr>
      <w:tr w:rsidR="00E82628" w:rsidRPr="00E52F54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tbl>
      <w:tblPr>
        <w:tblStyle w:val="Grilledutableau2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82628" w:rsidRPr="00E82628" w:rsidTr="00E82628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b/>
                <w:lang w:val="fr-CA" w:eastAsia="fr-CA"/>
              </w:rPr>
            </w:pPr>
            <w:r w:rsidRPr="00E82628">
              <w:rPr>
                <w:rFonts w:eastAsia="Cambria"/>
                <w:b/>
                <w:lang w:val="fr-CA" w:eastAsia="fr-CA"/>
              </w:rPr>
              <w:lastRenderedPageBreak/>
              <w:t>2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E82628" w:rsidRPr="00E52F54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E82628" w:rsidRPr="00E52F54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Encoder la translation dans une matrice. 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Envoyer la matrice au </w:t>
            </w:r>
            <w:proofErr w:type="spellStart"/>
            <w:r w:rsidRPr="00E82628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E82628">
              <w:rPr>
                <w:rFonts w:eastAsia="Cambria"/>
                <w:lang w:val="fr-CA" w:eastAsia="fr-CA"/>
              </w:rPr>
              <w:t xml:space="preserve"> 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Dans les </w:t>
            </w:r>
            <w:proofErr w:type="spellStart"/>
            <w:r w:rsidRPr="00E82628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E82628">
              <w:rPr>
                <w:rFonts w:eastAsia="Cambria"/>
                <w:lang w:val="fr-CA" w:eastAsia="fr-CA"/>
              </w:rPr>
              <w:t>, effectué la translation sur la matrice</w:t>
            </w:r>
          </w:p>
          <w:p w:rsidR="00E82628" w:rsidRPr="00E82628" w:rsidRDefault="00E82628" w:rsidP="00E82628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Lorsque du roulement de la mollette de la souris, enregistrer le zoom demandé</w:t>
            </w:r>
          </w:p>
          <w:p w:rsidR="00E82628" w:rsidRPr="00E82628" w:rsidRDefault="00E82628" w:rsidP="00E82628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Effectué le zoom demandé</w:t>
            </w:r>
          </w:p>
          <w:p w:rsidR="00E82628" w:rsidRPr="00E82628" w:rsidRDefault="00E82628" w:rsidP="00E82628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3.1. Recevoir le zoom de l’utilisateur et le délai entrer chaque zoom</w:t>
            </w:r>
          </w:p>
          <w:p w:rsidR="00E82628" w:rsidRPr="00E82628" w:rsidRDefault="00E82628" w:rsidP="00E82628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3.2. Enregistrer la position de la souris</w:t>
            </w:r>
          </w:p>
          <w:p w:rsidR="00E82628" w:rsidRPr="00E82628" w:rsidRDefault="00E82628" w:rsidP="00E82628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3.3 Effectuer une répétition de zoom le nombre de fois demandé par l’utilisateur </w:t>
            </w:r>
          </w:p>
          <w:p w:rsidR="00E82628" w:rsidRPr="00E82628" w:rsidRDefault="00E82628" w:rsidP="00E82628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E82628" w:rsidRPr="00E82628" w:rsidRDefault="00E82628" w:rsidP="00E82628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4.1. Lorsque l’utilisateur pèse sur la touche escape, affiché la fractale dans sa position originale (zoom de 0 et translation de 0)  </w:t>
            </w:r>
          </w:p>
        </w:tc>
      </w:tr>
      <w:tr w:rsidR="00E82628" w:rsidRPr="00E52F54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5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2j/personne </w:t>
            </w:r>
            <w:r w:rsidRPr="00E82628">
              <w:rPr>
                <w:rFonts w:eastAsia="Cambria"/>
                <w:b/>
                <w:lang w:val="fr-CA" w:eastAsia="fr-CA"/>
              </w:rPr>
              <w:t>ou</w:t>
            </w:r>
            <w:r w:rsidRPr="00E82628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E82628" w:rsidRPr="00E82628" w:rsidTr="00CF10D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28" w:rsidRPr="00E82628" w:rsidRDefault="00E82628" w:rsidP="00E82628">
            <w:pPr>
              <w:jc w:val="both"/>
              <w:rPr>
                <w:rFonts w:eastAsia="Cambria"/>
                <w:lang w:val="fr-CA" w:eastAsia="fr-CA"/>
              </w:rPr>
            </w:pPr>
          </w:p>
        </w:tc>
      </w:tr>
    </w:tbl>
    <w:p w:rsidR="00E82628" w:rsidRPr="009B2A05" w:rsidRDefault="00E82628" w:rsidP="00183A64">
      <w:pPr>
        <w:rPr>
          <w:lang w:val="fr-CA"/>
        </w:rPr>
      </w:pPr>
    </w:p>
    <w:sectPr w:rsidR="00E82628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A05"/>
    <w:rsid w:val="00183A64"/>
    <w:rsid w:val="001E42C2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6A2235"/>
    <w:rsid w:val="007D54C5"/>
    <w:rsid w:val="00816BDB"/>
    <w:rsid w:val="009B2A05"/>
    <w:rsid w:val="00AD4F86"/>
    <w:rsid w:val="00BF7047"/>
    <w:rsid w:val="00C30450"/>
    <w:rsid w:val="00C5749F"/>
    <w:rsid w:val="00D8745D"/>
    <w:rsid w:val="00E52F54"/>
    <w:rsid w:val="00E82628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</cp:lastModifiedBy>
  <cp:revision>24</cp:revision>
  <dcterms:created xsi:type="dcterms:W3CDTF">2015-02-10T14:21:00Z</dcterms:created>
  <dcterms:modified xsi:type="dcterms:W3CDTF">2018-02-23T21:38:00Z</dcterms:modified>
</cp:coreProperties>
</file>