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Jérôme Pagé</w:t>
      </w:r>
      <w:r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Secrétaire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Simon Lepage</w:t>
      </w:r>
      <w:r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Responsable des livrables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Jonathan Simard</w:t>
      </w:r>
      <w:r w:rsidRPr="0012396F">
        <w:rPr>
          <w:sz w:val="22"/>
          <w:szCs w:val="22"/>
          <w:lang w:val="fr-CA"/>
        </w:rPr>
        <w:t xml:space="preserve"> – </w:t>
      </w:r>
      <w:r w:rsidR="008A62DF">
        <w:rPr>
          <w:sz w:val="22"/>
          <w:szCs w:val="22"/>
          <w:lang w:val="fr-CA"/>
        </w:rPr>
        <w:t>Scrum master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Ludovic D’Anjou-</w:t>
      </w:r>
      <w:proofErr w:type="spellStart"/>
      <w:r w:rsidRPr="00AC0B13">
        <w:rPr>
          <w:b/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1A2B19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52F54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le backbone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4C6E15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Configurer et produire une infrastructure d'affichage avec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Jmonkey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Concevoir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systeme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gestion des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Materials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(produire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pour chaque équation envoyée, la fusionner avec une copie du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generique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le charger dans </w:t>
            </w:r>
            <w:proofErr w:type="gram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le 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proofErr w:type="gram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52F54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Envoie des vecteurs aux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shaders</w:t>
            </w:r>
            <w:proofErr w:type="spellEnd"/>
          </w:p>
        </w:tc>
      </w:tr>
      <w:tr w:rsidR="00E82628" w:rsidRPr="001A2B19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tbl>
      <w:tblPr>
        <w:tblStyle w:val="Grilledutableau2"/>
        <w:tblpPr w:leftFromText="141" w:rightFromText="141" w:vertAnchor="text" w:horzAnchor="margin" w:tblpY="-45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C94446" w:rsidRPr="00E82628" w:rsidTr="00C9444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b/>
                <w:lang w:val="fr-CA" w:eastAsia="fr-CA"/>
              </w:rPr>
            </w:pPr>
            <w:r w:rsidRPr="00E82628">
              <w:rPr>
                <w:rFonts w:eastAsia="Cambria"/>
                <w:b/>
                <w:lang w:val="fr-CA" w:eastAsia="fr-CA"/>
              </w:rPr>
              <w:lastRenderedPageBreak/>
              <w:t>2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C94446" w:rsidRPr="001A2B19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C94446" w:rsidRPr="001A2B19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Encoder la translation dans une matric</w:t>
            </w:r>
            <w:bookmarkStart w:id="0" w:name="_GoBack"/>
            <w:bookmarkEnd w:id="0"/>
            <w:r w:rsidRPr="003E1656">
              <w:rPr>
                <w:rFonts w:eastAsia="Cambria"/>
                <w:highlight w:val="green"/>
                <w:lang w:val="fr-CA" w:eastAsia="fr-CA"/>
              </w:rPr>
              <w:t xml:space="preserve">e.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Envoyer la matrice au </w:t>
            </w:r>
            <w:proofErr w:type="spellStart"/>
            <w:r w:rsidRPr="003E1656"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 w:rsidRPr="003E1656">
              <w:rPr>
                <w:rFonts w:eastAsia="Cambria"/>
                <w:highlight w:val="green"/>
                <w:lang w:val="fr-CA" w:eastAsia="fr-CA"/>
              </w:rPr>
              <w:t xml:space="preserve">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>
              <w:rPr>
                <w:rFonts w:eastAsia="Cambria"/>
                <w:highlight w:val="green"/>
                <w:lang w:val="fr-CA" w:eastAsia="fr-CA"/>
              </w:rPr>
              <w:t xml:space="preserve">Dans les </w:t>
            </w:r>
            <w:proofErr w:type="spellStart"/>
            <w:r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>
              <w:rPr>
                <w:rFonts w:eastAsia="Cambria"/>
                <w:highlight w:val="green"/>
                <w:lang w:val="fr-CA" w:eastAsia="fr-CA"/>
              </w:rPr>
              <w:t>, effectuer</w:t>
            </w: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 la translation sur la matrice</w:t>
            </w:r>
          </w:p>
          <w:p w:rsidR="00C94446" w:rsidRPr="00E82628" w:rsidRDefault="00C94446" w:rsidP="00C9444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Lorsque du roulement de la mollette de la souris, enregistrer le zoom demandé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Effectué le zoom demandé</w:t>
            </w:r>
          </w:p>
          <w:p w:rsidR="00C94446" w:rsidRPr="00E82628" w:rsidRDefault="00C94446" w:rsidP="00C9444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1A2B19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1A2B19">
              <w:rPr>
                <w:rFonts w:eastAsia="Cambria"/>
                <w:highlight w:val="green"/>
                <w:lang w:val="fr-CA" w:eastAsia="fr-CA"/>
              </w:rPr>
              <w:t>3.1. Recevoir le zoom de l’utilisateur et le délai entrer chaque zoom</w:t>
            </w:r>
          </w:p>
          <w:p w:rsidR="00C94446" w:rsidRPr="003E1656" w:rsidRDefault="00C94446" w:rsidP="00C9444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strike/>
                <w:lang w:val="fr-CA" w:eastAsia="fr-CA"/>
              </w:rPr>
            </w:pPr>
            <w:r w:rsidRPr="003E1656">
              <w:rPr>
                <w:rFonts w:eastAsia="Cambria"/>
                <w:strike/>
                <w:lang w:val="fr-CA" w:eastAsia="fr-CA"/>
              </w:rPr>
              <w:t>3.2. Enregistrer la position de la souris</w:t>
            </w:r>
          </w:p>
          <w:p w:rsidR="00C94446" w:rsidRPr="00E82628" w:rsidRDefault="00C94446" w:rsidP="00C9444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1A2B19">
              <w:rPr>
                <w:rFonts w:eastAsia="Cambria"/>
                <w:highlight w:val="green"/>
                <w:lang w:val="fr-CA" w:eastAsia="fr-CA"/>
              </w:rPr>
              <w:t>3.3 Effectuer une répétition de zoom le nombre de fois demandé par l’utilisateur</w:t>
            </w:r>
            <w:r w:rsidRPr="00E82628">
              <w:rPr>
                <w:rFonts w:eastAsia="Cambria"/>
                <w:lang w:val="fr-CA" w:eastAsia="fr-CA"/>
              </w:rPr>
              <w:t xml:space="preserve"> </w:t>
            </w:r>
          </w:p>
          <w:p w:rsidR="00C94446" w:rsidRPr="00E82628" w:rsidRDefault="00C94446" w:rsidP="00C94446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1A2B19">
              <w:rPr>
                <w:rFonts w:eastAsia="Cambria"/>
                <w:highlight w:val="yellow"/>
                <w:lang w:val="fr-CA" w:eastAsia="fr-CA"/>
              </w:rPr>
              <w:t>4.1. Lorsque l’utilisateur pèse sur la touche escape, affiché la fractale dans sa position originale (zoom de 0 et translation de 0)</w:t>
            </w:r>
            <w:r w:rsidRPr="00E82628">
              <w:rPr>
                <w:rFonts w:eastAsia="Cambria"/>
                <w:lang w:val="fr-CA" w:eastAsia="fr-CA"/>
              </w:rPr>
              <w:t xml:space="preserve">  </w:t>
            </w:r>
          </w:p>
        </w:tc>
      </w:tr>
      <w:tr w:rsidR="00C94446" w:rsidRPr="001A2B19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5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2j/personne </w:t>
            </w:r>
            <w:r w:rsidRPr="00E82628">
              <w:rPr>
                <w:rFonts w:eastAsia="Cambria"/>
                <w:b/>
                <w:lang w:val="fr-CA" w:eastAsia="fr-CA"/>
              </w:rPr>
              <w:t>ou</w:t>
            </w:r>
            <w:r w:rsidRPr="00E82628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C94446" w:rsidRPr="001A2B19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>
              <w:rPr>
                <w:rFonts w:eastAsia="Cambria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E82628" w:rsidRDefault="00E82628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53994" w:rsidTr="00A53994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53994" w:rsidRPr="00A53994" w:rsidRDefault="00A53994">
            <w:pPr>
              <w:jc w:val="both"/>
              <w:rPr>
                <w:rFonts w:eastAsia="Cambria"/>
                <w:b/>
              </w:rPr>
            </w:pPr>
            <w:r w:rsidRPr="00A53994">
              <w:rPr>
                <w:rFonts w:eastAsia="Cambria"/>
                <w:b/>
              </w:rPr>
              <w:t>3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</w:rPr>
              <w:t>Acteur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ou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rôle</w:t>
            </w:r>
            <w:proofErr w:type="spellEnd"/>
            <w:r>
              <w:rPr>
                <w:rFonts w:eastAsia="Cambria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Utilisateur</w:t>
            </w:r>
            <w:proofErr w:type="spellEnd"/>
          </w:p>
        </w:tc>
      </w:tr>
      <w:tr w:rsidR="00A53994" w:rsidRPr="001A2B19" w:rsidTr="00A53994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Scénario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A53994" w:rsidRPr="001A2B19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Détail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310458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  <w:highlight w:val="green"/>
              </w:rPr>
            </w:pPr>
            <w:r w:rsidRPr="00310458">
              <w:rPr>
                <w:rFonts w:eastAsia="Cambria"/>
                <w:sz w:val="20"/>
                <w:szCs w:val="20"/>
                <w:highlight w:val="green"/>
              </w:rPr>
              <w:t>Recevoir les chaines de caractères de l’utilisateur représentant les composantes du champ tensoriel métrique.</w:t>
            </w:r>
          </w:p>
          <w:p w:rsidR="00A53994" w:rsidRPr="00310458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  <w:highlight w:val="yellow"/>
              </w:rPr>
            </w:pPr>
            <w:r w:rsidRPr="00310458">
              <w:rPr>
                <w:rFonts w:eastAsia="Cambria"/>
                <w:sz w:val="20"/>
                <w:szCs w:val="20"/>
                <w:highlight w:val="yellow"/>
              </w:rPr>
              <w:t>Valider la structure et la syntaxe des composantes et les interpréter pour construire le champ tensoriel métrique en Java.</w:t>
            </w:r>
          </w:p>
          <w:p w:rsidR="00A53994" w:rsidRPr="001A2B19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trike/>
                <w:sz w:val="20"/>
                <w:szCs w:val="20"/>
              </w:rPr>
            </w:pPr>
            <w:r w:rsidRPr="001A2B19">
              <w:rPr>
                <w:rFonts w:eastAsia="Cambria"/>
                <w:strike/>
                <w:sz w:val="20"/>
                <w:szCs w:val="20"/>
              </w:rPr>
              <w:t xml:space="preserve">Construire une texture 3D (2D </w:t>
            </w:r>
            <w:proofErr w:type="spellStart"/>
            <w:r w:rsidRPr="001A2B19">
              <w:rPr>
                <w:rFonts w:eastAsia="Cambria"/>
                <w:strike/>
                <w:sz w:val="20"/>
                <w:szCs w:val="20"/>
              </w:rPr>
              <w:t>Array</w:t>
            </w:r>
            <w:proofErr w:type="spellEnd"/>
            <w:r w:rsidRPr="001A2B19">
              <w:rPr>
                <w:rFonts w:eastAsia="Cambria"/>
                <w:strike/>
                <w:sz w:val="20"/>
                <w:szCs w:val="20"/>
              </w:rPr>
              <w:t xml:space="preserve"> Textures ou un tableau 2x2 de matrices 2x2 sur OGL 4.3 et +) en évaluant le tenseur à chaque pixel (les composantes x et y de la texture représentent la position de chaque pixel et le niveau (pour le 2DTextures </w:t>
            </w:r>
            <w:proofErr w:type="spellStart"/>
            <w:r w:rsidRPr="001A2B19">
              <w:rPr>
                <w:rFonts w:eastAsia="Cambria"/>
                <w:strike/>
                <w:sz w:val="20"/>
                <w:szCs w:val="20"/>
              </w:rPr>
              <w:t>Array</w:t>
            </w:r>
            <w:proofErr w:type="spellEnd"/>
            <w:r w:rsidRPr="001A2B19">
              <w:rPr>
                <w:rFonts w:eastAsia="Cambria"/>
                <w:strike/>
                <w:sz w:val="20"/>
                <w:szCs w:val="20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A53994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</w:rPr>
            </w:pPr>
            <w:r w:rsidRPr="001A2B19">
              <w:rPr>
                <w:rFonts w:eastAsia="Cambria"/>
                <w:sz w:val="20"/>
                <w:szCs w:val="20"/>
                <w:highlight w:val="yellow"/>
              </w:rPr>
              <w:t xml:space="preserve">Envoyer la structure de données choisie sur le </w:t>
            </w:r>
            <w:proofErr w:type="spellStart"/>
            <w:r w:rsidRPr="001A2B19">
              <w:rPr>
                <w:rFonts w:eastAsia="Cambria"/>
                <w:sz w:val="20"/>
                <w:szCs w:val="20"/>
                <w:highlight w:val="yellow"/>
              </w:rPr>
              <w:t>shader</w:t>
            </w:r>
            <w:proofErr w:type="spellEnd"/>
            <w:r w:rsidRPr="001A2B19">
              <w:rPr>
                <w:rFonts w:eastAsia="Cambria"/>
                <w:sz w:val="20"/>
                <w:szCs w:val="20"/>
                <w:highlight w:val="yellow"/>
              </w:rPr>
              <w:t xml:space="preserve"> et calculer la déformation pour chaque pixel.</w:t>
            </w:r>
          </w:p>
        </w:tc>
      </w:tr>
      <w:tr w:rsidR="00A53994" w:rsidRPr="001A2B19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t xml:space="preserve">Tests </w:t>
            </w:r>
            <w:proofErr w:type="spellStart"/>
            <w:r>
              <w:t>d’acceptation</w:t>
            </w:r>
            <w:proofErr w:type="spellEnd"/>
            <w: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Afficher l’ensemble de Mandelbrot et confirmation visuelle de la déformation.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Complexité</w:t>
            </w:r>
            <w:proofErr w:type="spellEnd"/>
            <w: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3j/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4</w:t>
            </w:r>
          </w:p>
        </w:tc>
      </w:tr>
      <w:tr w:rsidR="00A53994" w:rsidRPr="001A2B19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Commentaires</w:t>
            </w:r>
            <w:proofErr w:type="spellEnd"/>
            <w: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A53994">
              <w:rPr>
                <w:rFonts w:eastAsia="Cambria"/>
                <w:lang w:val="fr-CA"/>
              </w:rPr>
              <w:t>shader</w:t>
            </w:r>
            <w:proofErr w:type="spellEnd"/>
          </w:p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d’un zoom, on doit « zoomer » aussi les coordonnés d’accès à la représentation en </w:t>
            </w:r>
            <w:r w:rsidRPr="00A53994">
              <w:rPr>
                <w:rFonts w:eastAsia="Cambria"/>
                <w:lang w:val="fr-CA"/>
              </w:rPr>
              <w:lastRenderedPageBreak/>
              <w:t xml:space="preserve">mémoire du tenseur. Donc, si on utilise une texture 3d, l’interpolation </w:t>
            </w:r>
            <w:proofErr w:type="gramStart"/>
            <w:r w:rsidRPr="00A53994">
              <w:rPr>
                <w:rFonts w:eastAsia="Cambria"/>
                <w:lang w:val="fr-CA"/>
              </w:rPr>
              <w:t>ce</w:t>
            </w:r>
            <w:proofErr w:type="gramEnd"/>
            <w:r w:rsidRPr="00A53994">
              <w:rPr>
                <w:rFonts w:eastAsia="Cambria"/>
                <w:lang w:val="fr-CA"/>
              </w:rPr>
              <w:t xml:space="preserve">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C94446" w:rsidRPr="009B2A05" w:rsidRDefault="00C94446" w:rsidP="00183A64">
      <w:pPr>
        <w:rPr>
          <w:lang w:val="fr-CA"/>
        </w:rPr>
      </w:pPr>
    </w:p>
    <w:sectPr w:rsidR="00C94446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183A64"/>
    <w:rsid w:val="001A2B19"/>
    <w:rsid w:val="001E42C2"/>
    <w:rsid w:val="00216805"/>
    <w:rsid w:val="002645F5"/>
    <w:rsid w:val="002B350A"/>
    <w:rsid w:val="002C5E72"/>
    <w:rsid w:val="002D0CD3"/>
    <w:rsid w:val="00310458"/>
    <w:rsid w:val="00332FD0"/>
    <w:rsid w:val="003E1656"/>
    <w:rsid w:val="003F31E0"/>
    <w:rsid w:val="00472707"/>
    <w:rsid w:val="004C6E15"/>
    <w:rsid w:val="005C3A9E"/>
    <w:rsid w:val="006565B2"/>
    <w:rsid w:val="006A2235"/>
    <w:rsid w:val="007D54C5"/>
    <w:rsid w:val="00816BDB"/>
    <w:rsid w:val="008A62DF"/>
    <w:rsid w:val="009B2A05"/>
    <w:rsid w:val="00A53994"/>
    <w:rsid w:val="00AC0B13"/>
    <w:rsid w:val="00AD4F86"/>
    <w:rsid w:val="00BF7047"/>
    <w:rsid w:val="00C30450"/>
    <w:rsid w:val="00C5749F"/>
    <w:rsid w:val="00C94446"/>
    <w:rsid w:val="00D8745D"/>
    <w:rsid w:val="00E52F54"/>
    <w:rsid w:val="00E82628"/>
    <w:rsid w:val="00F5672E"/>
    <w:rsid w:val="00F61AD4"/>
    <w:rsid w:val="00FB528B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Lepage1</cp:lastModifiedBy>
  <cp:revision>33</cp:revision>
  <dcterms:created xsi:type="dcterms:W3CDTF">2015-02-10T14:21:00Z</dcterms:created>
  <dcterms:modified xsi:type="dcterms:W3CDTF">2018-04-06T15:48:00Z</dcterms:modified>
</cp:coreProperties>
</file>