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86" w:rsidRPr="0090363B" w:rsidRDefault="008F7E86" w:rsidP="008F7E86">
      <w:pPr>
        <w:jc w:val="center"/>
        <w:rPr>
          <w:rFonts w:ascii="Arial" w:hAnsi="Arial" w:cs="Arial"/>
          <w:b/>
          <w:sz w:val="28"/>
          <w:szCs w:val="22"/>
          <w:lang w:val="fr-CA"/>
        </w:rPr>
      </w:pPr>
      <w:r>
        <w:rPr>
          <w:rFonts w:ascii="Arial" w:hAnsi="Arial" w:cs="Arial"/>
          <w:b/>
          <w:sz w:val="28"/>
          <w:szCs w:val="22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2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2"/>
          <w:lang w:val="fr-CA"/>
        </w:rPr>
        <w:t> » de sprint #4</w:t>
      </w: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Produit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Curved</w:t>
      </w:r>
      <w:proofErr w:type="spellEnd"/>
      <w:r w:rsidRPr="0090363B">
        <w:rPr>
          <w:rFonts w:ascii="Arial" w:hAnsi="Arial" w:cs="Arial"/>
          <w:sz w:val="24"/>
          <w:szCs w:val="22"/>
          <w:lang w:val="fr-CA"/>
        </w:rPr>
        <w:t xml:space="preserve"> Fractals</w:t>
      </w: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Conçu par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JeeGo</w:t>
      </w:r>
      <w:proofErr w:type="spellEnd"/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Nom des membres :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Pr="00664522">
        <w:rPr>
          <w:b/>
          <w:sz w:val="22"/>
          <w:szCs w:val="22"/>
          <w:lang w:val="fr-CA"/>
        </w:rPr>
        <w:t xml:space="preserve">Jérôme </w:t>
      </w:r>
      <w:proofErr w:type="spellStart"/>
      <w:r w:rsidRPr="00664522">
        <w:rPr>
          <w:b/>
          <w:sz w:val="22"/>
          <w:szCs w:val="22"/>
          <w:lang w:val="fr-CA"/>
        </w:rPr>
        <w:t>Pagé</w:t>
      </w:r>
      <w:proofErr w:type="spellEnd"/>
      <w:r w:rsidRPr="00664522">
        <w:rPr>
          <w:sz w:val="22"/>
          <w:szCs w:val="22"/>
          <w:lang w:val="fr-CA"/>
        </w:rPr>
        <w:t xml:space="preserve"> – Secrétaire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Pr="00664522">
        <w:rPr>
          <w:b/>
          <w:sz w:val="22"/>
          <w:szCs w:val="22"/>
          <w:lang w:val="fr-CA"/>
        </w:rPr>
        <w:t>Simon Lepage</w:t>
      </w:r>
      <w:r w:rsidRPr="00664522">
        <w:rPr>
          <w:sz w:val="22"/>
          <w:szCs w:val="22"/>
          <w:lang w:val="fr-CA"/>
        </w:rPr>
        <w:t xml:space="preserve"> – Responsable des livrables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Pr="00664522">
        <w:rPr>
          <w:b/>
          <w:sz w:val="22"/>
          <w:szCs w:val="22"/>
          <w:lang w:val="fr-CA"/>
        </w:rPr>
        <w:t>Jonathan Simard</w:t>
      </w:r>
      <w:r w:rsidRPr="00664522">
        <w:rPr>
          <w:sz w:val="22"/>
          <w:szCs w:val="22"/>
          <w:lang w:val="fr-CA"/>
        </w:rPr>
        <w:t xml:space="preserve"> – </w:t>
      </w:r>
      <w:proofErr w:type="spellStart"/>
      <w:r w:rsidRPr="00664522">
        <w:rPr>
          <w:sz w:val="22"/>
          <w:szCs w:val="22"/>
          <w:lang w:val="fr-CA"/>
        </w:rPr>
        <w:t>Scrum</w:t>
      </w:r>
      <w:proofErr w:type="spellEnd"/>
      <w:r w:rsidRPr="00664522">
        <w:rPr>
          <w:sz w:val="22"/>
          <w:szCs w:val="22"/>
          <w:lang w:val="fr-CA"/>
        </w:rPr>
        <w:t xml:space="preserve"> master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Pr="00664522">
        <w:rPr>
          <w:b/>
          <w:sz w:val="22"/>
          <w:szCs w:val="22"/>
          <w:lang w:val="fr-CA"/>
        </w:rPr>
        <w:t>Ludovic D’Anjou-</w:t>
      </w:r>
      <w:proofErr w:type="spellStart"/>
      <w:r w:rsidRPr="00664522">
        <w:rPr>
          <w:b/>
          <w:sz w:val="22"/>
          <w:szCs w:val="22"/>
          <w:lang w:val="fr-CA"/>
        </w:rPr>
        <w:t>Madore</w:t>
      </w:r>
      <w:proofErr w:type="spellEnd"/>
      <w:r w:rsidRPr="00664522">
        <w:rPr>
          <w:sz w:val="22"/>
          <w:szCs w:val="22"/>
          <w:lang w:val="fr-CA"/>
        </w:rPr>
        <w:t xml:space="preserve"> – Directeur de produit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Échéancier :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Période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>6 au 20 avril 2018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Nombre d’heures estimé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>30h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Légende :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green"/>
        </w:rPr>
        <w:t>Vert, indique que ces items sont réalisés.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yellow"/>
        </w:rPr>
        <w:t>Jaune, indique que ces items sont en cours de réalisation.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</w:rPr>
        <w:t xml:space="preserve">Aucune couleur, indique que ces items ne sont pas encore faits ou commencés, </w:t>
      </w:r>
      <w:r w:rsidRPr="00664522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664522">
        <w:rPr>
          <w:sz w:val="22"/>
          <w:szCs w:val="22"/>
        </w:rPr>
        <w:t>.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« </w:t>
      </w:r>
      <w:proofErr w:type="spellStart"/>
      <w:r w:rsidRPr="00664522">
        <w:rPr>
          <w:sz w:val="22"/>
          <w:szCs w:val="22"/>
          <w:lang w:val="fr-CA"/>
        </w:rPr>
        <w:t>Backlog</w:t>
      </w:r>
      <w:proofErr w:type="spellEnd"/>
      <w:r w:rsidRPr="00664522">
        <w:rPr>
          <w:sz w:val="22"/>
          <w:szCs w:val="22"/>
          <w:lang w:val="fr-CA"/>
        </w:rPr>
        <w:t> » de sprint</w:t>
      </w:r>
    </w:p>
    <w:p w:rsidR="00067BA9" w:rsidRDefault="00067BA9"/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8F7E86" w:rsidRPr="00664522" w:rsidTr="003427CB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F7E86" w:rsidRPr="00664522" w:rsidRDefault="008F7E86" w:rsidP="003427CB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t>3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8F7E86" w:rsidRPr="00816B11" w:rsidTr="003427CB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816B1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816B11">
              <w:rPr>
                <w:sz w:val="22"/>
                <w:szCs w:val="22"/>
                <w:highlight w:val="green"/>
              </w:rPr>
              <w:t>Recevoir les chaînes de caractères de l’utilisateur représentant les composantes du champ tensoriel métrique.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JP, SL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 w:rsidRPr="00816B11">
              <w:rPr>
                <w:sz w:val="22"/>
                <w:szCs w:val="22"/>
              </w:rPr>
              <w:t>TextField</w:t>
            </w:r>
            <w:proofErr w:type="spellEnd"/>
            <w:r w:rsidRPr="00816B11">
              <w:rPr>
                <w:sz w:val="22"/>
                <w:szCs w:val="22"/>
              </w:rPr>
              <w:t xml:space="preserve"> correspondants dans des variables String.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  <w:highlight w:val="cyan"/>
              </w:rPr>
            </w:pPr>
            <w:r w:rsidRPr="00816B11">
              <w:rPr>
                <w:sz w:val="22"/>
                <w:szCs w:val="22"/>
                <w:highlight w:val="cyan"/>
              </w:rPr>
              <w:t>XXX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lastRenderedPageBreak/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816B1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816B11">
              <w:rPr>
                <w:sz w:val="22"/>
                <w:szCs w:val="22"/>
                <w:highlight w:val="yellow"/>
              </w:rPr>
              <w:t>Valider la structure et la syntaxe des composantes et les interpréter pour construire le champ tensoriel métrique en Java.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</w:t>
            </w:r>
            <w:bookmarkStart w:id="0" w:name="_GoBack"/>
            <w:bookmarkEnd w:id="0"/>
            <w:r w:rsidRPr="00816B11">
              <w:rPr>
                <w:sz w:val="22"/>
                <w:szCs w:val="22"/>
              </w:rPr>
              <w:t>, LDM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Méthode permettant de construire le champ tensoriel métrique en Java.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  <w:highlight w:val="cyan"/>
              </w:rPr>
            </w:pPr>
            <w:r w:rsidRPr="00816B11">
              <w:rPr>
                <w:sz w:val="22"/>
                <w:szCs w:val="22"/>
                <w:highlight w:val="cyan"/>
              </w:rPr>
              <w:t>XXX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que le champ tensoriel métrique construit est valide.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816B1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816B11">
              <w:rPr>
                <w:sz w:val="22"/>
                <w:szCs w:val="22"/>
                <w:highlight w:val="yellow"/>
              </w:rPr>
              <w:t xml:space="preserve">Construire une texture 3D 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Être capable d’accéder à un champ tensoriel métrique valide, stocké dans une variable.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Utiliser des 2D </w:t>
            </w:r>
            <w:proofErr w:type="spellStart"/>
            <w:r w:rsidRPr="00816B11">
              <w:rPr>
                <w:sz w:val="22"/>
                <w:szCs w:val="22"/>
              </w:rPr>
              <w:t>Array</w:t>
            </w:r>
            <w:proofErr w:type="spellEnd"/>
            <w:r w:rsidRPr="00816B11">
              <w:rPr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le niveau (pour le 2DTextures </w:t>
            </w:r>
            <w:proofErr w:type="spellStart"/>
            <w:r w:rsidRPr="00816B11">
              <w:rPr>
                <w:sz w:val="22"/>
                <w:szCs w:val="22"/>
              </w:rPr>
              <w:t>Array</w:t>
            </w:r>
            <w:proofErr w:type="spellEnd"/>
            <w:r w:rsidRPr="00816B11">
              <w:rPr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  <w:highlight w:val="cyan"/>
              </w:rPr>
            </w:pPr>
            <w:r w:rsidRPr="00816B11">
              <w:rPr>
                <w:sz w:val="22"/>
                <w:szCs w:val="22"/>
                <w:highlight w:val="cyan"/>
              </w:rPr>
              <w:t>XXX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lastRenderedPageBreak/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est capable de construire une texture 3D selon le champ tensoriel métrique.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816B1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816B11">
              <w:rPr>
                <w:sz w:val="22"/>
                <w:szCs w:val="22"/>
                <w:highlight w:val="yellow"/>
              </w:rPr>
              <w:t xml:space="preserve">Envoyer la structure de données choisie au </w:t>
            </w:r>
            <w:proofErr w:type="spellStart"/>
            <w:r w:rsidRPr="00816B11">
              <w:rPr>
                <w:sz w:val="22"/>
                <w:szCs w:val="22"/>
                <w:highlight w:val="yellow"/>
              </w:rPr>
              <w:t>shader</w:t>
            </w:r>
            <w:proofErr w:type="spellEnd"/>
            <w:r w:rsidRPr="00816B11">
              <w:rPr>
                <w:sz w:val="22"/>
                <w:szCs w:val="22"/>
                <w:highlight w:val="yellow"/>
              </w:rPr>
              <w:t xml:space="preserve"> et calculer la déformation pour chaque pixel.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Être capable de construire une texture 3D.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Recevoir la structure de données choisie (la texture 3D ou son équivalent).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Calculer la déformation pour chaque pixel de la fractale.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  <w:highlight w:val="cyan"/>
              </w:rPr>
            </w:pPr>
            <w:r w:rsidRPr="00816B11">
              <w:rPr>
                <w:sz w:val="22"/>
                <w:szCs w:val="22"/>
                <w:highlight w:val="cyan"/>
              </w:rPr>
              <w:t>XXX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8F7E86" w:rsidRPr="00816B11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Afficher l’ensemble de Mandelbrot et confirmation visuelle de la déformation.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8F7E86" w:rsidRPr="00816B11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d’un zoom, on doit « zoomer » aussi les coordonnés d’accès à la représentation en mémoire du tenseur. Donc, si on utilise une texture 3d, l’interpolation </w:t>
            </w:r>
            <w:proofErr w:type="gramStart"/>
            <w:r w:rsidRPr="00664522">
              <w:rPr>
                <w:rFonts w:eastAsia="Cambria"/>
                <w:sz w:val="22"/>
                <w:szCs w:val="22"/>
                <w:lang w:val="fr-CA"/>
              </w:rPr>
              <w:t>ce</w:t>
            </w:r>
            <w:proofErr w:type="gramEnd"/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8F7E86" w:rsidRPr="008F7E86" w:rsidRDefault="008F7E86">
      <w:pPr>
        <w:rPr>
          <w:lang w:val="fr-CA"/>
        </w:rPr>
      </w:pPr>
    </w:p>
    <w:sectPr w:rsidR="008F7E86" w:rsidRPr="008F7E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03"/>
    <w:rsid w:val="00067BA9"/>
    <w:rsid w:val="00816B11"/>
    <w:rsid w:val="00890103"/>
    <w:rsid w:val="008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24BE4-C632-4611-AC83-1A51A89A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7E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8F7E86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8F7E86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8F7E86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8F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682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3</cp:revision>
  <dcterms:created xsi:type="dcterms:W3CDTF">2018-04-06T13:30:00Z</dcterms:created>
  <dcterms:modified xsi:type="dcterms:W3CDTF">2018-04-06T13:42:00Z</dcterms:modified>
</cp:coreProperties>
</file>