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6977" w14:textId="3B8E3D23" w:rsidR="00ED4487" w:rsidRPr="00A52DE3" w:rsidRDefault="00534A07" w:rsidP="00A52DE3">
      <w:pPr>
        <w:pStyle w:val="Title"/>
        <w:rPr>
          <w:sz w:val="32"/>
          <w:szCs w:val="32"/>
        </w:rPr>
      </w:pPr>
      <w:r w:rsidRPr="00A52DE3">
        <w:rPr>
          <w:sz w:val="32"/>
          <w:szCs w:val="32"/>
        </w:rPr>
        <w:t>ДЕМОГРАФИЯ НА ЧИТАЛИЩАТА В БЪЛГАРИЯ</w:t>
      </w:r>
    </w:p>
    <w:p w14:paraId="4DD7903D" w14:textId="01929D23" w:rsidR="00DF015B" w:rsidRDefault="005A6332" w:rsidP="00DF015B">
      <w:pPr>
        <w:jc w:val="both"/>
      </w:pPr>
      <w:r>
        <w:t>ИПИ</w:t>
      </w:r>
    </w:p>
    <w:p w14:paraId="2CEFE649" w14:textId="143DD70F" w:rsidR="00FC088E" w:rsidRDefault="00917874" w:rsidP="00DF015B">
      <w:pPr>
        <w:jc w:val="both"/>
      </w:pPr>
      <w:r>
        <w:rPr>
          <w:lang w:val="en-GB"/>
        </w:rPr>
        <w:t>09.12.</w:t>
      </w:r>
      <w:r w:rsidR="005A6332">
        <w:t>2025 г.</w:t>
      </w:r>
    </w:p>
    <w:p w14:paraId="202E881A" w14:textId="77777777" w:rsidR="00FC088E" w:rsidRDefault="00FC088E" w:rsidP="00DF015B">
      <w:pPr>
        <w:jc w:val="both"/>
      </w:pPr>
    </w:p>
    <w:sdt>
      <w:sdtPr>
        <w:id w:val="156514267"/>
        <w:docPartObj>
          <w:docPartGallery w:val="Table of Contents"/>
          <w:docPartUnique/>
        </w:docPartObj>
      </w:sdtPr>
      <w:sdtEndPr>
        <w:rPr>
          <w:rFonts w:asciiTheme="minorHAnsi" w:eastAsiaTheme="minorHAnsi" w:hAnsiTheme="minorHAnsi" w:cstheme="minorBidi"/>
          <w:b/>
          <w:bCs/>
          <w:noProof/>
          <w:color w:val="auto"/>
          <w:kern w:val="2"/>
          <w:sz w:val="24"/>
          <w:szCs w:val="24"/>
          <w:lang w:val="bg-BG"/>
          <w14:ligatures w14:val="standardContextual"/>
        </w:rPr>
      </w:sdtEndPr>
      <w:sdtContent>
        <w:p w14:paraId="35B0E5E3" w14:textId="27A409DB" w:rsidR="00FC088E" w:rsidRDefault="00FC088E">
          <w:pPr>
            <w:pStyle w:val="TOCHeading"/>
            <w:rPr>
              <w:lang w:val="bg-BG"/>
            </w:rPr>
          </w:pPr>
          <w:r>
            <w:rPr>
              <w:lang w:val="bg-BG"/>
            </w:rPr>
            <w:t>Съдържание</w:t>
          </w:r>
        </w:p>
        <w:p w14:paraId="30C22A8B" w14:textId="77777777" w:rsidR="00FC088E" w:rsidRPr="00FC088E" w:rsidRDefault="00FC088E" w:rsidP="00FC088E"/>
        <w:p w14:paraId="4CBF7D3E" w14:textId="167FF303" w:rsidR="006F6DE1" w:rsidRDefault="00FC088E">
          <w:pPr>
            <w:pStyle w:val="TOC1"/>
            <w:tabs>
              <w:tab w:val="right" w:leader="dot" w:pos="9016"/>
            </w:tabs>
            <w:rPr>
              <w:rFonts w:eastAsiaTheme="minorEastAsia"/>
              <w:noProof/>
              <w:lang w:eastAsia="bg-BG"/>
            </w:rPr>
          </w:pPr>
          <w:r>
            <w:fldChar w:fldCharType="begin"/>
          </w:r>
          <w:r>
            <w:instrText xml:space="preserve"> TOC \o "1-3" \h \z \u </w:instrText>
          </w:r>
          <w:r>
            <w:fldChar w:fldCharType="separate"/>
          </w:r>
          <w:hyperlink w:anchor="_Toc216186795" w:history="1">
            <w:r w:rsidR="006F6DE1" w:rsidRPr="0051272F">
              <w:rPr>
                <w:rStyle w:val="Hyperlink"/>
                <w:noProof/>
              </w:rPr>
              <w:t>МЕТОДОЛОГИЯ</w:t>
            </w:r>
            <w:r w:rsidR="006F6DE1">
              <w:rPr>
                <w:noProof/>
                <w:webHidden/>
              </w:rPr>
              <w:tab/>
            </w:r>
            <w:r w:rsidR="006F6DE1">
              <w:rPr>
                <w:noProof/>
                <w:webHidden/>
              </w:rPr>
              <w:fldChar w:fldCharType="begin"/>
            </w:r>
            <w:r w:rsidR="006F6DE1">
              <w:rPr>
                <w:noProof/>
                <w:webHidden/>
              </w:rPr>
              <w:instrText xml:space="preserve"> PAGEREF _Toc216186795 \h </w:instrText>
            </w:r>
            <w:r w:rsidR="006F6DE1">
              <w:rPr>
                <w:noProof/>
                <w:webHidden/>
              </w:rPr>
            </w:r>
            <w:r w:rsidR="006F6DE1">
              <w:rPr>
                <w:noProof/>
                <w:webHidden/>
              </w:rPr>
              <w:fldChar w:fldCharType="separate"/>
            </w:r>
            <w:r w:rsidR="006F6DE1">
              <w:rPr>
                <w:noProof/>
                <w:webHidden/>
              </w:rPr>
              <w:t>1</w:t>
            </w:r>
            <w:r w:rsidR="006F6DE1">
              <w:rPr>
                <w:noProof/>
                <w:webHidden/>
              </w:rPr>
              <w:fldChar w:fldCharType="end"/>
            </w:r>
          </w:hyperlink>
        </w:p>
        <w:p w14:paraId="69348305" w14:textId="520532DA" w:rsidR="006F6DE1" w:rsidRDefault="006F6DE1">
          <w:pPr>
            <w:pStyle w:val="TOC1"/>
            <w:tabs>
              <w:tab w:val="right" w:leader="dot" w:pos="9016"/>
            </w:tabs>
            <w:rPr>
              <w:rFonts w:eastAsiaTheme="minorEastAsia"/>
              <w:noProof/>
              <w:lang w:eastAsia="bg-BG"/>
            </w:rPr>
          </w:pPr>
          <w:hyperlink w:anchor="_Toc216186796" w:history="1">
            <w:r w:rsidRPr="0051272F">
              <w:rPr>
                <w:rStyle w:val="Hyperlink"/>
                <w:noProof/>
              </w:rPr>
              <w:t>НЯКОИ ОГРАНИЧЕНИЯ НА БАЗАТА ДАННИ</w:t>
            </w:r>
            <w:r>
              <w:rPr>
                <w:noProof/>
                <w:webHidden/>
              </w:rPr>
              <w:tab/>
            </w:r>
            <w:r>
              <w:rPr>
                <w:noProof/>
                <w:webHidden/>
              </w:rPr>
              <w:fldChar w:fldCharType="begin"/>
            </w:r>
            <w:r>
              <w:rPr>
                <w:noProof/>
                <w:webHidden/>
              </w:rPr>
              <w:instrText xml:space="preserve"> PAGEREF _Toc216186796 \h </w:instrText>
            </w:r>
            <w:r>
              <w:rPr>
                <w:noProof/>
                <w:webHidden/>
              </w:rPr>
            </w:r>
            <w:r>
              <w:rPr>
                <w:noProof/>
                <w:webHidden/>
              </w:rPr>
              <w:fldChar w:fldCharType="separate"/>
            </w:r>
            <w:r>
              <w:rPr>
                <w:noProof/>
                <w:webHidden/>
              </w:rPr>
              <w:t>2</w:t>
            </w:r>
            <w:r>
              <w:rPr>
                <w:noProof/>
                <w:webHidden/>
              </w:rPr>
              <w:fldChar w:fldCharType="end"/>
            </w:r>
          </w:hyperlink>
        </w:p>
        <w:p w14:paraId="1E934C4E" w14:textId="49EE746D" w:rsidR="006F6DE1" w:rsidRDefault="006F6DE1">
          <w:pPr>
            <w:pStyle w:val="TOC1"/>
            <w:tabs>
              <w:tab w:val="right" w:leader="dot" w:pos="9016"/>
            </w:tabs>
            <w:rPr>
              <w:rFonts w:eastAsiaTheme="minorEastAsia"/>
              <w:noProof/>
              <w:lang w:eastAsia="bg-BG"/>
            </w:rPr>
          </w:pPr>
          <w:hyperlink w:anchor="_Toc216186797" w:history="1">
            <w:r w:rsidRPr="0051272F">
              <w:rPr>
                <w:rStyle w:val="Hyperlink"/>
                <w:noProof/>
              </w:rPr>
              <w:t>ПРИМЕРЕН АНАЛИЗ</w:t>
            </w:r>
            <w:r>
              <w:rPr>
                <w:noProof/>
                <w:webHidden/>
              </w:rPr>
              <w:tab/>
            </w:r>
            <w:r>
              <w:rPr>
                <w:noProof/>
                <w:webHidden/>
              </w:rPr>
              <w:fldChar w:fldCharType="begin"/>
            </w:r>
            <w:r>
              <w:rPr>
                <w:noProof/>
                <w:webHidden/>
              </w:rPr>
              <w:instrText xml:space="preserve"> PAGEREF _Toc216186797 \h </w:instrText>
            </w:r>
            <w:r>
              <w:rPr>
                <w:noProof/>
                <w:webHidden/>
              </w:rPr>
            </w:r>
            <w:r>
              <w:rPr>
                <w:noProof/>
                <w:webHidden/>
              </w:rPr>
              <w:fldChar w:fldCharType="separate"/>
            </w:r>
            <w:r>
              <w:rPr>
                <w:noProof/>
                <w:webHidden/>
              </w:rPr>
              <w:t>2</w:t>
            </w:r>
            <w:r>
              <w:rPr>
                <w:noProof/>
                <w:webHidden/>
              </w:rPr>
              <w:fldChar w:fldCharType="end"/>
            </w:r>
          </w:hyperlink>
        </w:p>
        <w:p w14:paraId="13E31EFC" w14:textId="70773FDC" w:rsidR="006F6DE1" w:rsidRDefault="006F6DE1">
          <w:pPr>
            <w:pStyle w:val="TOC2"/>
            <w:tabs>
              <w:tab w:val="left" w:pos="720"/>
              <w:tab w:val="right" w:leader="dot" w:pos="9016"/>
            </w:tabs>
            <w:rPr>
              <w:rFonts w:eastAsiaTheme="minorEastAsia"/>
              <w:noProof/>
              <w:lang w:eastAsia="bg-BG"/>
            </w:rPr>
          </w:pPr>
          <w:hyperlink w:anchor="_Toc216186798" w:history="1">
            <w:r w:rsidRPr="0051272F">
              <w:rPr>
                <w:rStyle w:val="Hyperlink"/>
                <w:noProof/>
              </w:rPr>
              <w:t>1.</w:t>
            </w:r>
            <w:r>
              <w:rPr>
                <w:rFonts w:eastAsiaTheme="minorEastAsia"/>
                <w:noProof/>
                <w:lang w:eastAsia="bg-BG"/>
              </w:rPr>
              <w:tab/>
            </w:r>
            <w:r w:rsidRPr="0051272F">
              <w:rPr>
                <w:rStyle w:val="Hyperlink"/>
                <w:noProof/>
              </w:rPr>
              <w:t>Брой работещи читалища и местонахождение</w:t>
            </w:r>
            <w:r>
              <w:rPr>
                <w:noProof/>
                <w:webHidden/>
              </w:rPr>
              <w:tab/>
            </w:r>
            <w:r>
              <w:rPr>
                <w:noProof/>
                <w:webHidden/>
              </w:rPr>
              <w:fldChar w:fldCharType="begin"/>
            </w:r>
            <w:r>
              <w:rPr>
                <w:noProof/>
                <w:webHidden/>
              </w:rPr>
              <w:instrText xml:space="preserve"> PAGEREF _Toc216186798 \h </w:instrText>
            </w:r>
            <w:r>
              <w:rPr>
                <w:noProof/>
                <w:webHidden/>
              </w:rPr>
            </w:r>
            <w:r>
              <w:rPr>
                <w:noProof/>
                <w:webHidden/>
              </w:rPr>
              <w:fldChar w:fldCharType="separate"/>
            </w:r>
            <w:r>
              <w:rPr>
                <w:noProof/>
                <w:webHidden/>
              </w:rPr>
              <w:t>3</w:t>
            </w:r>
            <w:r>
              <w:rPr>
                <w:noProof/>
                <w:webHidden/>
              </w:rPr>
              <w:fldChar w:fldCharType="end"/>
            </w:r>
          </w:hyperlink>
        </w:p>
        <w:p w14:paraId="0B286A70" w14:textId="26AC814E" w:rsidR="006F6DE1" w:rsidRDefault="006F6DE1">
          <w:pPr>
            <w:pStyle w:val="TOC2"/>
            <w:tabs>
              <w:tab w:val="left" w:pos="720"/>
              <w:tab w:val="right" w:leader="dot" w:pos="9016"/>
            </w:tabs>
            <w:rPr>
              <w:rFonts w:eastAsiaTheme="minorEastAsia"/>
              <w:noProof/>
              <w:lang w:eastAsia="bg-BG"/>
            </w:rPr>
          </w:pPr>
          <w:hyperlink w:anchor="_Toc216186799" w:history="1">
            <w:r w:rsidRPr="0051272F">
              <w:rPr>
                <w:rStyle w:val="Hyperlink"/>
                <w:noProof/>
              </w:rPr>
              <w:t>2.</w:t>
            </w:r>
            <w:r>
              <w:rPr>
                <w:rFonts w:eastAsiaTheme="minorEastAsia"/>
                <w:noProof/>
                <w:lang w:eastAsia="bg-BG"/>
              </w:rPr>
              <w:tab/>
            </w:r>
            <w:r w:rsidRPr="0051272F">
              <w:rPr>
                <w:rStyle w:val="Hyperlink"/>
                <w:noProof/>
              </w:rPr>
              <w:t>Държавната субсидия и финанси на читалищата</w:t>
            </w:r>
            <w:r>
              <w:rPr>
                <w:noProof/>
                <w:webHidden/>
              </w:rPr>
              <w:tab/>
            </w:r>
            <w:r>
              <w:rPr>
                <w:noProof/>
                <w:webHidden/>
              </w:rPr>
              <w:fldChar w:fldCharType="begin"/>
            </w:r>
            <w:r>
              <w:rPr>
                <w:noProof/>
                <w:webHidden/>
              </w:rPr>
              <w:instrText xml:space="preserve"> PAGEREF _Toc216186799 \h </w:instrText>
            </w:r>
            <w:r>
              <w:rPr>
                <w:noProof/>
                <w:webHidden/>
              </w:rPr>
            </w:r>
            <w:r>
              <w:rPr>
                <w:noProof/>
                <w:webHidden/>
              </w:rPr>
              <w:fldChar w:fldCharType="separate"/>
            </w:r>
            <w:r>
              <w:rPr>
                <w:noProof/>
                <w:webHidden/>
              </w:rPr>
              <w:t>6</w:t>
            </w:r>
            <w:r>
              <w:rPr>
                <w:noProof/>
                <w:webHidden/>
              </w:rPr>
              <w:fldChar w:fldCharType="end"/>
            </w:r>
          </w:hyperlink>
        </w:p>
        <w:p w14:paraId="288809B4" w14:textId="0E562477" w:rsidR="006F6DE1" w:rsidRDefault="006F6DE1">
          <w:pPr>
            <w:pStyle w:val="TOC2"/>
            <w:tabs>
              <w:tab w:val="left" w:pos="720"/>
              <w:tab w:val="right" w:leader="dot" w:pos="9016"/>
            </w:tabs>
            <w:rPr>
              <w:rFonts w:eastAsiaTheme="minorEastAsia"/>
              <w:noProof/>
              <w:lang w:eastAsia="bg-BG"/>
            </w:rPr>
          </w:pPr>
          <w:hyperlink w:anchor="_Toc216186800" w:history="1">
            <w:r w:rsidRPr="0051272F">
              <w:rPr>
                <w:rStyle w:val="Hyperlink"/>
                <w:noProof/>
              </w:rPr>
              <w:t>3.</w:t>
            </w:r>
            <w:r>
              <w:rPr>
                <w:rFonts w:eastAsiaTheme="minorEastAsia"/>
                <w:noProof/>
                <w:lang w:eastAsia="bg-BG"/>
              </w:rPr>
              <w:tab/>
            </w:r>
            <w:r w:rsidRPr="0051272F">
              <w:rPr>
                <w:rStyle w:val="Hyperlink"/>
                <w:noProof/>
              </w:rPr>
              <w:t>Персонал и субсидирани бройки</w:t>
            </w:r>
            <w:r>
              <w:rPr>
                <w:noProof/>
                <w:webHidden/>
              </w:rPr>
              <w:tab/>
            </w:r>
            <w:r>
              <w:rPr>
                <w:noProof/>
                <w:webHidden/>
              </w:rPr>
              <w:fldChar w:fldCharType="begin"/>
            </w:r>
            <w:r>
              <w:rPr>
                <w:noProof/>
                <w:webHidden/>
              </w:rPr>
              <w:instrText xml:space="preserve"> PAGEREF _Toc216186800 \h </w:instrText>
            </w:r>
            <w:r>
              <w:rPr>
                <w:noProof/>
                <w:webHidden/>
              </w:rPr>
            </w:r>
            <w:r>
              <w:rPr>
                <w:noProof/>
                <w:webHidden/>
              </w:rPr>
              <w:fldChar w:fldCharType="separate"/>
            </w:r>
            <w:r>
              <w:rPr>
                <w:noProof/>
                <w:webHidden/>
              </w:rPr>
              <w:t>11</w:t>
            </w:r>
            <w:r>
              <w:rPr>
                <w:noProof/>
                <w:webHidden/>
              </w:rPr>
              <w:fldChar w:fldCharType="end"/>
            </w:r>
          </w:hyperlink>
        </w:p>
        <w:p w14:paraId="05E90F04" w14:textId="32AB88AE" w:rsidR="006F6DE1" w:rsidRDefault="006F6DE1">
          <w:pPr>
            <w:pStyle w:val="TOC2"/>
            <w:tabs>
              <w:tab w:val="left" w:pos="720"/>
              <w:tab w:val="right" w:leader="dot" w:pos="9016"/>
            </w:tabs>
            <w:rPr>
              <w:rFonts w:eastAsiaTheme="minorEastAsia"/>
              <w:noProof/>
              <w:lang w:eastAsia="bg-BG"/>
            </w:rPr>
          </w:pPr>
          <w:hyperlink w:anchor="_Toc216186801" w:history="1">
            <w:r w:rsidRPr="0051272F">
              <w:rPr>
                <w:rStyle w:val="Hyperlink"/>
                <w:noProof/>
              </w:rPr>
              <w:t>4.</w:t>
            </w:r>
            <w:r>
              <w:rPr>
                <w:rFonts w:eastAsiaTheme="minorEastAsia"/>
                <w:noProof/>
                <w:lang w:eastAsia="bg-BG"/>
              </w:rPr>
              <w:tab/>
            </w:r>
            <w:r w:rsidRPr="0051272F">
              <w:rPr>
                <w:rStyle w:val="Hyperlink"/>
                <w:noProof/>
              </w:rPr>
              <w:t>Дейност на читалищата</w:t>
            </w:r>
            <w:r>
              <w:rPr>
                <w:noProof/>
                <w:webHidden/>
              </w:rPr>
              <w:tab/>
            </w:r>
            <w:r>
              <w:rPr>
                <w:noProof/>
                <w:webHidden/>
              </w:rPr>
              <w:fldChar w:fldCharType="begin"/>
            </w:r>
            <w:r>
              <w:rPr>
                <w:noProof/>
                <w:webHidden/>
              </w:rPr>
              <w:instrText xml:space="preserve"> PAGEREF _Toc216186801 \h </w:instrText>
            </w:r>
            <w:r>
              <w:rPr>
                <w:noProof/>
                <w:webHidden/>
              </w:rPr>
            </w:r>
            <w:r>
              <w:rPr>
                <w:noProof/>
                <w:webHidden/>
              </w:rPr>
              <w:fldChar w:fldCharType="separate"/>
            </w:r>
            <w:r>
              <w:rPr>
                <w:noProof/>
                <w:webHidden/>
              </w:rPr>
              <w:t>19</w:t>
            </w:r>
            <w:r>
              <w:rPr>
                <w:noProof/>
                <w:webHidden/>
              </w:rPr>
              <w:fldChar w:fldCharType="end"/>
            </w:r>
          </w:hyperlink>
        </w:p>
        <w:p w14:paraId="5E7009D5" w14:textId="58F1D103" w:rsidR="00FC088E" w:rsidRDefault="00FC088E">
          <w:r>
            <w:rPr>
              <w:b/>
              <w:bCs/>
              <w:noProof/>
            </w:rPr>
            <w:fldChar w:fldCharType="end"/>
          </w:r>
        </w:p>
      </w:sdtContent>
    </w:sdt>
    <w:p w14:paraId="02B755DC" w14:textId="77777777" w:rsidR="00FC088E" w:rsidRDefault="00FC088E" w:rsidP="00DF015B">
      <w:pPr>
        <w:jc w:val="both"/>
      </w:pPr>
    </w:p>
    <w:p w14:paraId="2C1BB3B3" w14:textId="3AC25F87" w:rsidR="00DF015B" w:rsidRPr="00A52DE3" w:rsidRDefault="00DF015B" w:rsidP="00A52DE3">
      <w:pPr>
        <w:pStyle w:val="Heading1"/>
        <w:rPr>
          <w:color w:val="auto"/>
          <w:sz w:val="28"/>
          <w:szCs w:val="28"/>
        </w:rPr>
      </w:pPr>
      <w:bookmarkStart w:id="0" w:name="_Toc216186795"/>
      <w:r w:rsidRPr="00A52DE3">
        <w:rPr>
          <w:color w:val="auto"/>
          <w:sz w:val="28"/>
          <w:szCs w:val="28"/>
        </w:rPr>
        <w:t>МЕТОДОЛОГИЯ</w:t>
      </w:r>
      <w:bookmarkEnd w:id="0"/>
    </w:p>
    <w:p w14:paraId="6E36D3CC" w14:textId="30FCE43F" w:rsidR="00D463C3" w:rsidRDefault="00E84E51" w:rsidP="00532A44">
      <w:pPr>
        <w:jc w:val="both"/>
      </w:pPr>
      <w:r>
        <w:t>Настоящата</w:t>
      </w:r>
      <w:r w:rsidR="006A5D85">
        <w:t xml:space="preserve"> електронна база данни </w:t>
      </w:r>
      <w:r w:rsidR="009E678A">
        <w:t>н</w:t>
      </w:r>
      <w:r w:rsidR="006A5D85">
        <w:t>а читалищата в България</w:t>
      </w:r>
      <w:r>
        <w:t xml:space="preserve"> е първата </w:t>
      </w:r>
      <w:r w:rsidR="006A5D85">
        <w:t>която свързва информация за отделните читалища и общините</w:t>
      </w:r>
      <w:r w:rsidR="00856EA4">
        <w:t xml:space="preserve">/населените места, в които те се намират. </w:t>
      </w:r>
    </w:p>
    <w:p w14:paraId="542C5499" w14:textId="04D59204" w:rsidR="001F6E2B" w:rsidRDefault="00D463C3" w:rsidP="00532A44">
      <w:pPr>
        <w:jc w:val="both"/>
      </w:pPr>
      <w:r>
        <w:t>Б</w:t>
      </w:r>
      <w:r w:rsidR="007029D2">
        <w:t>аза</w:t>
      </w:r>
      <w:r>
        <w:t>та</w:t>
      </w:r>
      <w:r w:rsidR="007029D2">
        <w:t xml:space="preserve"> данни </w:t>
      </w:r>
      <w:r w:rsidR="00DA6AF3">
        <w:t>включва</w:t>
      </w:r>
      <w:r w:rsidR="007029D2">
        <w:t xml:space="preserve"> 17</w:t>
      </w:r>
      <w:r w:rsidR="008012B7">
        <w:t>7</w:t>
      </w:r>
      <w:r w:rsidR="007029D2">
        <w:t xml:space="preserve"> показател</w:t>
      </w:r>
      <w:r w:rsidR="00B06C17">
        <w:t>я</w:t>
      </w:r>
      <w:r w:rsidR="007029D2">
        <w:t xml:space="preserve"> – как</w:t>
      </w:r>
      <w:r w:rsidR="000C6E9F">
        <w:t>т</w:t>
      </w:r>
      <w:r w:rsidR="007029D2">
        <w:t>о за отделните читалища</w:t>
      </w:r>
      <w:r w:rsidR="002761C5">
        <w:t xml:space="preserve"> и тяхната дейност</w:t>
      </w:r>
      <w:r w:rsidR="007029D2">
        <w:t xml:space="preserve">, така и за общините и областите, в които те са разположени. </w:t>
      </w:r>
    </w:p>
    <w:p w14:paraId="499BABCA" w14:textId="34AFB7D6" w:rsidR="007029D2" w:rsidRDefault="00796230" w:rsidP="00532A44">
      <w:pPr>
        <w:jc w:val="both"/>
      </w:pPr>
      <w:r>
        <w:t>Показателите са демогра</w:t>
      </w:r>
      <w:r w:rsidR="00BB3B9F">
        <w:t xml:space="preserve">фски, икономически и социални. </w:t>
      </w:r>
    </w:p>
    <w:p w14:paraId="5B5DB069" w14:textId="7BC9A065" w:rsidR="00CD6A6E" w:rsidRDefault="00CD6A6E" w:rsidP="00532A44">
      <w:pPr>
        <w:jc w:val="both"/>
      </w:pPr>
      <w:r>
        <w:t>Източниците на информация са:</w:t>
      </w:r>
    </w:p>
    <w:p w14:paraId="0AF0FED3" w14:textId="415AAB22" w:rsidR="00CD6A6E" w:rsidRDefault="001F6E2B" w:rsidP="00CD6A6E">
      <w:pPr>
        <w:pStyle w:val="ListParagraph"/>
        <w:numPr>
          <w:ilvl w:val="0"/>
          <w:numId w:val="1"/>
        </w:numPr>
        <w:jc w:val="both"/>
      </w:pPr>
      <w:r>
        <w:t>Национален</w:t>
      </w:r>
      <w:r w:rsidR="00CD6A6E">
        <w:t xml:space="preserve"> статистически институт</w:t>
      </w:r>
    </w:p>
    <w:p w14:paraId="5F469E77" w14:textId="03A88E7D" w:rsidR="00CD6A6E" w:rsidRDefault="00CD6A6E" w:rsidP="00CD6A6E">
      <w:pPr>
        <w:pStyle w:val="ListParagraph"/>
        <w:numPr>
          <w:ilvl w:val="0"/>
          <w:numId w:val="1"/>
        </w:numPr>
        <w:jc w:val="both"/>
      </w:pPr>
      <w:r>
        <w:t>Министерство на финансите</w:t>
      </w:r>
    </w:p>
    <w:p w14:paraId="63BC1762" w14:textId="3E5EF4A0" w:rsidR="00CD6A6E" w:rsidRDefault="00CD6A6E" w:rsidP="00CD6A6E">
      <w:pPr>
        <w:pStyle w:val="ListParagraph"/>
        <w:numPr>
          <w:ilvl w:val="0"/>
          <w:numId w:val="1"/>
        </w:numPr>
        <w:jc w:val="both"/>
      </w:pPr>
      <w:r>
        <w:t>Министерство на културата</w:t>
      </w:r>
      <w:r w:rsidR="00695220">
        <w:t xml:space="preserve">, </w:t>
      </w:r>
      <w:r w:rsidR="002B342B">
        <w:t>Р</w:t>
      </w:r>
      <w:r w:rsidR="00695220">
        <w:t>егистър на читалищата и на библиотеките</w:t>
      </w:r>
    </w:p>
    <w:p w14:paraId="46AD0A2D" w14:textId="003C5339" w:rsidR="007F41EE" w:rsidRDefault="007F41EE" w:rsidP="00CD6A6E">
      <w:pPr>
        <w:pStyle w:val="ListParagraph"/>
        <w:numPr>
          <w:ilvl w:val="0"/>
          <w:numId w:val="1"/>
        </w:numPr>
        <w:jc w:val="both"/>
      </w:pPr>
      <w:r>
        <w:t>Министерство на регионалното развитие и благоустройство</w:t>
      </w:r>
    </w:p>
    <w:p w14:paraId="15DB3128" w14:textId="680EA9BB" w:rsidR="00C97992" w:rsidRPr="005A6332" w:rsidRDefault="00695220" w:rsidP="00C97992">
      <w:pPr>
        <w:pStyle w:val="ListParagraph"/>
        <w:numPr>
          <w:ilvl w:val="0"/>
          <w:numId w:val="1"/>
        </w:numPr>
        <w:jc w:val="both"/>
        <w:rPr>
          <w:b/>
          <w:bCs/>
        </w:rPr>
      </w:pPr>
      <w:r w:rsidRPr="00C97992">
        <w:t>Търговски регистър</w:t>
      </w:r>
      <w:r w:rsidR="00C97992" w:rsidRPr="00C97992">
        <w:rPr>
          <w:b/>
          <w:bCs/>
        </w:rPr>
        <w:t xml:space="preserve"> </w:t>
      </w:r>
      <w:r w:rsidR="00C97992" w:rsidRPr="005A6332">
        <w:t>и регистър на ЮЛНЦ</w:t>
      </w:r>
    </w:p>
    <w:p w14:paraId="6C5F50CB" w14:textId="0EAA03FE" w:rsidR="00695220" w:rsidRDefault="009E0A00" w:rsidP="00CD6A6E">
      <w:pPr>
        <w:pStyle w:val="ListParagraph"/>
        <w:numPr>
          <w:ilvl w:val="0"/>
          <w:numId w:val="1"/>
        </w:numPr>
        <w:jc w:val="both"/>
      </w:pPr>
      <w:r>
        <w:t>Национална агенция по приходите</w:t>
      </w:r>
    </w:p>
    <w:p w14:paraId="6966791B" w14:textId="6AA1C842" w:rsidR="009E0A00" w:rsidRDefault="008502F9" w:rsidP="00CD6A6E">
      <w:pPr>
        <w:pStyle w:val="ListParagraph"/>
        <w:numPr>
          <w:ilvl w:val="0"/>
          <w:numId w:val="1"/>
        </w:numPr>
        <w:jc w:val="both"/>
      </w:pPr>
      <w:r>
        <w:t>Институт за пазарна икономика</w:t>
      </w:r>
    </w:p>
    <w:p w14:paraId="25EF2C7E" w14:textId="08844580" w:rsidR="007029D2" w:rsidRDefault="008502F9" w:rsidP="00532A44">
      <w:pPr>
        <w:jc w:val="both"/>
      </w:pPr>
      <w:r>
        <w:lastRenderedPageBreak/>
        <w:t>Информацията е на индивидуално ниво (за отделните читалища), на ниво</w:t>
      </w:r>
      <w:r w:rsidR="00B67839">
        <w:t xml:space="preserve"> община и на ниво населено място. </w:t>
      </w:r>
      <w:r w:rsidR="008D1B85">
        <w:t xml:space="preserve">Списък на отделните индикатори и нивото на информация може да се разгледа в </w:t>
      </w:r>
      <w:r w:rsidR="008D1B85" w:rsidRPr="008D1B85">
        <w:rPr>
          <w:highlight w:val="yellow"/>
        </w:rPr>
        <w:t>Приложение 1.</w:t>
      </w:r>
      <w:r w:rsidR="008D1B85">
        <w:t xml:space="preserve"> </w:t>
      </w:r>
      <w:r>
        <w:t xml:space="preserve"> </w:t>
      </w:r>
    </w:p>
    <w:p w14:paraId="2A5DCFCD" w14:textId="77777777" w:rsidR="000A6C15" w:rsidRDefault="008D1B85" w:rsidP="00532A44">
      <w:pPr>
        <w:jc w:val="both"/>
        <w:rPr>
          <w:lang w:val="en-GB"/>
        </w:rPr>
      </w:pPr>
      <w:r>
        <w:t>Информацията е събрана</w:t>
      </w:r>
      <w:r w:rsidR="000A6C15">
        <w:rPr>
          <w:lang w:val="en-GB"/>
        </w:rPr>
        <w:t>:</w:t>
      </w:r>
    </w:p>
    <w:p w14:paraId="59A2290F" w14:textId="159251E3" w:rsidR="000A6C15" w:rsidRPr="00B16149" w:rsidRDefault="008D1B85" w:rsidP="000A6C15">
      <w:pPr>
        <w:pStyle w:val="ListParagraph"/>
        <w:numPr>
          <w:ilvl w:val="0"/>
          <w:numId w:val="1"/>
        </w:numPr>
        <w:jc w:val="both"/>
      </w:pPr>
      <w:r>
        <w:t xml:space="preserve">чрез искания до институциите </w:t>
      </w:r>
      <w:r w:rsidR="00EC48EC">
        <w:t>по закона за достъп до обществена информация</w:t>
      </w:r>
      <w:r w:rsidR="00DF015B">
        <w:t xml:space="preserve">, </w:t>
      </w:r>
    </w:p>
    <w:p w14:paraId="77843FEC" w14:textId="295C3AF9" w:rsidR="000A6C15" w:rsidRDefault="000A6C15" w:rsidP="000A6C15">
      <w:pPr>
        <w:pStyle w:val="ListParagraph"/>
        <w:numPr>
          <w:ilvl w:val="0"/>
          <w:numId w:val="1"/>
        </w:numPr>
        <w:jc w:val="both"/>
      </w:pPr>
      <w:r>
        <w:t>от</w:t>
      </w:r>
      <w:r w:rsidR="00796832">
        <w:t xml:space="preserve"> регистри и сваляне на информация от тях,</w:t>
      </w:r>
    </w:p>
    <w:p w14:paraId="30FCA24E" w14:textId="3BC4D986" w:rsidR="005C64C1" w:rsidRDefault="005C64C1" w:rsidP="000A6C15">
      <w:pPr>
        <w:pStyle w:val="ListParagraph"/>
        <w:numPr>
          <w:ilvl w:val="0"/>
          <w:numId w:val="1"/>
        </w:numPr>
        <w:jc w:val="both"/>
      </w:pPr>
      <w:r>
        <w:t>базата данни на ИПИ за областите и общините</w:t>
      </w:r>
      <w:r w:rsidR="00197D71">
        <w:t>,</w:t>
      </w:r>
    </w:p>
    <w:p w14:paraId="01BC00B9" w14:textId="2A1D57EC" w:rsidR="008D1B85" w:rsidRDefault="00EC48EC" w:rsidP="00B16149">
      <w:pPr>
        <w:pStyle w:val="ListParagraph"/>
        <w:numPr>
          <w:ilvl w:val="0"/>
          <w:numId w:val="1"/>
        </w:numPr>
        <w:jc w:val="both"/>
      </w:pPr>
      <w:r>
        <w:t>използвана</w:t>
      </w:r>
      <w:r w:rsidR="000A6C15">
        <w:t xml:space="preserve"> е</w:t>
      </w:r>
      <w:r>
        <w:t xml:space="preserve"> свободно достъпна информация на електронните страници на съответните </w:t>
      </w:r>
      <w:r w:rsidR="00AD74EA">
        <w:t xml:space="preserve">институции. </w:t>
      </w:r>
    </w:p>
    <w:p w14:paraId="64D4FCC7" w14:textId="2B128511" w:rsidR="0053155D" w:rsidRDefault="0053155D" w:rsidP="00532A44">
      <w:pPr>
        <w:jc w:val="both"/>
      </w:pPr>
      <w:r>
        <w:t>Периодът</w:t>
      </w:r>
      <w:r w:rsidR="0010573A">
        <w:t xml:space="preserve"> на включените данни е тригодишен – 2021, 2022 и 2023 г. </w:t>
      </w:r>
    </w:p>
    <w:p w14:paraId="42B83986" w14:textId="5EBCA4F0" w:rsidR="00B06C17" w:rsidRDefault="00B06C17" w:rsidP="00532A44">
      <w:pPr>
        <w:jc w:val="both"/>
      </w:pPr>
      <w:r>
        <w:t>С тази база данни се опитваме да запълним липсата на информация за този сектор и да насърчим анализа и разбирането за динамиката и предизвикателствата, пред които са изправени читалищата</w:t>
      </w:r>
      <w:r w:rsidR="005D5CF5">
        <w:t xml:space="preserve"> </w:t>
      </w:r>
      <w:r w:rsidR="00D130B2">
        <w:t xml:space="preserve">в контекста на </w:t>
      </w:r>
      <w:r>
        <w:t xml:space="preserve"> общините</w:t>
      </w:r>
      <w:r w:rsidR="005D5CF5">
        <w:t>.</w:t>
      </w:r>
    </w:p>
    <w:p w14:paraId="4F29ED71" w14:textId="527DF25C" w:rsidR="005D5CF5" w:rsidRDefault="005D5CF5" w:rsidP="00532A44">
      <w:pPr>
        <w:jc w:val="both"/>
      </w:pPr>
      <w:r>
        <w:t>Това е първата стъпка за</w:t>
      </w:r>
      <w:r w:rsidR="00015811">
        <w:t xml:space="preserve"> постигане на</w:t>
      </w:r>
      <w:r>
        <w:t xml:space="preserve"> повече яснота  - издирване, събиране, обработване и публикуване на данни</w:t>
      </w:r>
      <w:r w:rsidR="00CD327E">
        <w:t xml:space="preserve"> за читалищата и населените места, в които те съществуват и работят.</w:t>
      </w:r>
    </w:p>
    <w:p w14:paraId="3C295485" w14:textId="5A9BA0E2" w:rsidR="00CD327E" w:rsidRPr="006E161C" w:rsidRDefault="00CD327E" w:rsidP="00532A44">
      <w:pPr>
        <w:jc w:val="both"/>
      </w:pPr>
      <w:r>
        <w:t xml:space="preserve">Тепърва предстои анализът </w:t>
      </w:r>
      <w:r w:rsidR="0012600F">
        <w:t>на данните, който може да бъде многомерен и да комбинира различни от всичките 17</w:t>
      </w:r>
      <w:r w:rsidR="006E161C">
        <w:t>7</w:t>
      </w:r>
      <w:r w:rsidR="0012600F">
        <w:t xml:space="preserve"> индикатори.</w:t>
      </w:r>
      <w:r w:rsidR="002115EA">
        <w:t xml:space="preserve"> Данните ще се актуализират своевременно, като в момента са актуални </w:t>
      </w:r>
      <w:r w:rsidR="002115EA" w:rsidRPr="0064499B">
        <w:t xml:space="preserve">към </w:t>
      </w:r>
      <w:r w:rsidR="006E161C">
        <w:rPr>
          <w:b/>
          <w:bCs/>
        </w:rPr>
        <w:t>декември,</w:t>
      </w:r>
      <w:r w:rsidR="002115EA" w:rsidRPr="00A600FE">
        <w:rPr>
          <w:b/>
          <w:bCs/>
        </w:rPr>
        <w:t xml:space="preserve"> 202</w:t>
      </w:r>
      <w:r w:rsidR="006E161C">
        <w:rPr>
          <w:b/>
          <w:bCs/>
        </w:rPr>
        <w:t>5</w:t>
      </w:r>
      <w:r w:rsidR="002115EA" w:rsidRPr="00A600FE">
        <w:rPr>
          <w:b/>
          <w:bCs/>
        </w:rPr>
        <w:t xml:space="preserve"> г.</w:t>
      </w:r>
      <w:r w:rsidR="006E161C">
        <w:rPr>
          <w:b/>
          <w:bCs/>
        </w:rPr>
        <w:t xml:space="preserve"> </w:t>
      </w:r>
      <w:r w:rsidR="006E161C" w:rsidRPr="006E161C">
        <w:t xml:space="preserve">Финансовата информация е в лева. </w:t>
      </w:r>
    </w:p>
    <w:p w14:paraId="71ABB846" w14:textId="649D6CB7" w:rsidR="00DA6AF3" w:rsidRPr="00A52DE3" w:rsidRDefault="00DF015B" w:rsidP="00A52DE3">
      <w:pPr>
        <w:pStyle w:val="Heading1"/>
        <w:rPr>
          <w:color w:val="auto"/>
          <w:sz w:val="28"/>
          <w:szCs w:val="28"/>
        </w:rPr>
      </w:pPr>
      <w:bookmarkStart w:id="1" w:name="_Toc216186796"/>
      <w:r w:rsidRPr="00A52DE3">
        <w:rPr>
          <w:color w:val="auto"/>
          <w:sz w:val="28"/>
          <w:szCs w:val="28"/>
        </w:rPr>
        <w:t>НЯКОИ ОГРАНИЧЕНИЯ НА БАЗАТА ДАННИ</w:t>
      </w:r>
      <w:bookmarkEnd w:id="1"/>
    </w:p>
    <w:p w14:paraId="5D22126F" w14:textId="42C2C4F0" w:rsidR="00DA6AF3" w:rsidRDefault="005C039E" w:rsidP="00A600FE">
      <w:pPr>
        <w:pStyle w:val="ListParagraph"/>
        <w:numPr>
          <w:ilvl w:val="0"/>
          <w:numId w:val="1"/>
        </w:numPr>
        <w:ind w:left="714" w:hanging="357"/>
        <w:contextualSpacing w:val="0"/>
        <w:jc w:val="both"/>
      </w:pPr>
      <w:r>
        <w:t>Финансовите данни</w:t>
      </w:r>
      <w:r w:rsidR="00DA5EC5">
        <w:t xml:space="preserve"> за читалищата</w:t>
      </w:r>
      <w:r>
        <w:t xml:space="preserve"> не са пълни</w:t>
      </w:r>
      <w:r w:rsidR="00CF366B">
        <w:t xml:space="preserve">, </w:t>
      </w:r>
      <w:r w:rsidR="00197D71">
        <w:t xml:space="preserve">най-вече </w:t>
      </w:r>
      <w:r w:rsidR="00CF366B">
        <w:t xml:space="preserve">за 2023 г. </w:t>
      </w:r>
    </w:p>
    <w:p w14:paraId="3428B6E1" w14:textId="3B556DCB" w:rsidR="00FC3DA8" w:rsidRDefault="001D2524" w:rsidP="00B504B1">
      <w:pPr>
        <w:pStyle w:val="ListParagraph"/>
        <w:numPr>
          <w:ilvl w:val="0"/>
          <w:numId w:val="1"/>
        </w:numPr>
        <w:ind w:left="714" w:hanging="357"/>
        <w:contextualSpacing w:val="0"/>
        <w:jc w:val="both"/>
      </w:pPr>
      <w:r>
        <w:t>Налице е  н</w:t>
      </w:r>
      <w:r w:rsidR="005322F9">
        <w:t>едостоверна</w:t>
      </w:r>
      <w:r w:rsidR="00070087">
        <w:t xml:space="preserve"> или непълна</w:t>
      </w:r>
      <w:r w:rsidR="005322F9">
        <w:t xml:space="preserve"> информация</w:t>
      </w:r>
      <w:r>
        <w:t>, която е</w:t>
      </w:r>
      <w:r w:rsidR="00256050">
        <w:t xml:space="preserve"> с по-ниска степен на достоверност и пълнота</w:t>
      </w:r>
      <w:r>
        <w:t>, като например</w:t>
      </w:r>
      <w:r w:rsidR="00256050">
        <w:t xml:space="preserve"> </w:t>
      </w:r>
      <w:r>
        <w:t xml:space="preserve">малка </w:t>
      </w:r>
      <w:r w:rsidR="008E5668">
        <w:t xml:space="preserve">част от </w:t>
      </w:r>
      <w:r w:rsidR="00256050">
        <w:t>финансовата информация</w:t>
      </w:r>
      <w:r w:rsidR="00514E30">
        <w:t>, която не е налична за всички читалища.</w:t>
      </w:r>
    </w:p>
    <w:p w14:paraId="5EF5B012" w14:textId="1EE96A8D" w:rsidR="00C56B91" w:rsidRDefault="00C56B91" w:rsidP="00B504B1">
      <w:pPr>
        <w:pStyle w:val="ListParagraph"/>
        <w:numPr>
          <w:ilvl w:val="0"/>
          <w:numId w:val="1"/>
        </w:numPr>
        <w:ind w:left="714" w:hanging="357"/>
        <w:contextualSpacing w:val="0"/>
        <w:jc w:val="both"/>
      </w:pPr>
      <w:r>
        <w:t xml:space="preserve">Възможно е да има отделни недостоверни </w:t>
      </w:r>
      <w:r w:rsidR="008E12F4">
        <w:t>данни на информацията, постъпила от регистъра на читалищата и библиотеките.</w:t>
      </w:r>
    </w:p>
    <w:p w14:paraId="09FCC37F" w14:textId="77777777" w:rsidR="00FC3DA8" w:rsidRDefault="00FC3DA8" w:rsidP="00FC3DA8">
      <w:r>
        <w:br w:type="page"/>
      </w:r>
      <w:bookmarkStart w:id="2" w:name="_Toc216186797"/>
    </w:p>
    <w:p w14:paraId="70D24699" w14:textId="2E3D8AA6" w:rsidR="00FC088E" w:rsidRPr="00FC3DA8" w:rsidRDefault="003E69B4" w:rsidP="00FC3DA8">
      <w:pPr>
        <w:pStyle w:val="Heading1"/>
        <w:rPr>
          <w:sz w:val="28"/>
          <w:szCs w:val="28"/>
        </w:rPr>
      </w:pPr>
      <w:r w:rsidRPr="00FC3DA8">
        <w:rPr>
          <w:sz w:val="28"/>
          <w:szCs w:val="28"/>
        </w:rPr>
        <w:lastRenderedPageBreak/>
        <w:t xml:space="preserve">ПРИМЕРЕН </w:t>
      </w:r>
      <w:r w:rsidR="00B504B1" w:rsidRPr="00FC3DA8">
        <w:rPr>
          <w:sz w:val="28"/>
          <w:szCs w:val="28"/>
        </w:rPr>
        <w:t>АНАЛИ</w:t>
      </w:r>
      <w:r w:rsidRPr="00FC3DA8">
        <w:rPr>
          <w:sz w:val="28"/>
          <w:szCs w:val="28"/>
        </w:rPr>
        <w:t>З</w:t>
      </w:r>
      <w:bookmarkEnd w:id="2"/>
      <w:r w:rsidR="00045083" w:rsidRPr="00FC3DA8">
        <w:rPr>
          <w:sz w:val="28"/>
          <w:szCs w:val="28"/>
        </w:rPr>
        <w:t xml:space="preserve"> </w:t>
      </w:r>
    </w:p>
    <w:p w14:paraId="58E16139" w14:textId="09613245" w:rsidR="00A52DE3" w:rsidRPr="00B504B1" w:rsidRDefault="00045083" w:rsidP="00FC3DA8">
      <w:pPr>
        <w:jc w:val="both"/>
      </w:pPr>
      <w:r w:rsidRPr="00FC088E">
        <w:rPr>
          <w:color w:val="EE0000"/>
        </w:rPr>
        <w:t xml:space="preserve">(текстът по-долу може да се използва за </w:t>
      </w:r>
      <w:r w:rsidR="00A72E25" w:rsidRPr="00FC088E">
        <w:rPr>
          <w:color w:val="EE0000"/>
        </w:rPr>
        <w:t>графики на сайта или пълнене на конкретни секции в сайта</w:t>
      </w:r>
      <w:r w:rsidRPr="00FC088E">
        <w:rPr>
          <w:color w:val="EE0000"/>
        </w:rPr>
        <w:t>)</w:t>
      </w:r>
    </w:p>
    <w:p w14:paraId="3ABAA6F5" w14:textId="43A42F64" w:rsidR="007E2BA8" w:rsidRDefault="007E2BA8" w:rsidP="00532A44">
      <w:pPr>
        <w:jc w:val="both"/>
      </w:pPr>
      <w:r>
        <w:t xml:space="preserve">Целта на тази част е да </w:t>
      </w:r>
      <w:r w:rsidR="00A368B9">
        <w:t>демонстрира</w:t>
      </w:r>
      <w:r>
        <w:t xml:space="preserve"> какви са аналитичните възможности на базата данни и за какво тя би могла да се използва. </w:t>
      </w:r>
      <w:r w:rsidR="00A368B9">
        <w:t>Използвани са примерни групирания и избор на показатели</w:t>
      </w:r>
      <w:r w:rsidR="001A640D">
        <w:t xml:space="preserve"> за илюстрация. </w:t>
      </w:r>
      <w:r w:rsidR="002C14B8">
        <w:t>Това представлява описание на</w:t>
      </w:r>
      <w:r w:rsidR="008C54AD">
        <w:t xml:space="preserve"> текущото състояние по избрани</w:t>
      </w:r>
      <w:r w:rsidR="002C14B8">
        <w:t xml:space="preserve"> данни, а не </w:t>
      </w:r>
      <w:r w:rsidR="001A640D">
        <w:t xml:space="preserve">анализ. </w:t>
      </w:r>
    </w:p>
    <w:p w14:paraId="56753969" w14:textId="42608422" w:rsidR="007E2BA8" w:rsidRDefault="007E2BA8" w:rsidP="00532A44">
      <w:pPr>
        <w:jc w:val="both"/>
      </w:pPr>
      <w:r>
        <w:t>Ще отбележим</w:t>
      </w:r>
      <w:r w:rsidR="00197D71">
        <w:t>,</w:t>
      </w:r>
      <w:r>
        <w:t xml:space="preserve"> </w:t>
      </w:r>
      <w:r w:rsidR="00197D71">
        <w:t>ч</w:t>
      </w:r>
      <w:r>
        <w:t xml:space="preserve">е за </w:t>
      </w:r>
      <w:r w:rsidR="00197D71">
        <w:t xml:space="preserve">задълбочен </w:t>
      </w:r>
      <w:r>
        <w:t xml:space="preserve">анализ е необходимо предварително групиране на </w:t>
      </w:r>
      <w:r w:rsidR="00197D71">
        <w:t xml:space="preserve">читалищата </w:t>
      </w:r>
      <w:r>
        <w:t xml:space="preserve">в сходни категории. На този етап такова групиране </w:t>
      </w:r>
      <w:r w:rsidR="00CD7B15">
        <w:t>може да бъде на ниво населено място (сел</w:t>
      </w:r>
      <w:r w:rsidR="00FA4BB9">
        <w:t>о</w:t>
      </w:r>
      <w:r w:rsidR="00CD7B15">
        <w:t xml:space="preserve">/град), област, категории общини според методиката на МРРБ, </w:t>
      </w:r>
      <w:r w:rsidR="00FA4BB9">
        <w:t>район за планиране</w:t>
      </w:r>
      <w:r w:rsidR="00E11138">
        <w:t xml:space="preserve"> и др.</w:t>
      </w:r>
      <w:r w:rsidR="00FA4BB9">
        <w:t xml:space="preserve"> Базата данни</w:t>
      </w:r>
      <w:r w:rsidR="00E11138">
        <w:t xml:space="preserve"> на читалищата</w:t>
      </w:r>
      <w:r w:rsidR="00FA4BB9">
        <w:t xml:space="preserve"> позволява добавяне на най-различни групирания на общините или самите читалища. </w:t>
      </w:r>
    </w:p>
    <w:p w14:paraId="085B0281" w14:textId="122104B8" w:rsidR="0013531F" w:rsidRPr="0046113B" w:rsidRDefault="0046113B" w:rsidP="0046113B">
      <w:pPr>
        <w:pStyle w:val="Heading2"/>
        <w:numPr>
          <w:ilvl w:val="0"/>
          <w:numId w:val="3"/>
        </w:numPr>
      </w:pPr>
      <w:bookmarkStart w:id="3" w:name="_Toc216186798"/>
      <w:r w:rsidRPr="0046113B">
        <w:t>Брой работещи читалища</w:t>
      </w:r>
      <w:r w:rsidR="00803BB0">
        <w:t xml:space="preserve"> и местонахождение</w:t>
      </w:r>
      <w:bookmarkEnd w:id="3"/>
    </w:p>
    <w:p w14:paraId="7547ACDF" w14:textId="77777777" w:rsidR="008E12F4" w:rsidRDefault="008E12F4" w:rsidP="00532A44">
      <w:pPr>
        <w:jc w:val="both"/>
      </w:pPr>
    </w:p>
    <w:p w14:paraId="19F0D07B" w14:textId="1EB733B7" w:rsidR="00534A07" w:rsidRDefault="00FC088E" w:rsidP="00532A44">
      <w:pPr>
        <w:jc w:val="both"/>
      </w:pPr>
      <w:r>
        <w:t>О</w:t>
      </w:r>
      <w:r w:rsidR="00534A07">
        <w:t>бщият брой на читалищата в България</w:t>
      </w:r>
      <w:r w:rsidR="008D5531">
        <w:t>, които са включени в базата данни,</w:t>
      </w:r>
      <w:r w:rsidR="00534A07">
        <w:t xml:space="preserve"> е </w:t>
      </w:r>
      <w:r w:rsidR="00FC5DFF">
        <w:t>3610</w:t>
      </w:r>
      <w:r w:rsidR="00534A07">
        <w:t xml:space="preserve">. </w:t>
      </w:r>
      <w:r w:rsidR="00175E0C">
        <w:t>По</w:t>
      </w:r>
      <w:r w:rsidR="003B6A81">
        <w:t xml:space="preserve"> данни на НСИ читалищата са 3319. </w:t>
      </w:r>
    </w:p>
    <w:p w14:paraId="6FBAB667" w14:textId="70870D12" w:rsidR="00534A07" w:rsidRDefault="00534A07" w:rsidP="00532A44">
      <w:pPr>
        <w:jc w:val="both"/>
      </w:pPr>
      <w:r>
        <w:t xml:space="preserve">Всички </w:t>
      </w:r>
      <w:r w:rsidR="008D5531">
        <w:t xml:space="preserve">265 </w:t>
      </w:r>
      <w:r>
        <w:t xml:space="preserve">общини </w:t>
      </w:r>
      <w:r w:rsidR="0028457E">
        <w:t xml:space="preserve">(и </w:t>
      </w:r>
      <w:r w:rsidR="005F1970">
        <w:t xml:space="preserve">съответно </w:t>
      </w:r>
      <w:r w:rsidR="008D5531">
        <w:t xml:space="preserve">28 </w:t>
      </w:r>
      <w:r w:rsidR="0028457E">
        <w:t xml:space="preserve">области) </w:t>
      </w:r>
      <w:r>
        <w:t>в България имат читалища.</w:t>
      </w:r>
    </w:p>
    <w:p w14:paraId="705E08B9" w14:textId="4D7D7219" w:rsidR="00904472" w:rsidRDefault="008D5531" w:rsidP="00532A44">
      <w:pPr>
        <w:jc w:val="both"/>
      </w:pPr>
      <w:r>
        <w:t>В</w:t>
      </w:r>
      <w:r w:rsidR="00904472">
        <w:t xml:space="preserve"> </w:t>
      </w:r>
      <w:r w:rsidR="005C157F">
        <w:t>2661</w:t>
      </w:r>
      <w:r w:rsidR="00904472">
        <w:t xml:space="preserve"> населени места</w:t>
      </w:r>
      <w:r w:rsidR="005C157F">
        <w:t xml:space="preserve"> </w:t>
      </w:r>
      <w:r w:rsidR="00DC4C26">
        <w:t xml:space="preserve">от </w:t>
      </w:r>
      <w:r w:rsidR="00904472">
        <w:t xml:space="preserve">общо </w:t>
      </w:r>
      <w:r w:rsidR="00D60107">
        <w:t>5256</w:t>
      </w:r>
      <w:r w:rsidR="00904472">
        <w:t xml:space="preserve"> в България има читалища</w:t>
      </w:r>
      <w:r w:rsidR="008F2E95">
        <w:t xml:space="preserve"> </w:t>
      </w:r>
      <w:r w:rsidR="007A3683">
        <w:t xml:space="preserve">или </w:t>
      </w:r>
      <w:r w:rsidR="008F2E95">
        <w:t>точно половината</w:t>
      </w:r>
      <w:r w:rsidR="00904472">
        <w:t>.</w:t>
      </w:r>
    </w:p>
    <w:p w14:paraId="21BEE52C" w14:textId="77777777" w:rsidR="009B3A3C" w:rsidRDefault="009B3A3C" w:rsidP="009B3A3C">
      <w:pPr>
        <w:jc w:val="both"/>
        <w:rPr>
          <w:b/>
          <w:bCs/>
        </w:rPr>
      </w:pPr>
      <w:r w:rsidRPr="009B3A3C">
        <w:rPr>
          <w:b/>
          <w:bCs/>
        </w:rPr>
        <w:t xml:space="preserve">Географско разпределение </w:t>
      </w:r>
    </w:p>
    <w:p w14:paraId="36085E72" w14:textId="6353D27D" w:rsidR="009B3A3C" w:rsidRPr="00A458C5" w:rsidRDefault="009B3A3C" w:rsidP="009B3A3C">
      <w:pPr>
        <w:jc w:val="both"/>
        <w:rPr>
          <w:b/>
          <w:bCs/>
        </w:rPr>
      </w:pPr>
      <w:r>
        <w:t xml:space="preserve">В градове са разположени 743 читалища, в села – 2864. Това означава, че </w:t>
      </w:r>
      <w:r w:rsidRPr="00A458C5">
        <w:rPr>
          <w:b/>
          <w:bCs/>
        </w:rPr>
        <w:t xml:space="preserve">близо 80% от всички читалища са разположени в села. </w:t>
      </w:r>
    </w:p>
    <w:p w14:paraId="7B84E593" w14:textId="5FC60AE3" w:rsidR="001D06BD" w:rsidRDefault="001D06BD" w:rsidP="0060414C">
      <w:pPr>
        <w:jc w:val="both"/>
      </w:pPr>
      <w:r>
        <w:t xml:space="preserve">Разпределението според това дали читалищата се намират в или извън общинския център показват много сходно разпределение на това между градове и села. </w:t>
      </w:r>
    </w:p>
    <w:p w14:paraId="12300A49" w14:textId="6A338548" w:rsidR="00F74E94" w:rsidRDefault="003F273B" w:rsidP="00532A44">
      <w:pPr>
        <w:jc w:val="both"/>
        <w:rPr>
          <w:noProof/>
        </w:rPr>
      </w:pPr>
      <w:r>
        <w:rPr>
          <w:noProof/>
        </w:rPr>
        <w:lastRenderedPageBreak/>
        <w:drawing>
          <wp:inline distT="0" distB="0" distL="0" distR="0" wp14:anchorId="72A4F19B" wp14:editId="45770118">
            <wp:extent cx="2844000" cy="2700000"/>
            <wp:effectExtent l="0" t="0" r="0" b="5715"/>
            <wp:docPr id="878032171" name="Chart 1">
              <a:extLst xmlns:a="http://schemas.openxmlformats.org/drawingml/2006/main">
                <a:ext uri="{FF2B5EF4-FFF2-40B4-BE49-F238E27FC236}">
                  <a16:creationId xmlns:a16="http://schemas.microsoft.com/office/drawing/2014/main" id="{99B5B19A-8E87-DF98-6C16-44B91D4A1C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A233EB" w:rsidRPr="00A233EB">
        <w:rPr>
          <w:noProof/>
        </w:rPr>
        <w:t xml:space="preserve"> </w:t>
      </w:r>
      <w:r w:rsidR="00A233EB">
        <w:rPr>
          <w:noProof/>
        </w:rPr>
        <w:drawing>
          <wp:inline distT="0" distB="0" distL="0" distR="0" wp14:anchorId="669D5AFD" wp14:editId="46165507">
            <wp:extent cx="2844000" cy="2700000"/>
            <wp:effectExtent l="0" t="0" r="0" b="5715"/>
            <wp:docPr id="1761035089" name="Chart 1">
              <a:extLst xmlns:a="http://schemas.openxmlformats.org/drawingml/2006/main">
                <a:ext uri="{FF2B5EF4-FFF2-40B4-BE49-F238E27FC236}">
                  <a16:creationId xmlns:a16="http://schemas.microsoft.com/office/drawing/2014/main" id="{10A61135-0718-F54B-C4C1-7BDEAF3141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CDA065B" w14:textId="77777777" w:rsidR="00E6470F" w:rsidRPr="002D17E6" w:rsidRDefault="00E6470F" w:rsidP="00E6470F">
      <w:pPr>
        <w:jc w:val="both"/>
        <w:rPr>
          <w:sz w:val="18"/>
          <w:szCs w:val="18"/>
        </w:rPr>
      </w:pPr>
      <w:r w:rsidRPr="002D17E6">
        <w:rPr>
          <w:sz w:val="18"/>
          <w:szCs w:val="18"/>
        </w:rPr>
        <w:t xml:space="preserve">Бележка: Читалищата в гарите не са включени в разпределението между град и село. </w:t>
      </w:r>
    </w:p>
    <w:p w14:paraId="00147FE6" w14:textId="177E26BC" w:rsidR="001D06BD" w:rsidRDefault="001D06BD" w:rsidP="001D06BD">
      <w:pPr>
        <w:jc w:val="both"/>
      </w:pPr>
      <w:r>
        <w:t>Ако разгледаме разпределението според категоризацията на общините на МРРБ</w:t>
      </w:r>
      <w:r>
        <w:rPr>
          <w:rStyle w:val="FootnoteReference"/>
        </w:rPr>
        <w:footnoteReference w:id="1"/>
      </w:r>
      <w:r>
        <w:t xml:space="preserve">, е видно, че най-много на брой читалища има в първа и в трета група. Първа група включва най-големите общини – повечето областни центрове и по-големите градове, докато третата категория е най-многобройната. </w:t>
      </w:r>
    </w:p>
    <w:p w14:paraId="61BBE386" w14:textId="77777777" w:rsidR="001D06BD" w:rsidRDefault="001D06BD" w:rsidP="00532A44">
      <w:pPr>
        <w:jc w:val="both"/>
      </w:pPr>
    </w:p>
    <w:p w14:paraId="4C943355" w14:textId="6BFE347A" w:rsidR="0037085E" w:rsidRDefault="00E7556F" w:rsidP="00532A44">
      <w:pPr>
        <w:jc w:val="both"/>
      </w:pPr>
      <w:r>
        <w:rPr>
          <w:noProof/>
        </w:rPr>
        <w:drawing>
          <wp:inline distT="0" distB="0" distL="0" distR="0" wp14:anchorId="6A213D8D" wp14:editId="73A2B379">
            <wp:extent cx="2844000" cy="2700000"/>
            <wp:effectExtent l="0" t="0" r="0" b="5715"/>
            <wp:docPr id="296245761" name="Chart 1">
              <a:extLst xmlns:a="http://schemas.openxmlformats.org/drawingml/2006/main">
                <a:ext uri="{FF2B5EF4-FFF2-40B4-BE49-F238E27FC236}">
                  <a16:creationId xmlns:a16="http://schemas.microsoft.com/office/drawing/2014/main" id="{9517644D-0A23-E642-1D5B-4BBD599F17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AD44264" w14:textId="14677A48" w:rsidR="009644D2" w:rsidRDefault="009644D2" w:rsidP="00532A44">
      <w:pPr>
        <w:jc w:val="both"/>
      </w:pPr>
      <w:r>
        <w:t>Разпределението по области показва,</w:t>
      </w:r>
      <w:r w:rsidR="000C7B01">
        <w:t xml:space="preserve"> </w:t>
      </w:r>
      <w:r>
        <w:t xml:space="preserve">че най-много читалища има в области Пловдив, Стара Загора и Бургас, а най-малко – в </w:t>
      </w:r>
      <w:r w:rsidR="00FD7038">
        <w:t xml:space="preserve">Ямбол, Видин и Русе. Значение за това разпределение има както размера на областта (в по-големите области са </w:t>
      </w:r>
      <w:r w:rsidR="00FD7038">
        <w:lastRenderedPageBreak/>
        <w:t xml:space="preserve">налице по-голям брой читалища), така и доминацията на села в съответната област (в област Пловдив например има много голям брой села в сравнение с останалите области). </w:t>
      </w:r>
    </w:p>
    <w:p w14:paraId="5DAF9D59" w14:textId="459F65D2" w:rsidR="00FB579C" w:rsidRDefault="00637AF4" w:rsidP="00532A44">
      <w:pPr>
        <w:jc w:val="both"/>
      </w:pPr>
      <w:r>
        <w:rPr>
          <w:noProof/>
        </w:rPr>
        <w:drawing>
          <wp:inline distT="0" distB="0" distL="0" distR="0" wp14:anchorId="0F121304" wp14:editId="24289346">
            <wp:extent cx="5400000" cy="5400000"/>
            <wp:effectExtent l="0" t="0" r="0" b="0"/>
            <wp:docPr id="1327538424" name="Chart 1">
              <a:extLst xmlns:a="http://schemas.openxmlformats.org/drawingml/2006/main">
                <a:ext uri="{FF2B5EF4-FFF2-40B4-BE49-F238E27FC236}">
                  <a16:creationId xmlns:a16="http://schemas.microsoft.com/office/drawing/2014/main" id="{0B833EFB-1FF9-8311-8B7E-1A00CFFB1A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BDD3076" w14:textId="0D42CC33" w:rsidR="00613A63" w:rsidRPr="00C84E0F" w:rsidRDefault="00FD7038" w:rsidP="00532A44">
      <w:pPr>
        <w:jc w:val="both"/>
      </w:pPr>
      <w:r>
        <w:t>Ако разгледаме разпределението спрямо райони за планиране</w:t>
      </w:r>
      <w:r w:rsidR="007A4A70">
        <w:rPr>
          <w:rStyle w:val="FootnoteReference"/>
        </w:rPr>
        <w:footnoteReference w:id="2"/>
      </w:r>
      <w:r w:rsidR="006826FD">
        <w:t xml:space="preserve"> ще</w:t>
      </w:r>
      <w:r>
        <w:t xml:space="preserve"> видим, че то е относително равномерно между шестте района (с лек превес на </w:t>
      </w:r>
      <w:r w:rsidR="006826FD">
        <w:t xml:space="preserve">Югозападен </w:t>
      </w:r>
      <w:r w:rsidR="00C84E0F">
        <w:t xml:space="preserve">и на Южен </w:t>
      </w:r>
      <w:r w:rsidR="00D176BB">
        <w:t>ц</w:t>
      </w:r>
      <w:r w:rsidR="00C84E0F">
        <w:t>ентрален)</w:t>
      </w:r>
      <w:r w:rsidR="00D176BB">
        <w:t xml:space="preserve">. В </w:t>
      </w:r>
      <w:r w:rsidR="006826FD">
        <w:t xml:space="preserve">Югозападен </w:t>
      </w:r>
      <w:r w:rsidR="00D176BB">
        <w:t xml:space="preserve">район се намира столицата, а в Южен централен – Пловдив. Равномерното разпределение по райони за планиране </w:t>
      </w:r>
      <w:r w:rsidR="00D40EF2">
        <w:t xml:space="preserve">е позитивно и показва, че този вид културни институти присъстват широко на територията на страната и имат </w:t>
      </w:r>
      <w:r w:rsidR="00C16FAE">
        <w:t xml:space="preserve">възможност за </w:t>
      </w:r>
      <w:r w:rsidR="00D40EF2">
        <w:t xml:space="preserve">достъп до европейско финансиране. </w:t>
      </w:r>
    </w:p>
    <w:p w14:paraId="32FD3691" w14:textId="2F5218C5" w:rsidR="00FB579C" w:rsidRDefault="00ED72D0" w:rsidP="00532A44">
      <w:pPr>
        <w:jc w:val="both"/>
      </w:pPr>
      <w:r>
        <w:rPr>
          <w:noProof/>
        </w:rPr>
        <w:lastRenderedPageBreak/>
        <w:drawing>
          <wp:inline distT="0" distB="0" distL="0" distR="0" wp14:anchorId="65EA4920" wp14:editId="740391D3">
            <wp:extent cx="4320000" cy="2880000"/>
            <wp:effectExtent l="0" t="0" r="4445" b="0"/>
            <wp:docPr id="1104270363" name="Chart 1">
              <a:extLst xmlns:a="http://schemas.openxmlformats.org/drawingml/2006/main">
                <a:ext uri="{FF2B5EF4-FFF2-40B4-BE49-F238E27FC236}">
                  <a16:creationId xmlns:a16="http://schemas.microsoft.com/office/drawing/2014/main" id="{19B7A469-0043-ED74-BC43-A0F83C4120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t xml:space="preserve"> </w:t>
      </w:r>
    </w:p>
    <w:p w14:paraId="5A1EE804" w14:textId="77777777" w:rsidR="00930FC0" w:rsidRDefault="00930FC0" w:rsidP="00532A44">
      <w:pPr>
        <w:jc w:val="both"/>
      </w:pPr>
    </w:p>
    <w:p w14:paraId="6AA1EBE5" w14:textId="3268D3B7" w:rsidR="00C135DC" w:rsidRDefault="00417AC3" w:rsidP="00930FC0">
      <w:pPr>
        <w:pStyle w:val="Heading2"/>
        <w:numPr>
          <w:ilvl w:val="0"/>
          <w:numId w:val="3"/>
        </w:numPr>
      </w:pPr>
      <w:bookmarkStart w:id="4" w:name="_Toc216186799"/>
      <w:r>
        <w:t xml:space="preserve">Държавната </w:t>
      </w:r>
      <w:r w:rsidR="00930FC0">
        <w:t>субсидия и финанси на читалищата</w:t>
      </w:r>
      <w:bookmarkEnd w:id="4"/>
    </w:p>
    <w:p w14:paraId="2CE970CD" w14:textId="77777777" w:rsidR="00FC3DA8" w:rsidRDefault="00FC3DA8" w:rsidP="00DC18AD">
      <w:pPr>
        <w:jc w:val="both"/>
      </w:pPr>
    </w:p>
    <w:p w14:paraId="56BD8546" w14:textId="44CAD7C6" w:rsidR="00930FC0" w:rsidRDefault="00DC18AD" w:rsidP="00DC18AD">
      <w:pPr>
        <w:jc w:val="both"/>
      </w:pPr>
      <w:r>
        <w:t xml:space="preserve">Държавата финансира читалищата като делегирана </w:t>
      </w:r>
      <w:r w:rsidR="00A13F4D">
        <w:t xml:space="preserve">на общините </w:t>
      </w:r>
      <w:r>
        <w:t xml:space="preserve">дейност чрез единен разходен стандарт, </w:t>
      </w:r>
      <w:r w:rsidR="00A13F4D">
        <w:t>чийто размер се определя</w:t>
      </w:r>
      <w:r>
        <w:t xml:space="preserve"> всяка година</w:t>
      </w:r>
      <w:r w:rsidR="00BD62C2">
        <w:t xml:space="preserve"> и неговата основа е субсидираната от държавата бройка</w:t>
      </w:r>
      <w:r w:rsidR="004D1CBA">
        <w:t>.</w:t>
      </w:r>
      <w:r w:rsidR="00BD62C2">
        <w:t xml:space="preserve"> На практика държавата осигурява </w:t>
      </w:r>
      <w:r w:rsidR="004D1CBA">
        <w:t>разход</w:t>
      </w:r>
      <w:r w:rsidR="00AC562C">
        <w:t>а</w:t>
      </w:r>
      <w:r w:rsidR="004D1CBA">
        <w:t xml:space="preserve"> за персонал за тази бройка</w:t>
      </w:r>
      <w:r w:rsidR="002A206B">
        <w:t xml:space="preserve">, като останалите разходи, свързани с функционирането на читалищата, тяхната издръжка, капиталова поддръжка и други се извършват от </w:t>
      </w:r>
      <w:r w:rsidR="0032563A">
        <w:t xml:space="preserve">собствени приходи на читалищата или </w:t>
      </w:r>
      <w:r w:rsidR="00392475">
        <w:t xml:space="preserve">чрез субсидия от </w:t>
      </w:r>
      <w:r w:rsidR="002A206B">
        <w:t xml:space="preserve">бюджета на общините. Това е разумен компромис между </w:t>
      </w:r>
      <w:r w:rsidR="00392475">
        <w:t>централната власт</w:t>
      </w:r>
      <w:r w:rsidR="002A206B">
        <w:t xml:space="preserve">, която поставя </w:t>
      </w:r>
      <w:r w:rsidR="00C75831">
        <w:t>изисквания за предоставяне на културен продукт и в най-малките населени места и общините като основна форма на местно самоуправление, която да решава какво точно (какъв продукт и в какво количество) да финансира на своя</w:t>
      </w:r>
      <w:r w:rsidR="00AC562C">
        <w:t>та</w:t>
      </w:r>
      <w:r w:rsidR="00C75831">
        <w:t xml:space="preserve"> територия. </w:t>
      </w:r>
    </w:p>
    <w:p w14:paraId="524E9179" w14:textId="5AD15532" w:rsidR="00C9484D" w:rsidRPr="00B24B6A" w:rsidRDefault="00C86E8C" w:rsidP="00DC18AD">
      <w:pPr>
        <w:jc w:val="both"/>
        <w:rPr>
          <w:b/>
          <w:bCs/>
        </w:rPr>
      </w:pPr>
      <w:r w:rsidRPr="00B24B6A">
        <w:rPr>
          <w:b/>
          <w:bCs/>
        </w:rPr>
        <w:t xml:space="preserve">Ръстът на </w:t>
      </w:r>
      <w:r w:rsidR="0076741C" w:rsidRPr="00B24B6A">
        <w:rPr>
          <w:b/>
          <w:bCs/>
        </w:rPr>
        <w:t>размера на стандарта</w:t>
      </w:r>
      <w:r w:rsidRPr="00B24B6A">
        <w:rPr>
          <w:b/>
          <w:bCs/>
        </w:rPr>
        <w:t xml:space="preserve"> </w:t>
      </w:r>
      <w:r w:rsidR="00DB77E1" w:rsidRPr="00B24B6A">
        <w:rPr>
          <w:b/>
          <w:bCs/>
        </w:rPr>
        <w:t xml:space="preserve">между 2021 и 2025 година е с </w:t>
      </w:r>
      <w:r w:rsidR="00C9484D" w:rsidRPr="00B24B6A">
        <w:rPr>
          <w:b/>
          <w:bCs/>
        </w:rPr>
        <w:t>около 70%</w:t>
      </w:r>
      <w:r w:rsidR="00176569" w:rsidRPr="00B24B6A">
        <w:rPr>
          <w:b/>
          <w:bCs/>
        </w:rPr>
        <w:t>.</w:t>
      </w:r>
      <w:r w:rsidR="00CF307A" w:rsidRPr="00B24B6A">
        <w:rPr>
          <w:b/>
          <w:bCs/>
        </w:rPr>
        <w:t xml:space="preserve"> </w:t>
      </w:r>
    </w:p>
    <w:p w14:paraId="2A3533D8" w14:textId="77777777" w:rsidR="00930FC0" w:rsidRPr="00930FC0" w:rsidRDefault="00930FC0" w:rsidP="00DC18AD">
      <w:pPr>
        <w:jc w:val="both"/>
      </w:pPr>
    </w:p>
    <w:p w14:paraId="7C279227" w14:textId="6EDA7BFD" w:rsidR="00930FC0" w:rsidRDefault="00173939" w:rsidP="00DC18AD">
      <w:pPr>
        <w:jc w:val="both"/>
        <w:rPr>
          <w:noProof/>
        </w:rPr>
      </w:pPr>
      <w:r>
        <w:rPr>
          <w:noProof/>
        </w:rPr>
        <w:lastRenderedPageBreak/>
        <w:drawing>
          <wp:inline distT="0" distB="0" distL="0" distR="0" wp14:anchorId="3160AB32" wp14:editId="36B8B7EA">
            <wp:extent cx="2844000" cy="2700000"/>
            <wp:effectExtent l="0" t="0" r="0" b="5715"/>
            <wp:docPr id="1171660666" name="Chart 1">
              <a:extLst xmlns:a="http://schemas.openxmlformats.org/drawingml/2006/main">
                <a:ext uri="{FF2B5EF4-FFF2-40B4-BE49-F238E27FC236}">
                  <a16:creationId xmlns:a16="http://schemas.microsoft.com/office/drawing/2014/main" id="{7A27A128-B741-533D-6AFE-30A4F98D24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887856" w:rsidRPr="00887856">
        <w:rPr>
          <w:noProof/>
        </w:rPr>
        <w:t xml:space="preserve"> </w:t>
      </w:r>
      <w:r w:rsidR="00887856">
        <w:rPr>
          <w:noProof/>
        </w:rPr>
        <w:drawing>
          <wp:inline distT="0" distB="0" distL="0" distR="0" wp14:anchorId="24449BEE" wp14:editId="67744C5E">
            <wp:extent cx="2844000" cy="2700000"/>
            <wp:effectExtent l="0" t="0" r="0" b="5715"/>
            <wp:docPr id="1293569248" name="Chart 1">
              <a:extLst xmlns:a="http://schemas.openxmlformats.org/drawingml/2006/main">
                <a:ext uri="{FF2B5EF4-FFF2-40B4-BE49-F238E27FC236}">
                  <a16:creationId xmlns:a16="http://schemas.microsoft.com/office/drawing/2014/main" id="{E4FBB66D-30D4-9321-9C55-E893F8BDE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EBBB0FC" w14:textId="12C5FCEA" w:rsidR="00FF5825" w:rsidRPr="00F668FF" w:rsidRDefault="00FF5825" w:rsidP="00DC18AD">
      <w:pPr>
        <w:jc w:val="both"/>
        <w:rPr>
          <w:sz w:val="20"/>
          <w:szCs w:val="20"/>
          <w:lang w:val="en-GB"/>
        </w:rPr>
      </w:pPr>
      <w:r w:rsidRPr="00F668FF">
        <w:rPr>
          <w:noProof/>
          <w:sz w:val="20"/>
          <w:szCs w:val="20"/>
        </w:rPr>
        <w:t xml:space="preserve">Източник: </w:t>
      </w:r>
      <w:r w:rsidR="00F668FF" w:rsidRPr="00F668FF">
        <w:rPr>
          <w:noProof/>
          <w:sz w:val="20"/>
          <w:szCs w:val="20"/>
        </w:rPr>
        <w:t>РМС за приемане на стандарти за делегирани от държавата дейности за съответната година</w:t>
      </w:r>
    </w:p>
    <w:p w14:paraId="6F4947AA" w14:textId="34A52334" w:rsidR="00CF307A" w:rsidRPr="00C86E8C" w:rsidRDefault="00CF307A" w:rsidP="00CF307A">
      <w:pPr>
        <w:jc w:val="both"/>
      </w:pPr>
      <w:r w:rsidRPr="00F668FF">
        <w:rPr>
          <w:b/>
          <w:bCs/>
        </w:rPr>
        <w:t>Проблем е липсата на диференциация между читалищата</w:t>
      </w:r>
      <w:r>
        <w:t xml:space="preserve">, с други думи всяко едно получава точно същата сума от държавата за субсидирана бройка, независимо къде се намира, има ли собствени приходи (и възможност за повече такива) или подкрепа от страна на общината.  </w:t>
      </w:r>
    </w:p>
    <w:p w14:paraId="16F55DE8" w14:textId="28542AF7" w:rsidR="00121CF3" w:rsidRDefault="00121CF3" w:rsidP="00121CF3">
      <w:pPr>
        <w:jc w:val="both"/>
      </w:pPr>
      <w:r>
        <w:t xml:space="preserve">Разходът за читалища спрямо населението нараства от 13 лв. </w:t>
      </w:r>
      <w:r w:rsidR="00374BA5">
        <w:t xml:space="preserve">на човек </w:t>
      </w:r>
      <w:r>
        <w:t xml:space="preserve">през 2021 г. до 20 лв. през 2024 г. </w:t>
      </w:r>
      <w:r w:rsidRPr="00337DA7">
        <w:rPr>
          <w:b/>
          <w:bCs/>
        </w:rPr>
        <w:t xml:space="preserve">През 2025 г. се очаква субсидията на човек от населението да надхвърли 23 лв. </w:t>
      </w:r>
      <w:r w:rsidR="003D3181" w:rsidRPr="00337DA7">
        <w:rPr>
          <w:b/>
          <w:bCs/>
        </w:rPr>
        <w:t>на човек.</w:t>
      </w:r>
      <w:r w:rsidR="003D3181">
        <w:t xml:space="preserve"> </w:t>
      </w:r>
    </w:p>
    <w:p w14:paraId="3B85EB0A" w14:textId="7D63FBE5" w:rsidR="00BA3C71" w:rsidRDefault="00BA3C71" w:rsidP="00BA3C71">
      <w:pPr>
        <w:jc w:val="both"/>
        <w:rPr>
          <w:b/>
          <w:bCs/>
        </w:rPr>
      </w:pPr>
      <w:r w:rsidRPr="004B35CF">
        <w:rPr>
          <w:b/>
          <w:bCs/>
        </w:rPr>
        <w:t xml:space="preserve">Приходи и разходи </w:t>
      </w:r>
      <w:r w:rsidR="00CB7364">
        <w:rPr>
          <w:b/>
          <w:bCs/>
        </w:rPr>
        <w:t>на читалищата</w:t>
      </w:r>
    </w:p>
    <w:p w14:paraId="1B96A119" w14:textId="77777777" w:rsidR="00BA3C71" w:rsidRDefault="00BA3C71" w:rsidP="00BA3C71">
      <w:pPr>
        <w:jc w:val="both"/>
      </w:pPr>
      <w:r w:rsidRPr="00063A05">
        <w:t xml:space="preserve">Тук представяме </w:t>
      </w:r>
      <w:r>
        <w:t>разпределение на читалищата според техните приходи и разходи</w:t>
      </w:r>
      <w:r>
        <w:rPr>
          <w:rStyle w:val="FootnoteReference"/>
        </w:rPr>
        <w:footnoteReference w:id="3"/>
      </w:r>
      <w:r>
        <w:t xml:space="preserve"> (доколкото има информация за тези показатели за всички читалища). Само за сравнение и информация добавяме данни за субсидията на общините за читалищата съгласно решенията на Министерски съвет за делегираните от държавата дейности. </w:t>
      </w:r>
    </w:p>
    <w:p w14:paraId="22544D9B" w14:textId="3295E438" w:rsidR="00AC261E" w:rsidRDefault="00AC261E" w:rsidP="00BA3C71">
      <w:pPr>
        <w:jc w:val="both"/>
      </w:pPr>
      <w:r>
        <w:t>Субсидията за читалищата през 2025 година достига 152</w:t>
      </w:r>
      <w:r w:rsidR="006225D6">
        <w:t>,4</w:t>
      </w:r>
      <w:r>
        <w:t xml:space="preserve"> млн. лв., </w:t>
      </w:r>
      <w:r w:rsidR="004B51A2">
        <w:t>като ръстът й е 70% между 2021 и 2025 г.</w:t>
      </w:r>
      <w:r>
        <w:t xml:space="preserve"> </w:t>
      </w:r>
    </w:p>
    <w:p w14:paraId="75C687B0" w14:textId="059E71C0" w:rsidR="008B4E43" w:rsidRDefault="00AC261E" w:rsidP="00BA3C71">
      <w:pPr>
        <w:jc w:val="both"/>
      </w:pPr>
      <w:r>
        <w:rPr>
          <w:noProof/>
        </w:rPr>
        <w:drawing>
          <wp:inline distT="0" distB="0" distL="0" distR="0" wp14:anchorId="2A7E8960" wp14:editId="44A94EBB">
            <wp:extent cx="4320000" cy="2880000"/>
            <wp:effectExtent l="0" t="0" r="4445" b="0"/>
            <wp:docPr id="702514100" name="Chart 1">
              <a:extLst xmlns:a="http://schemas.openxmlformats.org/drawingml/2006/main">
                <a:ext uri="{FF2B5EF4-FFF2-40B4-BE49-F238E27FC236}">
                  <a16:creationId xmlns:a16="http://schemas.microsoft.com/office/drawing/2014/main" id="{4023F7C6-4045-93B0-4A1A-BD996D661B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CAEF3FA" w14:textId="2C19FA8E" w:rsidR="00BA3C71" w:rsidRDefault="00BA3C71" w:rsidP="00BA3C71">
      <w:pPr>
        <w:jc w:val="both"/>
      </w:pPr>
      <w:r>
        <w:t xml:space="preserve">По данни на НСИ (те са само за 2022 г,) структурата на приходите на читалищата са показани в графиките по-долу според категориите на общините. Между 69 и 79% от общите им приходи са от субсидия (държавна или общинска), като изключение е </w:t>
      </w:r>
      <w:r w:rsidR="00337DA7">
        <w:t>С</w:t>
      </w:r>
      <w:r>
        <w:t xml:space="preserve">толична община, където този дял е 54%. Приходите от наеми на имущество са обикновено между 4 и 7%, за столична община – 9%. </w:t>
      </w:r>
    </w:p>
    <w:p w14:paraId="5ED2AAFD" w14:textId="77777777" w:rsidR="00BA3C71" w:rsidRDefault="00BA3C71" w:rsidP="00BA3C71">
      <w:pPr>
        <w:jc w:val="both"/>
      </w:pPr>
    </w:p>
    <w:p w14:paraId="52F69EC6" w14:textId="77777777" w:rsidR="00BA3C71" w:rsidRDefault="00BA3C71" w:rsidP="00BA3C71">
      <w:pPr>
        <w:jc w:val="both"/>
      </w:pPr>
      <w:r>
        <w:rPr>
          <w:noProof/>
        </w:rPr>
        <w:lastRenderedPageBreak/>
        <w:drawing>
          <wp:inline distT="0" distB="0" distL="0" distR="0" wp14:anchorId="6DBD1735" wp14:editId="65CC0EFA">
            <wp:extent cx="2844000" cy="2844000"/>
            <wp:effectExtent l="0" t="0" r="0" b="0"/>
            <wp:docPr id="1232807515" name="Chart 1">
              <a:extLst xmlns:a="http://schemas.openxmlformats.org/drawingml/2006/main">
                <a:ext uri="{FF2B5EF4-FFF2-40B4-BE49-F238E27FC236}">
                  <a16:creationId xmlns:a16="http://schemas.microsoft.com/office/drawing/2014/main" id="{E69070E8-FAF1-13B0-40E7-F0DA5DFE33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Pr="00465032">
        <w:rPr>
          <w:noProof/>
        </w:rPr>
        <w:t xml:space="preserve"> </w:t>
      </w:r>
      <w:r>
        <w:rPr>
          <w:noProof/>
        </w:rPr>
        <w:drawing>
          <wp:inline distT="0" distB="0" distL="0" distR="0" wp14:anchorId="767F7DE0" wp14:editId="79FF9162">
            <wp:extent cx="2844000" cy="2844000"/>
            <wp:effectExtent l="0" t="0" r="0" b="0"/>
            <wp:docPr id="525889397" name="Chart 1">
              <a:extLst xmlns:a="http://schemas.openxmlformats.org/drawingml/2006/main">
                <a:ext uri="{FF2B5EF4-FFF2-40B4-BE49-F238E27FC236}">
                  <a16:creationId xmlns:a16="http://schemas.microsoft.com/office/drawing/2014/main" id="{C9BAB0ED-7823-20C1-60DA-D28C01A97D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A35FD3A" w14:textId="2A229AB0" w:rsidR="00BA3C71" w:rsidRDefault="00BA3C71" w:rsidP="00BA3C71">
      <w:pPr>
        <w:jc w:val="both"/>
      </w:pPr>
      <w:r>
        <w:t xml:space="preserve">Що се отнася до структурата на разходите тези за персонал </w:t>
      </w:r>
      <w:r w:rsidR="00D7067E">
        <w:t xml:space="preserve">(заплати и осигуровки) </w:t>
      </w:r>
      <w:r>
        <w:t xml:space="preserve">са около половината от общите разходи на читалищата. </w:t>
      </w:r>
    </w:p>
    <w:p w14:paraId="6440781A" w14:textId="77777777" w:rsidR="00BA3C71" w:rsidRDefault="00BA3C71" w:rsidP="00BA3C71">
      <w:pPr>
        <w:jc w:val="both"/>
      </w:pPr>
      <w:r>
        <w:rPr>
          <w:noProof/>
        </w:rPr>
        <w:drawing>
          <wp:inline distT="0" distB="0" distL="0" distR="0" wp14:anchorId="50C4F3C9" wp14:editId="606767A2">
            <wp:extent cx="2844000" cy="2844000"/>
            <wp:effectExtent l="0" t="0" r="0" b="0"/>
            <wp:docPr id="213124513" name="Chart 1">
              <a:extLst xmlns:a="http://schemas.openxmlformats.org/drawingml/2006/main">
                <a:ext uri="{FF2B5EF4-FFF2-40B4-BE49-F238E27FC236}">
                  <a16:creationId xmlns:a16="http://schemas.microsoft.com/office/drawing/2014/main" id="{349A5575-C725-65F7-0EA2-7E07B3E7A5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Pr="009B2882">
        <w:rPr>
          <w:noProof/>
        </w:rPr>
        <w:t xml:space="preserve"> </w:t>
      </w:r>
      <w:r>
        <w:rPr>
          <w:noProof/>
        </w:rPr>
        <w:drawing>
          <wp:inline distT="0" distB="0" distL="0" distR="0" wp14:anchorId="7AA940D2" wp14:editId="5C794D24">
            <wp:extent cx="2844000" cy="2844000"/>
            <wp:effectExtent l="0" t="0" r="0" b="0"/>
            <wp:docPr id="1785635428" name="Chart 1">
              <a:extLst xmlns:a="http://schemas.openxmlformats.org/drawingml/2006/main">
                <a:ext uri="{FF2B5EF4-FFF2-40B4-BE49-F238E27FC236}">
                  <a16:creationId xmlns:a16="http://schemas.microsoft.com/office/drawing/2014/main" id="{175B6599-3E37-2902-BE7C-6A413D4776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84C7C14" w14:textId="77777777" w:rsidR="00BA3C71" w:rsidRPr="004B35CF" w:rsidRDefault="00BA3C71" w:rsidP="00BA3C71">
      <w:pPr>
        <w:jc w:val="both"/>
      </w:pPr>
      <w:r>
        <w:t>За динамичен анализ ще използваме данни за разходите и приходите на читалищата от търговския регистър</w:t>
      </w:r>
      <w:r>
        <w:rPr>
          <w:rStyle w:val="FootnoteReference"/>
        </w:rPr>
        <w:footnoteReference w:id="4"/>
      </w:r>
      <w:r>
        <w:t xml:space="preserve">. Можем да направим допускането, че читалищата, които са представили своите отчети в регистъра, са именно тези, които са активни и реализират дейности. Разликата между приходи и разходи в трите години от периода е отрицателна, макар и с малко, което означава, че читалищата стабилно декларират повече разходи. Също е забележимо рязкото увеличение както на приходите, така и на разходите </w:t>
      </w:r>
      <w:r>
        <w:lastRenderedPageBreak/>
        <w:t xml:space="preserve">(почти двойно) между 2021 и 2022 година – много е вероятно инфлацията и увеличението на разходните стандарти да са допринесли за този ръст. </w:t>
      </w:r>
    </w:p>
    <w:p w14:paraId="4940BDB1" w14:textId="77777777" w:rsidR="00BA3C71" w:rsidRDefault="00BA3C71" w:rsidP="00BA3C71">
      <w:pPr>
        <w:jc w:val="both"/>
      </w:pPr>
      <w:r>
        <w:t xml:space="preserve"> </w:t>
      </w:r>
      <w:r>
        <w:rPr>
          <w:noProof/>
        </w:rPr>
        <w:drawing>
          <wp:inline distT="0" distB="0" distL="0" distR="0" wp14:anchorId="1873DD5A" wp14:editId="2FFF83E3">
            <wp:extent cx="2808000" cy="2808000"/>
            <wp:effectExtent l="0" t="0" r="0" b="0"/>
            <wp:docPr id="1176310862" name="Chart 1">
              <a:extLst xmlns:a="http://schemas.openxmlformats.org/drawingml/2006/main">
                <a:ext uri="{FF2B5EF4-FFF2-40B4-BE49-F238E27FC236}">
                  <a16:creationId xmlns:a16="http://schemas.microsoft.com/office/drawing/2014/main" id="{DA17EBC6-D171-9B6F-B231-E8EBFBB5AD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sidRPr="000A725F">
        <w:rPr>
          <w:noProof/>
        </w:rPr>
        <w:t xml:space="preserve"> </w:t>
      </w:r>
      <w:r>
        <w:rPr>
          <w:noProof/>
        </w:rPr>
        <w:drawing>
          <wp:inline distT="0" distB="0" distL="0" distR="0" wp14:anchorId="78736C29" wp14:editId="7F0952C8">
            <wp:extent cx="2808000" cy="2808000"/>
            <wp:effectExtent l="0" t="0" r="0" b="0"/>
            <wp:docPr id="1807618509" name="Chart 1">
              <a:extLst xmlns:a="http://schemas.openxmlformats.org/drawingml/2006/main">
                <a:ext uri="{FF2B5EF4-FFF2-40B4-BE49-F238E27FC236}">
                  <a16:creationId xmlns:a16="http://schemas.microsoft.com/office/drawing/2014/main" id="{0C3B2A96-82E5-78A5-93E1-A644DC8562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3BA1281" w14:textId="77777777" w:rsidR="00BA3C71" w:rsidRDefault="00BA3C71" w:rsidP="00BA3C71">
      <w:pPr>
        <w:jc w:val="both"/>
      </w:pPr>
      <w:r>
        <w:t xml:space="preserve">Можем да разгледаме всеки финансов показател в различни разрези, например приходите на читалищата в зависимост от тяхното местоположение. Градските читалища водят значително пред селските по отношение на техните приходи, независимо че са една пета от всички. </w:t>
      </w:r>
      <w:r w:rsidRPr="00320A76">
        <w:rPr>
          <w:b/>
          <w:bCs/>
        </w:rPr>
        <w:t>С други думи 20% от читалищата получават 70% от всички приходи (за 2023 г.).</w:t>
      </w:r>
      <w:r>
        <w:t xml:space="preserve"> </w:t>
      </w:r>
    </w:p>
    <w:p w14:paraId="2464CB96" w14:textId="77777777" w:rsidR="00BA3C71" w:rsidRDefault="00BA3C71" w:rsidP="00BA3C71">
      <w:pPr>
        <w:jc w:val="both"/>
      </w:pPr>
      <w:r>
        <w:rPr>
          <w:noProof/>
        </w:rPr>
        <w:drawing>
          <wp:inline distT="0" distB="0" distL="0" distR="0" wp14:anchorId="23B9C675" wp14:editId="28FF3D76">
            <wp:extent cx="4320000" cy="2880000"/>
            <wp:effectExtent l="0" t="0" r="4445" b="0"/>
            <wp:docPr id="1854379699" name="Chart 1">
              <a:extLst xmlns:a="http://schemas.openxmlformats.org/drawingml/2006/main">
                <a:ext uri="{FF2B5EF4-FFF2-40B4-BE49-F238E27FC236}">
                  <a16:creationId xmlns:a16="http://schemas.microsoft.com/office/drawing/2014/main" id="{D4475C4B-D4DE-DF33-18A4-16321F0A76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9E30279" w14:textId="77777777" w:rsidR="00BA3C71" w:rsidRPr="004C59DD" w:rsidRDefault="00BA3C71" w:rsidP="00BA3C71">
      <w:pPr>
        <w:jc w:val="both"/>
        <w:rPr>
          <w:sz w:val="20"/>
          <w:szCs w:val="20"/>
        </w:rPr>
      </w:pPr>
      <w:r w:rsidRPr="004C59DD">
        <w:rPr>
          <w:sz w:val="20"/>
          <w:szCs w:val="20"/>
        </w:rPr>
        <w:t xml:space="preserve">Бележка: Включени са само читалищата, подали отчетите си в търговския регистър. </w:t>
      </w:r>
    </w:p>
    <w:p w14:paraId="24E2B2A7" w14:textId="77777777" w:rsidR="00BA3C71" w:rsidRDefault="00BA3C71" w:rsidP="00BA3C71">
      <w:pPr>
        <w:jc w:val="both"/>
      </w:pPr>
      <w:r>
        <w:t xml:space="preserve">Разпределението при общите разходи не е толкова неравномерно изразено, както при приходите, но отново градските читалища извършват двойно по-големи разходи в сравнение със селските (53,2 млн. лв. спрямо 23,7 млн. лв. за 2023 г.). </w:t>
      </w:r>
    </w:p>
    <w:p w14:paraId="27EC6A37" w14:textId="77777777" w:rsidR="00BA3C71" w:rsidRDefault="00BA3C71" w:rsidP="00BA3C71">
      <w:pPr>
        <w:jc w:val="both"/>
      </w:pPr>
      <w:r>
        <w:rPr>
          <w:noProof/>
        </w:rPr>
        <w:lastRenderedPageBreak/>
        <w:drawing>
          <wp:inline distT="0" distB="0" distL="0" distR="0" wp14:anchorId="62E5B23B" wp14:editId="20F35D86">
            <wp:extent cx="4320000" cy="2880000"/>
            <wp:effectExtent l="0" t="0" r="4445" b="0"/>
            <wp:docPr id="45904524" name="Chart 1">
              <a:extLst xmlns:a="http://schemas.openxmlformats.org/drawingml/2006/main">
                <a:ext uri="{FF2B5EF4-FFF2-40B4-BE49-F238E27FC236}">
                  <a16:creationId xmlns:a16="http://schemas.microsoft.com/office/drawing/2014/main" id="{9D9ED597-21E6-35AC-293A-F971FB6E08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3B386A4" w14:textId="77777777" w:rsidR="00BA3C71" w:rsidRPr="004C59DD" w:rsidRDefault="00BA3C71" w:rsidP="00BA3C71">
      <w:pPr>
        <w:jc w:val="both"/>
        <w:rPr>
          <w:sz w:val="20"/>
          <w:szCs w:val="20"/>
        </w:rPr>
      </w:pPr>
      <w:r w:rsidRPr="004C59DD">
        <w:rPr>
          <w:sz w:val="20"/>
          <w:szCs w:val="20"/>
        </w:rPr>
        <w:t xml:space="preserve">Бележка: Включени са само читалищата, подали отчетите си в търговския регистър. </w:t>
      </w:r>
    </w:p>
    <w:p w14:paraId="09410012" w14:textId="77777777" w:rsidR="00BA3C71" w:rsidRDefault="00BA3C71" w:rsidP="00BA3C71">
      <w:pPr>
        <w:jc w:val="both"/>
      </w:pPr>
      <w:r>
        <w:t xml:space="preserve">Ако разгледаме разпределението на приходите на читалищата в зависимост от принадлежността им в някоя от шестте категории, прави впечатление, че читалищата в първа и трета </w:t>
      </w:r>
      <w:r w:rsidRPr="00AC5B3A">
        <w:t xml:space="preserve">категория </w:t>
      </w:r>
      <w:r>
        <w:t>имат най-големи приходи (припомняме, че най-голям брой читалища има в трета категория). Приходите в тези категории бележат и най-голям ръст между 2021 и 2022 г.</w:t>
      </w:r>
    </w:p>
    <w:p w14:paraId="1DAC78C0" w14:textId="77777777" w:rsidR="00BA3C71" w:rsidRPr="00AC5B3A" w:rsidRDefault="00BA3C71" w:rsidP="00BA3C71">
      <w:pPr>
        <w:jc w:val="both"/>
      </w:pPr>
      <w:r>
        <w:rPr>
          <w:noProof/>
        </w:rPr>
        <w:drawing>
          <wp:inline distT="0" distB="0" distL="0" distR="0" wp14:anchorId="33579A39" wp14:editId="42C44D8E">
            <wp:extent cx="4680000" cy="3240000"/>
            <wp:effectExtent l="0" t="0" r="6350" b="0"/>
            <wp:docPr id="694591689" name="Chart 1">
              <a:extLst xmlns:a="http://schemas.openxmlformats.org/drawingml/2006/main">
                <a:ext uri="{FF2B5EF4-FFF2-40B4-BE49-F238E27FC236}">
                  <a16:creationId xmlns:a16="http://schemas.microsoft.com/office/drawing/2014/main" id="{81DE3EC0-5074-4EA2-841A-5C6D86EF2D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CA118CA" w14:textId="77777777" w:rsidR="00BA3C71" w:rsidRDefault="00BA3C71" w:rsidP="00BA3C71">
      <w:pPr>
        <w:jc w:val="both"/>
        <w:rPr>
          <w:b/>
          <w:bCs/>
        </w:rPr>
      </w:pPr>
    </w:p>
    <w:p w14:paraId="4B4102AE" w14:textId="77777777" w:rsidR="00BA3C71" w:rsidRPr="00C443FD" w:rsidRDefault="00BA3C71" w:rsidP="00BA3C71">
      <w:pPr>
        <w:jc w:val="both"/>
      </w:pPr>
      <w:r w:rsidRPr="00C443FD">
        <w:t xml:space="preserve">Разпределението </w:t>
      </w:r>
      <w:r>
        <w:t xml:space="preserve">на читалищата според общите им разходи е много сходно на това според приходите им. </w:t>
      </w:r>
    </w:p>
    <w:p w14:paraId="1810AC73" w14:textId="77777777" w:rsidR="00BA3C71" w:rsidRDefault="00BA3C71" w:rsidP="00BA3C71">
      <w:pPr>
        <w:jc w:val="both"/>
        <w:rPr>
          <w:b/>
          <w:bCs/>
        </w:rPr>
      </w:pPr>
      <w:r>
        <w:rPr>
          <w:noProof/>
        </w:rPr>
        <w:lastRenderedPageBreak/>
        <w:drawing>
          <wp:inline distT="0" distB="0" distL="0" distR="0" wp14:anchorId="7FE01A0C" wp14:editId="349157B0">
            <wp:extent cx="4680000" cy="3240000"/>
            <wp:effectExtent l="0" t="0" r="6350" b="0"/>
            <wp:docPr id="587533935" name="Chart 1">
              <a:extLst xmlns:a="http://schemas.openxmlformats.org/drawingml/2006/main">
                <a:ext uri="{FF2B5EF4-FFF2-40B4-BE49-F238E27FC236}">
                  <a16:creationId xmlns:a16="http://schemas.microsoft.com/office/drawing/2014/main" id="{E33464C1-826E-CA7A-292F-81A42E54EB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67B5EA2" w14:textId="3F058EA4" w:rsidR="00904472" w:rsidRPr="00D40EF2" w:rsidRDefault="00904472" w:rsidP="002A0C8D">
      <w:pPr>
        <w:pStyle w:val="Heading2"/>
        <w:numPr>
          <w:ilvl w:val="0"/>
          <w:numId w:val="3"/>
        </w:numPr>
      </w:pPr>
      <w:bookmarkStart w:id="5" w:name="_Toc216186800"/>
      <w:r w:rsidRPr="00D40EF2">
        <w:t>Персонал</w:t>
      </w:r>
      <w:r w:rsidR="009B5D29">
        <w:t xml:space="preserve"> и субсидирани бройки</w:t>
      </w:r>
      <w:bookmarkEnd w:id="5"/>
    </w:p>
    <w:p w14:paraId="5D7B9F16" w14:textId="77777777" w:rsidR="00830C91" w:rsidRDefault="00830C91" w:rsidP="00532A44">
      <w:pPr>
        <w:jc w:val="both"/>
      </w:pPr>
    </w:p>
    <w:p w14:paraId="01ECEBE2" w14:textId="39ADD971" w:rsidR="001B1EC1" w:rsidRDefault="001B1EC1" w:rsidP="00532A44">
      <w:pPr>
        <w:jc w:val="both"/>
      </w:pPr>
      <w:r>
        <w:t xml:space="preserve">Разпределението на читалищата в </w:t>
      </w:r>
      <w:r w:rsidR="00B4267A">
        <w:t xml:space="preserve">категориите </w:t>
      </w:r>
      <w:r>
        <w:t xml:space="preserve">общини според техните субсидирани бройки </w:t>
      </w:r>
      <w:r w:rsidR="00FD0076">
        <w:t>(по данни</w:t>
      </w:r>
      <w:r w:rsidR="00B4267A">
        <w:t xml:space="preserve"> на МФ) </w:t>
      </w:r>
      <w:r>
        <w:t xml:space="preserve">показва </w:t>
      </w:r>
      <w:r w:rsidR="0045110A" w:rsidRPr="006E5FBE">
        <w:rPr>
          <w:b/>
          <w:bCs/>
        </w:rPr>
        <w:t>само в София се субсидират 10% от всички бройки за страната</w:t>
      </w:r>
      <w:r w:rsidR="0045110A">
        <w:t xml:space="preserve">. Най-голям е броя </w:t>
      </w:r>
      <w:r w:rsidR="00A41B6F">
        <w:t>в</w:t>
      </w:r>
      <w:r w:rsidR="0045110A">
        <w:t xml:space="preserve"> категория </w:t>
      </w:r>
      <w:r w:rsidR="008D05D6">
        <w:t>три, която съдържа и най-много на брой общини, следвана от категория 1</w:t>
      </w:r>
      <w:r w:rsidR="00D825E1">
        <w:t>, в която са най-големите български общини</w:t>
      </w:r>
      <w:r w:rsidR="008D05D6">
        <w:t xml:space="preserve">.  </w:t>
      </w:r>
    </w:p>
    <w:p w14:paraId="3FD7A5EF" w14:textId="6D8E13FD" w:rsidR="001B1EC1" w:rsidRDefault="001B1EC1" w:rsidP="00532A44">
      <w:pPr>
        <w:jc w:val="both"/>
      </w:pPr>
      <w:r>
        <w:rPr>
          <w:noProof/>
        </w:rPr>
        <w:drawing>
          <wp:inline distT="0" distB="0" distL="0" distR="0" wp14:anchorId="7EA1D30F" wp14:editId="53BDC827">
            <wp:extent cx="3240000" cy="2808000"/>
            <wp:effectExtent l="0" t="0" r="0" b="0"/>
            <wp:docPr id="358296161" name="Chart 1">
              <a:extLst xmlns:a="http://schemas.openxmlformats.org/drawingml/2006/main">
                <a:ext uri="{FF2B5EF4-FFF2-40B4-BE49-F238E27FC236}">
                  <a16:creationId xmlns:a16="http://schemas.microsoft.com/office/drawing/2014/main" id="{E2689E80-3402-4779-91A4-1A83E922E7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102122C" w14:textId="77777777" w:rsidR="00502E76" w:rsidRDefault="008F2CE4" w:rsidP="00532A44">
      <w:pPr>
        <w:jc w:val="both"/>
      </w:pPr>
      <w:r>
        <w:t>Р</w:t>
      </w:r>
      <w:r w:rsidR="00D40EF2">
        <w:t xml:space="preserve">азпределението на </w:t>
      </w:r>
      <w:r w:rsidR="00232231">
        <w:t xml:space="preserve">общия </w:t>
      </w:r>
      <w:r w:rsidR="00D40EF2">
        <w:t>персонал на читалищата</w:t>
      </w:r>
      <w:r w:rsidR="004F6267">
        <w:t xml:space="preserve"> според данните от </w:t>
      </w:r>
      <w:r w:rsidR="00E847A0">
        <w:t>търговския регистър за читалищата, които са подали отчети там</w:t>
      </w:r>
      <w:r w:rsidR="00AC77F9">
        <w:t xml:space="preserve"> (около </w:t>
      </w:r>
      <w:r w:rsidR="004F7530">
        <w:t xml:space="preserve">1400 </w:t>
      </w:r>
      <w:r w:rsidR="004F7530">
        <w:lastRenderedPageBreak/>
        <w:t>читалища)</w:t>
      </w:r>
      <w:r w:rsidR="0053155D">
        <w:t xml:space="preserve">, </w:t>
      </w:r>
      <w:r>
        <w:t xml:space="preserve">показва </w:t>
      </w:r>
      <w:r w:rsidR="0043379D">
        <w:t>увелич</w:t>
      </w:r>
      <w:r>
        <w:t>ение</w:t>
      </w:r>
      <w:r w:rsidR="0043379D">
        <w:t xml:space="preserve"> между 2021 и 2022 година, като след </w:t>
      </w:r>
      <w:r>
        <w:t xml:space="preserve">този процес </w:t>
      </w:r>
      <w:r w:rsidR="0043379D">
        <w:t>се стабилизира на около 5300 души</w:t>
      </w:r>
      <w:r w:rsidR="00A41B6F">
        <w:t xml:space="preserve"> (данните за персонал</w:t>
      </w:r>
      <w:r w:rsidR="00EC0499">
        <w:t xml:space="preserve">а в читалищата обхваща всички, които са </w:t>
      </w:r>
      <w:r w:rsidR="004F7530">
        <w:t>посочили</w:t>
      </w:r>
      <w:r w:rsidR="00EC0499">
        <w:t xml:space="preserve"> коректна информация за своя персонал)</w:t>
      </w:r>
      <w:r w:rsidR="0043379D">
        <w:t xml:space="preserve">. </w:t>
      </w:r>
    </w:p>
    <w:p w14:paraId="20097D67" w14:textId="37020592" w:rsidR="00624001" w:rsidRDefault="0018062F" w:rsidP="00532A44">
      <w:pPr>
        <w:jc w:val="both"/>
      </w:pPr>
      <w:r>
        <w:t>За сравнение както по-горе вече стана дума държавата субсидира всяка година над 7700 броя</w:t>
      </w:r>
      <w:r w:rsidR="00096637">
        <w:t xml:space="preserve">. </w:t>
      </w:r>
      <w:r w:rsidR="00624001">
        <w:t>По данни на НСИ от проучването на читалищата през 2022 г. там са били нает</w:t>
      </w:r>
      <w:r w:rsidR="00096637">
        <w:t>и</w:t>
      </w:r>
      <w:r w:rsidR="00624001">
        <w:t xml:space="preserve"> </w:t>
      </w:r>
      <w:r w:rsidR="00016512">
        <w:t>11783</w:t>
      </w:r>
      <w:r w:rsidR="00624001">
        <w:t xml:space="preserve"> души общо</w:t>
      </w:r>
      <w:r w:rsidR="00096637">
        <w:t>,</w:t>
      </w:r>
      <w:r w:rsidR="00096637">
        <w:t xml:space="preserve"> </w:t>
      </w:r>
      <w:r w:rsidR="00096637">
        <w:t xml:space="preserve">следователно в базата са обхваната около </w:t>
      </w:r>
      <w:r w:rsidR="00096637">
        <w:t>половината</w:t>
      </w:r>
      <w:r w:rsidR="00096637">
        <w:t xml:space="preserve"> от реално заетия персонал</w:t>
      </w:r>
      <w:r w:rsidR="00624001">
        <w:t xml:space="preserve">. </w:t>
      </w:r>
    </w:p>
    <w:p w14:paraId="1641B843" w14:textId="47017AB9" w:rsidR="00080C9C" w:rsidRDefault="007024E4" w:rsidP="00532A44">
      <w:pPr>
        <w:jc w:val="both"/>
      </w:pPr>
      <w:r>
        <w:rPr>
          <w:noProof/>
        </w:rPr>
        <w:drawing>
          <wp:inline distT="0" distB="0" distL="0" distR="0" wp14:anchorId="1ECDE44D" wp14:editId="46DDCD35">
            <wp:extent cx="4572000" cy="2743200"/>
            <wp:effectExtent l="0" t="0" r="0" b="0"/>
            <wp:docPr id="1554177076" name="Chart 1">
              <a:extLst xmlns:a="http://schemas.openxmlformats.org/drawingml/2006/main">
                <a:ext uri="{FF2B5EF4-FFF2-40B4-BE49-F238E27FC236}">
                  <a16:creationId xmlns:a16="http://schemas.microsoft.com/office/drawing/2014/main" id="{2A3E22BF-CBD2-E2CD-F906-5FD965CE49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30D73A40" w14:textId="0C5060EA" w:rsidR="004A34D9" w:rsidRDefault="00232231" w:rsidP="00532A44">
      <w:pPr>
        <w:jc w:val="both"/>
      </w:pPr>
      <w:r>
        <w:t xml:space="preserve">Разпределението на читалищата според персонала </w:t>
      </w:r>
      <w:r w:rsidR="000267DD">
        <w:t xml:space="preserve">(по данни от търговския регистър) </w:t>
      </w:r>
      <w:r w:rsidR="000961DC">
        <w:t xml:space="preserve">показва, че в градските читалища са заети </w:t>
      </w:r>
      <w:r w:rsidR="00D028FA">
        <w:t>с 80% повече</w:t>
      </w:r>
      <w:r w:rsidR="00BB7A46">
        <w:t xml:space="preserve"> служители в сравнение със селските – на фона на много по-големия брой „селски“ читалища това означава, че средствата се насочват предимно към градовете</w:t>
      </w:r>
      <w:r w:rsidR="002511B4">
        <w:t xml:space="preserve">, тъй като текущият механизъм на субсидиране от държавата се базира на база </w:t>
      </w:r>
      <w:r w:rsidR="00465E7D">
        <w:t>субсидирана бройка</w:t>
      </w:r>
      <w:r w:rsidR="00BB7A46">
        <w:t>. Персонал</w:t>
      </w:r>
      <w:r w:rsidR="00380EEF">
        <w:t>ът</w:t>
      </w:r>
      <w:r w:rsidR="00BB7A46">
        <w:t xml:space="preserve"> в градските читалища нараства след 2021 г. с </w:t>
      </w:r>
      <w:r w:rsidR="00380EEF">
        <w:t>33%</w:t>
      </w:r>
      <w:r w:rsidR="00B57241">
        <w:t>, докато в „селските читалища“ персоналът запазва</w:t>
      </w:r>
      <w:r w:rsidR="00EA7333">
        <w:t xml:space="preserve"> броя си</w:t>
      </w:r>
      <w:r w:rsidR="00380EEF">
        <w:t xml:space="preserve">. </w:t>
      </w:r>
    </w:p>
    <w:p w14:paraId="75638165" w14:textId="6EF16783" w:rsidR="00F13D8E" w:rsidRDefault="00F13D8E" w:rsidP="00532A44">
      <w:pPr>
        <w:jc w:val="both"/>
        <w:rPr>
          <w:noProof/>
        </w:rPr>
      </w:pPr>
      <w:r w:rsidRPr="00F13D8E">
        <w:rPr>
          <w:noProof/>
        </w:rPr>
        <w:lastRenderedPageBreak/>
        <w:t xml:space="preserve"> </w:t>
      </w:r>
      <w:r w:rsidR="00CB74CF">
        <w:rPr>
          <w:noProof/>
        </w:rPr>
        <w:drawing>
          <wp:inline distT="0" distB="0" distL="0" distR="0" wp14:anchorId="3E1D0334" wp14:editId="7CD57FF0">
            <wp:extent cx="4320000" cy="2880000"/>
            <wp:effectExtent l="0" t="0" r="4445" b="0"/>
            <wp:docPr id="765002358" name="Chart 1">
              <a:extLst xmlns:a="http://schemas.openxmlformats.org/drawingml/2006/main">
                <a:ext uri="{FF2B5EF4-FFF2-40B4-BE49-F238E27FC236}">
                  <a16:creationId xmlns:a16="http://schemas.microsoft.com/office/drawing/2014/main" id="{E0189C30-B425-8EF5-ABCC-BE2EB72E29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2B0D741" w14:textId="564D7AD0" w:rsidR="00613A63" w:rsidRDefault="00F13404" w:rsidP="00532A44">
      <w:pPr>
        <w:jc w:val="both"/>
        <w:rPr>
          <w:noProof/>
        </w:rPr>
      </w:pPr>
      <w:r>
        <w:rPr>
          <w:noProof/>
        </w:rPr>
        <w:t xml:space="preserve">По райони за планиране персоналът </w:t>
      </w:r>
      <w:r w:rsidR="001A25C6">
        <w:rPr>
          <w:noProof/>
        </w:rPr>
        <w:t xml:space="preserve">на читалищата </w:t>
      </w:r>
      <w:r>
        <w:rPr>
          <w:noProof/>
        </w:rPr>
        <w:t xml:space="preserve">е сравнително равномерно разпределен, като изключение е </w:t>
      </w:r>
      <w:r w:rsidR="00EA7333">
        <w:rPr>
          <w:noProof/>
        </w:rPr>
        <w:t xml:space="preserve">Югозападния </w:t>
      </w:r>
      <w:r>
        <w:rPr>
          <w:noProof/>
        </w:rPr>
        <w:t xml:space="preserve">район, в който се намира столицата. </w:t>
      </w:r>
    </w:p>
    <w:p w14:paraId="012CED64" w14:textId="03202656" w:rsidR="00F13D8E" w:rsidRDefault="00854CC2" w:rsidP="00532A44">
      <w:pPr>
        <w:jc w:val="both"/>
        <w:rPr>
          <w:noProof/>
        </w:rPr>
      </w:pPr>
      <w:r>
        <w:rPr>
          <w:noProof/>
        </w:rPr>
        <w:drawing>
          <wp:inline distT="0" distB="0" distL="0" distR="0" wp14:anchorId="036B67DE" wp14:editId="40A1DE72">
            <wp:extent cx="5538158" cy="4641011"/>
            <wp:effectExtent l="0" t="0" r="5715" b="7620"/>
            <wp:docPr id="592262170" name="Chart 1">
              <a:extLst xmlns:a="http://schemas.openxmlformats.org/drawingml/2006/main">
                <a:ext uri="{FF2B5EF4-FFF2-40B4-BE49-F238E27FC236}">
                  <a16:creationId xmlns:a16="http://schemas.microsoft.com/office/drawing/2014/main" id="{30FD4C00-5E43-5384-907B-42D9F46160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4F29C9F" w14:textId="2B31F23B" w:rsidR="004C5736" w:rsidRDefault="004C5736" w:rsidP="00532A44">
      <w:pPr>
        <w:jc w:val="both"/>
        <w:rPr>
          <w:noProof/>
        </w:rPr>
      </w:pPr>
      <w:r>
        <w:rPr>
          <w:noProof/>
        </w:rPr>
        <w:lastRenderedPageBreak/>
        <w:t>Разпределение</w:t>
      </w:r>
      <w:r w:rsidR="002D60F1">
        <w:rPr>
          <w:noProof/>
        </w:rPr>
        <w:t>то</w:t>
      </w:r>
      <w:r>
        <w:rPr>
          <w:noProof/>
        </w:rPr>
        <w:t xml:space="preserve"> на читалищата според персонала по категории общини</w:t>
      </w:r>
      <w:r w:rsidR="002D60F1">
        <w:rPr>
          <w:noProof/>
        </w:rPr>
        <w:t xml:space="preserve"> показва</w:t>
      </w:r>
      <w:r w:rsidR="00884778">
        <w:rPr>
          <w:noProof/>
        </w:rPr>
        <w:t>, че</w:t>
      </w:r>
      <w:r w:rsidR="002D60F1">
        <w:rPr>
          <w:noProof/>
        </w:rPr>
        <w:t xml:space="preserve"> най-голяма численост</w:t>
      </w:r>
      <w:r w:rsidR="00884778">
        <w:rPr>
          <w:noProof/>
        </w:rPr>
        <w:t xml:space="preserve"> на персонала има в първа и трета категория общини, а най-малък общ брой – в столична и в пета категория (в нея са най-малките общини). </w:t>
      </w:r>
    </w:p>
    <w:p w14:paraId="34222E77" w14:textId="7F075648" w:rsidR="00975F51" w:rsidRDefault="00722685" w:rsidP="00532A44">
      <w:pPr>
        <w:jc w:val="both"/>
        <w:rPr>
          <w:noProof/>
        </w:rPr>
      </w:pPr>
      <w:r>
        <w:rPr>
          <w:noProof/>
        </w:rPr>
        <w:drawing>
          <wp:inline distT="0" distB="0" distL="0" distR="0" wp14:anchorId="57860AE8" wp14:editId="7E2E71B8">
            <wp:extent cx="4646428" cy="3551274"/>
            <wp:effectExtent l="0" t="0" r="1905" b="0"/>
            <wp:docPr id="338923815" name="Chart 1">
              <a:extLst xmlns:a="http://schemas.openxmlformats.org/drawingml/2006/main">
                <a:ext uri="{FF2B5EF4-FFF2-40B4-BE49-F238E27FC236}">
                  <a16:creationId xmlns:a16="http://schemas.microsoft.com/office/drawing/2014/main" id="{90C40B39-2611-BB7A-C263-8536BEF36F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BBB52EB" w14:textId="77777777" w:rsidR="00654505" w:rsidRDefault="00654505" w:rsidP="00654505">
      <w:pPr>
        <w:jc w:val="both"/>
      </w:pPr>
      <w:r>
        <w:t xml:space="preserve">Разпределението на персонала според неговото образование (по данни от проучването на НСИ през 2022 г.) показва, че сходен дял от персонала на читалищата – 48-49% е със средно или висше образование, като с основно образование делът е около 3%. При секретарите на читалищата преобладават лица със средно образование – 76% от всички, а тези със средно са 24%. </w:t>
      </w:r>
    </w:p>
    <w:p w14:paraId="7C68C182" w14:textId="77777777" w:rsidR="00654505" w:rsidRDefault="00654505" w:rsidP="00654505">
      <w:pPr>
        <w:jc w:val="both"/>
      </w:pPr>
      <w:r>
        <w:rPr>
          <w:noProof/>
        </w:rPr>
        <w:drawing>
          <wp:inline distT="0" distB="0" distL="0" distR="0" wp14:anchorId="59D484A6" wp14:editId="61C8C129">
            <wp:extent cx="2844000" cy="2844000"/>
            <wp:effectExtent l="0" t="0" r="0" b="0"/>
            <wp:docPr id="576543542" name="Chart 1">
              <a:extLst xmlns:a="http://schemas.openxmlformats.org/drawingml/2006/main">
                <a:ext uri="{FF2B5EF4-FFF2-40B4-BE49-F238E27FC236}">
                  <a16:creationId xmlns:a16="http://schemas.microsoft.com/office/drawing/2014/main" id="{85ABC88D-57CF-E749-8730-DF8D8E0D42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rsidRPr="00251D4D">
        <w:rPr>
          <w:noProof/>
        </w:rPr>
        <w:t xml:space="preserve"> </w:t>
      </w:r>
      <w:r>
        <w:rPr>
          <w:noProof/>
        </w:rPr>
        <w:drawing>
          <wp:inline distT="0" distB="0" distL="0" distR="0" wp14:anchorId="79C11DF9" wp14:editId="6DA73701">
            <wp:extent cx="2844000" cy="2844000"/>
            <wp:effectExtent l="0" t="0" r="0" b="0"/>
            <wp:docPr id="1714750105" name="Chart 1">
              <a:extLst xmlns:a="http://schemas.openxmlformats.org/drawingml/2006/main">
                <a:ext uri="{FF2B5EF4-FFF2-40B4-BE49-F238E27FC236}">
                  <a16:creationId xmlns:a16="http://schemas.microsoft.com/office/drawing/2014/main" id="{F0C15411-96D7-358C-7DF9-74BE7907E6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E567FEE" w14:textId="09A7DC5F" w:rsidR="0049262C" w:rsidRDefault="009154C8" w:rsidP="00532A44">
      <w:pPr>
        <w:jc w:val="both"/>
        <w:rPr>
          <w:noProof/>
        </w:rPr>
      </w:pPr>
      <w:r>
        <w:rPr>
          <w:noProof/>
        </w:rPr>
        <w:lastRenderedPageBreak/>
        <w:t>Заети</w:t>
      </w:r>
      <w:r w:rsidR="00F24BEC">
        <w:rPr>
          <w:noProof/>
        </w:rPr>
        <w:t>те</w:t>
      </w:r>
      <w:r>
        <w:rPr>
          <w:noProof/>
        </w:rPr>
        <w:t xml:space="preserve"> в читалищата</w:t>
      </w:r>
      <w:r w:rsidR="00997243">
        <w:rPr>
          <w:noProof/>
        </w:rPr>
        <w:t xml:space="preserve"> с висше</w:t>
      </w:r>
      <w:r w:rsidR="00884778">
        <w:rPr>
          <w:noProof/>
        </w:rPr>
        <w:t xml:space="preserve"> образование преобладават значително в читалищата в градовете</w:t>
      </w:r>
      <w:r w:rsidR="00636BFB">
        <w:rPr>
          <w:noProof/>
        </w:rPr>
        <w:t xml:space="preserve"> – около 2,5 пъти повече такива служители са заети там. </w:t>
      </w:r>
      <w:r w:rsidR="008D2F77">
        <w:rPr>
          <w:noProof/>
        </w:rPr>
        <w:t>Специалистите с висше образование леко намаляват през 2023 г.</w:t>
      </w:r>
    </w:p>
    <w:p w14:paraId="719E1C1C" w14:textId="706C11BF" w:rsidR="00865E66" w:rsidRDefault="00B87CC1" w:rsidP="00532A44">
      <w:pPr>
        <w:jc w:val="both"/>
      </w:pPr>
      <w:r>
        <w:rPr>
          <w:noProof/>
        </w:rPr>
        <w:drawing>
          <wp:inline distT="0" distB="0" distL="0" distR="0" wp14:anchorId="7CF1D102" wp14:editId="58414792">
            <wp:extent cx="4320000" cy="2880000"/>
            <wp:effectExtent l="0" t="0" r="4445" b="0"/>
            <wp:docPr id="1862477297" name="Chart 1">
              <a:extLst xmlns:a="http://schemas.openxmlformats.org/drawingml/2006/main">
                <a:ext uri="{FF2B5EF4-FFF2-40B4-BE49-F238E27FC236}">
                  <a16:creationId xmlns:a16="http://schemas.microsoft.com/office/drawing/2014/main" id="{34003924-4668-B625-609F-8AA28F193B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6DC3B746" w14:textId="756D7166" w:rsidR="00EE0BA6" w:rsidRDefault="00636BFB" w:rsidP="00532A44">
      <w:pPr>
        <w:jc w:val="both"/>
      </w:pPr>
      <w:r>
        <w:t xml:space="preserve">Разпределението на служителите с висше образование според районите за планиране </w:t>
      </w:r>
      <w:r w:rsidR="00931FE4">
        <w:t>(</w:t>
      </w:r>
      <w:r w:rsidR="00931FE4">
        <w:rPr>
          <w:lang w:val="en-GB"/>
        </w:rPr>
        <w:t xml:space="preserve">NUTS2) </w:t>
      </w:r>
      <w:r>
        <w:t xml:space="preserve">силно </w:t>
      </w:r>
      <w:r w:rsidR="001351FA">
        <w:t>преобладават</w:t>
      </w:r>
      <w:r>
        <w:t xml:space="preserve"> в </w:t>
      </w:r>
      <w:r w:rsidR="00F24BEC">
        <w:t>Ю</w:t>
      </w:r>
      <w:r w:rsidR="001351FA">
        <w:t xml:space="preserve">гозападния район (в него се намира столицата). В останалите райони </w:t>
      </w:r>
      <w:r w:rsidR="00465E7D">
        <w:t xml:space="preserve">разпределението на служители според тяхното образование е сравнително равномерно. </w:t>
      </w:r>
    </w:p>
    <w:p w14:paraId="0421A9E1" w14:textId="0B47F342" w:rsidR="00ED69D2" w:rsidRDefault="00ED69D2" w:rsidP="00532A44">
      <w:pPr>
        <w:jc w:val="both"/>
      </w:pPr>
      <w:r>
        <w:rPr>
          <w:noProof/>
        </w:rPr>
        <w:lastRenderedPageBreak/>
        <w:drawing>
          <wp:inline distT="0" distB="0" distL="0" distR="0" wp14:anchorId="624BE6B1" wp14:editId="4A33B328">
            <wp:extent cx="4680000" cy="4320000"/>
            <wp:effectExtent l="0" t="0" r="6350" b="4445"/>
            <wp:docPr id="916140605" name="Chart 1">
              <a:extLst xmlns:a="http://schemas.openxmlformats.org/drawingml/2006/main">
                <a:ext uri="{FF2B5EF4-FFF2-40B4-BE49-F238E27FC236}">
                  <a16:creationId xmlns:a16="http://schemas.microsoft.com/office/drawing/2014/main" id="{38E70A1F-8F85-CC35-C6C9-CEEF7067C5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69FB1B0" w14:textId="02A44F38" w:rsidR="00997243" w:rsidRDefault="00E4768E" w:rsidP="00532A44">
      <w:pPr>
        <w:jc w:val="both"/>
      </w:pPr>
      <w:r>
        <w:t>Разпределението на персонала с висше образование п</w:t>
      </w:r>
      <w:r w:rsidR="00997243">
        <w:t>о категории</w:t>
      </w:r>
      <w:r w:rsidR="00B15F30">
        <w:t xml:space="preserve"> </w:t>
      </w:r>
      <w:r>
        <w:t xml:space="preserve">общини </w:t>
      </w:r>
      <w:r w:rsidR="000A537F">
        <w:t xml:space="preserve">има пряка връзка с размера на общината – като изключим </w:t>
      </w:r>
      <w:r w:rsidR="0095708F">
        <w:t>С</w:t>
      </w:r>
      <w:r w:rsidR="000A537F">
        <w:t>то</w:t>
      </w:r>
      <w:r w:rsidR="0095708F">
        <w:t>ли</w:t>
      </w:r>
      <w:r w:rsidR="000A537F">
        <w:t>чна</w:t>
      </w:r>
      <w:r w:rsidR="0095708F">
        <w:t xml:space="preserve"> община,</w:t>
      </w:r>
      <w:r w:rsidR="000A537F">
        <w:t xml:space="preserve"> най-голям дял на персонала с висше образование </w:t>
      </w:r>
      <w:r w:rsidR="00E82693">
        <w:t xml:space="preserve">е зает в читалищата от първа категория. </w:t>
      </w:r>
    </w:p>
    <w:p w14:paraId="3337B52A" w14:textId="7C9955ED" w:rsidR="00997243" w:rsidRDefault="00722685" w:rsidP="00532A44">
      <w:pPr>
        <w:jc w:val="both"/>
      </w:pPr>
      <w:r>
        <w:rPr>
          <w:noProof/>
        </w:rPr>
        <w:drawing>
          <wp:inline distT="0" distB="0" distL="0" distR="0" wp14:anchorId="2182527F" wp14:editId="7568076D">
            <wp:extent cx="4540102" cy="3274828"/>
            <wp:effectExtent l="0" t="0" r="0" b="1905"/>
            <wp:docPr id="1723582745" name="Chart 1">
              <a:extLst xmlns:a="http://schemas.openxmlformats.org/drawingml/2006/main">
                <a:ext uri="{FF2B5EF4-FFF2-40B4-BE49-F238E27FC236}">
                  <a16:creationId xmlns:a16="http://schemas.microsoft.com/office/drawing/2014/main" id="{0D175F27-5313-28E5-8B69-7D15ECE0A7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DA18DA0" w14:textId="77777777" w:rsidR="00487916" w:rsidRPr="00877AE2" w:rsidRDefault="00487916" w:rsidP="00487916">
      <w:pPr>
        <w:jc w:val="both"/>
        <w:rPr>
          <w:b/>
          <w:bCs/>
        </w:rPr>
      </w:pPr>
      <w:r w:rsidRPr="00877AE2">
        <w:rPr>
          <w:b/>
          <w:bCs/>
        </w:rPr>
        <w:lastRenderedPageBreak/>
        <w:t>Доходи</w:t>
      </w:r>
      <w:r>
        <w:rPr>
          <w:b/>
          <w:bCs/>
        </w:rPr>
        <w:t xml:space="preserve"> на заетите в читалищата</w:t>
      </w:r>
    </w:p>
    <w:p w14:paraId="49C31282" w14:textId="77777777" w:rsidR="00487916" w:rsidRDefault="00487916" w:rsidP="00487916">
      <w:pPr>
        <w:jc w:val="both"/>
      </w:pPr>
      <w:r>
        <w:t>Последно ще се спрем на доходите на заетите в читалищата и броя сключени договори в тях. Заетите лица преобладават в градските читалища, независимо, че селските са много повече на брой. През 2023 г. в градските читалища има средно 200 сключени трудови договори на община</w:t>
      </w:r>
      <w:r>
        <w:rPr>
          <w:rStyle w:val="FootnoteReference"/>
        </w:rPr>
        <w:footnoteReference w:id="5"/>
      </w:r>
      <w:r>
        <w:t xml:space="preserve">. За селските този брой е 48. </w:t>
      </w:r>
    </w:p>
    <w:p w14:paraId="5BA9E7D5" w14:textId="77777777" w:rsidR="00487916" w:rsidRDefault="00487916" w:rsidP="00487916">
      <w:pPr>
        <w:jc w:val="both"/>
      </w:pPr>
      <w:r>
        <w:t xml:space="preserve">Средният осигурителен доход на заетите в читалищата е сходен, независимо от тяхното местоположение, като заетите в градските читалища все пак  получават малко по-високи заплати. Наблюдава се увеличаване на доходите и в двете категории с около 100 лв. на зает през 2023 г. </w:t>
      </w:r>
    </w:p>
    <w:p w14:paraId="202FB1B8" w14:textId="77777777" w:rsidR="00487916" w:rsidRDefault="00487916" w:rsidP="00487916">
      <w:pPr>
        <w:jc w:val="both"/>
      </w:pPr>
      <w:r>
        <w:rPr>
          <w:noProof/>
        </w:rPr>
        <w:drawing>
          <wp:inline distT="0" distB="0" distL="0" distR="0" wp14:anchorId="5A5FC0F4" wp14:editId="47E1F244">
            <wp:extent cx="4837814" cy="3678865"/>
            <wp:effectExtent l="0" t="0" r="1270" b="0"/>
            <wp:docPr id="1383534417" name="Chart 1">
              <a:extLst xmlns:a="http://schemas.openxmlformats.org/drawingml/2006/main">
                <a:ext uri="{FF2B5EF4-FFF2-40B4-BE49-F238E27FC236}">
                  <a16:creationId xmlns:a16="http://schemas.microsoft.com/office/drawing/2014/main" id="{0E47437D-F93C-ABEF-0EC6-43131C99DF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0C1A36D" w14:textId="77777777" w:rsidR="00487916" w:rsidRDefault="00487916" w:rsidP="00487916">
      <w:pPr>
        <w:jc w:val="both"/>
      </w:pPr>
      <w:r>
        <w:t xml:space="preserve">Ако разгледаме средния осигурителен доход по области, ще видим, че през 2023 г. най-висок доход получават служителите в читалищата в област Перник, столицата и област Пазарджик, а най-нисък – в областите Разград, габрово и Добрич. Разликата в доходите на заетите в областите Разград и Перник е близо 22%. </w:t>
      </w:r>
    </w:p>
    <w:p w14:paraId="7FA786A7" w14:textId="77777777" w:rsidR="00487916" w:rsidRDefault="00487916" w:rsidP="00487916">
      <w:pPr>
        <w:jc w:val="both"/>
      </w:pPr>
    </w:p>
    <w:p w14:paraId="58E5B0BF" w14:textId="77777777" w:rsidR="00487916" w:rsidRDefault="00487916" w:rsidP="00487916">
      <w:pPr>
        <w:jc w:val="both"/>
      </w:pPr>
      <w:r>
        <w:rPr>
          <w:noProof/>
        </w:rPr>
        <w:lastRenderedPageBreak/>
        <w:drawing>
          <wp:inline distT="0" distB="0" distL="0" distR="0" wp14:anchorId="37FE9F62" wp14:editId="1F64007B">
            <wp:extent cx="4816549" cy="6411433"/>
            <wp:effectExtent l="0" t="0" r="3175" b="8890"/>
            <wp:docPr id="276993974" name="Chart 1">
              <a:extLst xmlns:a="http://schemas.openxmlformats.org/drawingml/2006/main">
                <a:ext uri="{FF2B5EF4-FFF2-40B4-BE49-F238E27FC236}">
                  <a16:creationId xmlns:a16="http://schemas.microsoft.com/office/drawing/2014/main" id="{4B3F0074-2B10-AF35-FAED-89A7329ADD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EBA87CB" w14:textId="77777777" w:rsidR="00487916" w:rsidRDefault="00487916" w:rsidP="00487916">
      <w:pPr>
        <w:jc w:val="both"/>
      </w:pPr>
      <w:r>
        <w:t xml:space="preserve">Същият показател, представен спрямо категориите общини, показва различия в зависимост от размера и икономическото развитие на общината. Можем да направим извод, че независимо от единния начин на финансиране от държавата, читалищата успяват да осигурят различни възнаграждения на своите служители, които са малко над минималната работна заплата в последната категория и леко се увеличават на МРЗ в по-горните категории. Близостта до МРЗ може да се обясни по няколко начина – заети голям брой служите на ниско възнаграждение, както и служители, работещи на непълен работен ден. </w:t>
      </w:r>
    </w:p>
    <w:p w14:paraId="54F872FA" w14:textId="77777777" w:rsidR="00487916" w:rsidRDefault="00487916" w:rsidP="00487916">
      <w:pPr>
        <w:jc w:val="both"/>
      </w:pPr>
      <w:r>
        <w:rPr>
          <w:noProof/>
        </w:rPr>
        <w:lastRenderedPageBreak/>
        <w:drawing>
          <wp:inline distT="0" distB="0" distL="0" distR="0" wp14:anchorId="1AFC5CAB" wp14:editId="4E2DDEE7">
            <wp:extent cx="4678326" cy="3625702"/>
            <wp:effectExtent l="0" t="0" r="8255" b="0"/>
            <wp:docPr id="1410067282" name="Chart 1">
              <a:extLst xmlns:a="http://schemas.openxmlformats.org/drawingml/2006/main">
                <a:ext uri="{FF2B5EF4-FFF2-40B4-BE49-F238E27FC236}">
                  <a16:creationId xmlns:a16="http://schemas.microsoft.com/office/drawing/2014/main" id="{6743CDD7-A721-D1ED-C890-E713B81681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374F58D" w14:textId="3AB99CED" w:rsidR="00F97C03" w:rsidRPr="00A63E9F" w:rsidRDefault="00F97C03" w:rsidP="00B25E2E">
      <w:pPr>
        <w:pStyle w:val="Heading2"/>
        <w:numPr>
          <w:ilvl w:val="0"/>
          <w:numId w:val="3"/>
        </w:numPr>
      </w:pPr>
      <w:bookmarkStart w:id="6" w:name="_Toc216186801"/>
      <w:r w:rsidRPr="004B35CF">
        <w:t>Дейност</w:t>
      </w:r>
      <w:r w:rsidR="00190527">
        <w:t xml:space="preserve"> на читалищата</w:t>
      </w:r>
      <w:bookmarkEnd w:id="6"/>
    </w:p>
    <w:p w14:paraId="77732027" w14:textId="599756EC" w:rsidR="002E1732" w:rsidRPr="002E1732" w:rsidRDefault="0033157B" w:rsidP="00532A44">
      <w:pPr>
        <w:jc w:val="both"/>
      </w:pPr>
      <w:r>
        <w:t>Прегледът на показателите за дейност в различни разпределения показва</w:t>
      </w:r>
      <w:r w:rsidR="00E64052">
        <w:t xml:space="preserve">, че </w:t>
      </w:r>
      <w:r w:rsidR="00F84B42">
        <w:t>75% от</w:t>
      </w:r>
      <w:r w:rsidR="00E64052">
        <w:t xml:space="preserve"> читалища</w:t>
      </w:r>
      <w:r w:rsidR="00F84B42">
        <w:t>та</w:t>
      </w:r>
      <w:r w:rsidR="00E64052">
        <w:t xml:space="preserve"> са реализирали дейност, свързана с кръжоци, клубове и </w:t>
      </w:r>
      <w:r w:rsidR="00081E13">
        <w:t xml:space="preserve">школи по изкуствата, </w:t>
      </w:r>
      <w:r w:rsidR="00F84B42">
        <w:t xml:space="preserve">както и езикови школи и курсове, а </w:t>
      </w:r>
      <w:r w:rsidR="00081E13">
        <w:t>около</w:t>
      </w:r>
      <w:r w:rsidR="00935EF5">
        <w:t xml:space="preserve"> 34% са имали библиотечна дейност през 2023 г. </w:t>
      </w:r>
      <w:r w:rsidR="0067289E">
        <w:t xml:space="preserve">Разпределението на дейностите между селски и градски читалища показва сериозен превес на селските. </w:t>
      </w:r>
    </w:p>
    <w:p w14:paraId="3ACD520A" w14:textId="552EC283" w:rsidR="00F97C03" w:rsidRDefault="004E4435" w:rsidP="00532A44">
      <w:pPr>
        <w:jc w:val="both"/>
      </w:pPr>
      <w:r>
        <w:rPr>
          <w:noProof/>
        </w:rPr>
        <w:drawing>
          <wp:inline distT="0" distB="0" distL="0" distR="0" wp14:anchorId="29AB0708" wp14:editId="64C83365">
            <wp:extent cx="4320000" cy="2880000"/>
            <wp:effectExtent l="0" t="0" r="4445" b="0"/>
            <wp:docPr id="1894678978" name="Chart 1">
              <a:extLst xmlns:a="http://schemas.openxmlformats.org/drawingml/2006/main">
                <a:ext uri="{FF2B5EF4-FFF2-40B4-BE49-F238E27FC236}">
                  <a16:creationId xmlns:a16="http://schemas.microsoft.com/office/drawing/2014/main" id="{BE0A32BD-E1B8-FE14-D562-C1ECAE2519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70274B95" w14:textId="2F1A7F1F" w:rsidR="00D760E2" w:rsidRDefault="00D760E2" w:rsidP="00532A44">
      <w:pPr>
        <w:jc w:val="both"/>
      </w:pPr>
      <w:r>
        <w:t>Участието в различ</w:t>
      </w:r>
      <w:r w:rsidR="0085496F">
        <w:t>н</w:t>
      </w:r>
      <w:r>
        <w:t>и събити</w:t>
      </w:r>
      <w:r w:rsidR="0085496F">
        <w:t>я</w:t>
      </w:r>
      <w:r>
        <w:t xml:space="preserve"> също е централна дейност на читалищата. И тук селските читалища отчитат с около 50% по-гол</w:t>
      </w:r>
      <w:r w:rsidR="00A81C7B">
        <w:t xml:space="preserve">яма дейност в сравнение с </w:t>
      </w:r>
      <w:r w:rsidR="00A81C7B">
        <w:lastRenderedPageBreak/>
        <w:t xml:space="preserve">градските, което отговаря и на техния по-голям брой. Събитията се увеличават и в двете групи </w:t>
      </w:r>
      <w:r w:rsidR="003836BD">
        <w:t xml:space="preserve">читалища през разглеждания период. </w:t>
      </w:r>
    </w:p>
    <w:p w14:paraId="4D04351A" w14:textId="61B6400C" w:rsidR="00EC265F" w:rsidRDefault="001864E8" w:rsidP="00532A44">
      <w:pPr>
        <w:jc w:val="both"/>
      </w:pPr>
      <w:r>
        <w:rPr>
          <w:noProof/>
        </w:rPr>
        <w:drawing>
          <wp:inline distT="0" distB="0" distL="0" distR="0" wp14:anchorId="27C3F051" wp14:editId="4221864B">
            <wp:extent cx="4320000" cy="2880000"/>
            <wp:effectExtent l="0" t="0" r="4445" b="0"/>
            <wp:docPr id="1778585933" name="Chart 1">
              <a:extLst xmlns:a="http://schemas.openxmlformats.org/drawingml/2006/main">
                <a:ext uri="{FF2B5EF4-FFF2-40B4-BE49-F238E27FC236}">
                  <a16:creationId xmlns:a16="http://schemas.microsoft.com/office/drawing/2014/main" id="{E4592D4D-1A2D-7A6B-C0A9-00E132EDB3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D81C767" w14:textId="23D5A7D4" w:rsidR="00613A63" w:rsidRPr="000675F2" w:rsidRDefault="000675F2" w:rsidP="00532A44">
      <w:pPr>
        <w:jc w:val="both"/>
      </w:pPr>
      <w:r>
        <w:t>Участниците в обучения са предимно в селските читалища</w:t>
      </w:r>
      <w:r w:rsidR="00095E7E">
        <w:t xml:space="preserve">, което отговаря на по-големия брой читалища и заети в тях. </w:t>
      </w:r>
      <w:r>
        <w:t xml:space="preserve"> </w:t>
      </w:r>
    </w:p>
    <w:p w14:paraId="37CDD7E9" w14:textId="2993525A" w:rsidR="001864E8" w:rsidRDefault="0037085E" w:rsidP="00532A44">
      <w:pPr>
        <w:jc w:val="both"/>
      </w:pPr>
      <w:r>
        <w:rPr>
          <w:noProof/>
        </w:rPr>
        <w:drawing>
          <wp:inline distT="0" distB="0" distL="0" distR="0" wp14:anchorId="13CB0F74" wp14:editId="11FBBAD4">
            <wp:extent cx="4320000" cy="2880000"/>
            <wp:effectExtent l="0" t="0" r="4445" b="0"/>
            <wp:docPr id="1137612610" name="Chart 1">
              <a:extLst xmlns:a="http://schemas.openxmlformats.org/drawingml/2006/main">
                <a:ext uri="{FF2B5EF4-FFF2-40B4-BE49-F238E27FC236}">
                  <a16:creationId xmlns:a16="http://schemas.microsoft.com/office/drawing/2014/main" id="{A680457A-2CC7-51FA-2510-390752805D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4C5087F6" w14:textId="256DFE1F" w:rsidR="00801E76" w:rsidRPr="00095E7E" w:rsidRDefault="00095E7E" w:rsidP="00532A44">
      <w:pPr>
        <w:jc w:val="both"/>
      </w:pPr>
      <w:r>
        <w:t xml:space="preserve">Можем да разгледаме </w:t>
      </w:r>
      <w:r w:rsidR="006749A8">
        <w:t>и дейността на читалищата (кръжоци, клубове и школи по изкуствата), разпределени по категории общини. Мнозинството дейности са в читалищата в общини от първа и трета категория – големите общински центрове</w:t>
      </w:r>
      <w:r w:rsidR="00877AE2">
        <w:t xml:space="preserve"> най-вече. </w:t>
      </w:r>
    </w:p>
    <w:p w14:paraId="644BC520" w14:textId="79295989" w:rsidR="00583907" w:rsidRPr="00583907" w:rsidRDefault="00FC2721" w:rsidP="00532A44">
      <w:pPr>
        <w:jc w:val="both"/>
        <w:rPr>
          <w:lang w:val="en-GB"/>
        </w:rPr>
      </w:pPr>
      <w:r>
        <w:rPr>
          <w:noProof/>
        </w:rPr>
        <w:lastRenderedPageBreak/>
        <w:drawing>
          <wp:inline distT="0" distB="0" distL="0" distR="0" wp14:anchorId="425CD687" wp14:editId="78814D01">
            <wp:extent cx="4848447" cy="3678865"/>
            <wp:effectExtent l="0" t="0" r="0" b="0"/>
            <wp:docPr id="1048609953" name="Chart 1">
              <a:extLst xmlns:a="http://schemas.openxmlformats.org/drawingml/2006/main">
                <a:ext uri="{FF2B5EF4-FFF2-40B4-BE49-F238E27FC236}">
                  <a16:creationId xmlns:a16="http://schemas.microsoft.com/office/drawing/2014/main" id="{6C71042A-693D-850E-F246-F1873EE7FF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sectPr w:rsidR="00583907" w:rsidRPr="00583907">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E5B49" w14:textId="77777777" w:rsidR="00375F66" w:rsidRDefault="00375F66" w:rsidP="004900D0">
      <w:pPr>
        <w:spacing w:after="0" w:line="240" w:lineRule="auto"/>
      </w:pPr>
      <w:r>
        <w:separator/>
      </w:r>
    </w:p>
  </w:endnote>
  <w:endnote w:type="continuationSeparator" w:id="0">
    <w:p w14:paraId="73FC83EB" w14:textId="77777777" w:rsidR="00375F66" w:rsidRDefault="00375F66" w:rsidP="00490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2072995300"/>
      <w:docPartObj>
        <w:docPartGallery w:val="Page Numbers (Bottom of Page)"/>
        <w:docPartUnique/>
      </w:docPartObj>
    </w:sdtPr>
    <w:sdtEndPr/>
    <w:sdtContent>
      <w:sdt>
        <w:sdtPr>
          <w:rPr>
            <w:sz w:val="18"/>
            <w:szCs w:val="18"/>
          </w:rPr>
          <w:id w:val="-1769616900"/>
          <w:docPartObj>
            <w:docPartGallery w:val="Page Numbers (Top of Page)"/>
            <w:docPartUnique/>
          </w:docPartObj>
        </w:sdtPr>
        <w:sdtEndPr/>
        <w:sdtContent>
          <w:p w14:paraId="1988C370" w14:textId="61ECEB9F" w:rsidR="00F24BEC" w:rsidRPr="00F24BEC" w:rsidRDefault="00F24BEC" w:rsidP="00F24BEC">
            <w:pPr>
              <w:pStyle w:val="Footer"/>
              <w:jc w:val="right"/>
              <w:rPr>
                <w:sz w:val="18"/>
                <w:szCs w:val="18"/>
              </w:rPr>
            </w:pPr>
            <w:r w:rsidRPr="00F24BEC">
              <w:rPr>
                <w:sz w:val="18"/>
                <w:szCs w:val="18"/>
              </w:rPr>
              <w:t xml:space="preserve">Стр. </w:t>
            </w:r>
            <w:r w:rsidRPr="00F24BEC">
              <w:rPr>
                <w:b/>
                <w:bCs/>
                <w:sz w:val="18"/>
                <w:szCs w:val="18"/>
              </w:rPr>
              <w:fldChar w:fldCharType="begin"/>
            </w:r>
            <w:r w:rsidRPr="00F24BEC">
              <w:rPr>
                <w:b/>
                <w:bCs/>
                <w:sz w:val="18"/>
                <w:szCs w:val="18"/>
              </w:rPr>
              <w:instrText xml:space="preserve"> PAGE </w:instrText>
            </w:r>
            <w:r w:rsidRPr="00F24BEC">
              <w:rPr>
                <w:b/>
                <w:bCs/>
                <w:sz w:val="18"/>
                <w:szCs w:val="18"/>
              </w:rPr>
              <w:fldChar w:fldCharType="separate"/>
            </w:r>
            <w:r w:rsidRPr="00F24BEC">
              <w:rPr>
                <w:b/>
                <w:bCs/>
                <w:noProof/>
                <w:sz w:val="18"/>
                <w:szCs w:val="18"/>
              </w:rPr>
              <w:t>2</w:t>
            </w:r>
            <w:r w:rsidRPr="00F24BEC">
              <w:rPr>
                <w:b/>
                <w:bCs/>
                <w:sz w:val="18"/>
                <w:szCs w:val="18"/>
              </w:rPr>
              <w:fldChar w:fldCharType="end"/>
            </w:r>
            <w:r w:rsidRPr="00F24BEC">
              <w:rPr>
                <w:sz w:val="18"/>
                <w:szCs w:val="18"/>
              </w:rPr>
              <w:t xml:space="preserve"> от </w:t>
            </w:r>
            <w:r w:rsidRPr="00F24BEC">
              <w:rPr>
                <w:b/>
                <w:bCs/>
                <w:sz w:val="18"/>
                <w:szCs w:val="18"/>
              </w:rPr>
              <w:fldChar w:fldCharType="begin"/>
            </w:r>
            <w:r w:rsidRPr="00F24BEC">
              <w:rPr>
                <w:b/>
                <w:bCs/>
                <w:sz w:val="18"/>
                <w:szCs w:val="18"/>
              </w:rPr>
              <w:instrText xml:space="preserve"> NUMPAGES  </w:instrText>
            </w:r>
            <w:r w:rsidRPr="00F24BEC">
              <w:rPr>
                <w:b/>
                <w:bCs/>
                <w:sz w:val="18"/>
                <w:szCs w:val="18"/>
              </w:rPr>
              <w:fldChar w:fldCharType="separate"/>
            </w:r>
            <w:r w:rsidRPr="00F24BEC">
              <w:rPr>
                <w:b/>
                <w:bCs/>
                <w:noProof/>
                <w:sz w:val="18"/>
                <w:szCs w:val="18"/>
              </w:rPr>
              <w:t>2</w:t>
            </w:r>
            <w:r w:rsidRPr="00F24BEC">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7F183" w14:textId="77777777" w:rsidR="00375F66" w:rsidRDefault="00375F66" w:rsidP="004900D0">
      <w:pPr>
        <w:spacing w:after="0" w:line="240" w:lineRule="auto"/>
      </w:pPr>
      <w:r>
        <w:separator/>
      </w:r>
    </w:p>
  </w:footnote>
  <w:footnote w:type="continuationSeparator" w:id="0">
    <w:p w14:paraId="08C87B42" w14:textId="77777777" w:rsidR="00375F66" w:rsidRDefault="00375F66" w:rsidP="004900D0">
      <w:pPr>
        <w:spacing w:after="0" w:line="240" w:lineRule="auto"/>
      </w:pPr>
      <w:r>
        <w:continuationSeparator/>
      </w:r>
    </w:p>
  </w:footnote>
  <w:footnote w:id="1">
    <w:p w14:paraId="2D7B4378" w14:textId="77777777" w:rsidR="001D06BD" w:rsidRDefault="001D06BD" w:rsidP="001D06BD">
      <w:pPr>
        <w:pStyle w:val="FootnoteText"/>
      </w:pPr>
      <w:r>
        <w:rPr>
          <w:rStyle w:val="FootnoteReference"/>
        </w:rPr>
        <w:footnoteRef/>
      </w:r>
      <w:r>
        <w:t xml:space="preserve"> МРРБ разпределя общините в 6 категории, като столична община е отделена в самостоятелна категория (0). Останалите общини се разпределят на основата на разнообразни показатели. Повече информация за категоризирането на общините може да бъде намерена тук: </w:t>
      </w:r>
      <w:hyperlink r:id="rId1" w:history="1">
        <w:r w:rsidRPr="00154F61">
          <w:rPr>
            <w:rStyle w:val="Hyperlink"/>
          </w:rPr>
          <w:t>https://www.mrrb.bg/bg/kategorizaciya-na-administrativno-teritorialnite-i-teritorialnite-edinici/</w:t>
        </w:r>
      </w:hyperlink>
      <w:r>
        <w:t xml:space="preserve"> </w:t>
      </w:r>
    </w:p>
  </w:footnote>
  <w:footnote w:id="2">
    <w:p w14:paraId="0762BE18" w14:textId="255F8526" w:rsidR="007A4A70" w:rsidRDefault="007A4A70">
      <w:pPr>
        <w:pStyle w:val="FootnoteText"/>
      </w:pPr>
      <w:r>
        <w:rPr>
          <w:rStyle w:val="FootnoteReference"/>
        </w:rPr>
        <w:footnoteRef/>
      </w:r>
      <w:r>
        <w:t xml:space="preserve"> </w:t>
      </w:r>
      <w:r>
        <w:t>Районите за планиране</w:t>
      </w:r>
      <w:r w:rsidR="00C30BC0">
        <w:t xml:space="preserve"> (</w:t>
      </w:r>
      <w:r w:rsidR="00C30BC0">
        <w:rPr>
          <w:lang w:val="en-GB"/>
        </w:rPr>
        <w:t xml:space="preserve">NUTS-2) </w:t>
      </w:r>
      <w:r>
        <w:t xml:space="preserve"> </w:t>
      </w:r>
      <w:r w:rsidR="00866050">
        <w:t>са 6</w:t>
      </w:r>
      <w:r w:rsidR="00C30BC0">
        <w:rPr>
          <w:lang w:val="en-GB"/>
        </w:rPr>
        <w:t xml:space="preserve"> – </w:t>
      </w:r>
      <w:r w:rsidR="00C30BC0">
        <w:t>югозападен</w:t>
      </w:r>
      <w:r w:rsidR="007657E5">
        <w:rPr>
          <w:lang w:val="en-GB"/>
        </w:rPr>
        <w:t xml:space="preserve"> (BG41)</w:t>
      </w:r>
      <w:r w:rsidR="00C30BC0">
        <w:t xml:space="preserve">, </w:t>
      </w:r>
      <w:r w:rsidR="00DE7338">
        <w:t>южен централен</w:t>
      </w:r>
      <w:r w:rsidR="000D76BC">
        <w:rPr>
          <w:lang w:val="en-GB"/>
        </w:rPr>
        <w:t xml:space="preserve"> (BG42)</w:t>
      </w:r>
      <w:r w:rsidR="00DE7338">
        <w:t>, югоизточен</w:t>
      </w:r>
      <w:r w:rsidR="000D76BC">
        <w:rPr>
          <w:lang w:val="en-GB"/>
        </w:rPr>
        <w:t xml:space="preserve"> (BG34)</w:t>
      </w:r>
      <w:r w:rsidR="00DE7338">
        <w:t>, североизточен</w:t>
      </w:r>
      <w:r w:rsidR="00B61CEB">
        <w:rPr>
          <w:lang w:val="en-GB"/>
        </w:rPr>
        <w:t xml:space="preserve"> (</w:t>
      </w:r>
      <w:r w:rsidR="000D76BC">
        <w:rPr>
          <w:lang w:val="en-GB"/>
        </w:rPr>
        <w:t>BG33)</w:t>
      </w:r>
      <w:r w:rsidR="00DE7338">
        <w:t>, северен централен</w:t>
      </w:r>
      <w:r w:rsidR="00B61CEB">
        <w:rPr>
          <w:lang w:val="en-GB"/>
        </w:rPr>
        <w:t xml:space="preserve"> (BG32)</w:t>
      </w:r>
      <w:r w:rsidR="00DE7338">
        <w:t xml:space="preserve"> и северозападен</w:t>
      </w:r>
      <w:r w:rsidR="00B61CEB">
        <w:t xml:space="preserve"> (</w:t>
      </w:r>
      <w:r w:rsidR="00B61CEB">
        <w:rPr>
          <w:lang w:val="en-GB"/>
        </w:rPr>
        <w:t>BG31)</w:t>
      </w:r>
      <w:r w:rsidR="00866050">
        <w:t xml:space="preserve">. </w:t>
      </w:r>
      <w:r w:rsidR="00D876E9">
        <w:t xml:space="preserve">Това е регионални разделение на </w:t>
      </w:r>
      <w:r w:rsidR="00D876E9" w:rsidRPr="00D876E9">
        <w:t>райони, обособени с основна цел статистическо отчитане на териториалните единици, съгласно изискванията на Евростат.</w:t>
      </w:r>
    </w:p>
  </w:footnote>
  <w:footnote w:id="3">
    <w:p w14:paraId="613EB413" w14:textId="77777777" w:rsidR="00BA3C71" w:rsidRDefault="00BA3C71" w:rsidP="00BA3C71">
      <w:pPr>
        <w:pStyle w:val="FootnoteText"/>
      </w:pPr>
      <w:r>
        <w:rPr>
          <w:rStyle w:val="FootnoteReference"/>
        </w:rPr>
        <w:footnoteRef/>
      </w:r>
      <w:r>
        <w:t xml:space="preserve"> </w:t>
      </w:r>
      <w:r>
        <w:t xml:space="preserve">Анализ на финансови показатели може да се прави само, ако базата данни е пълна и за трите години по тези показатели. </w:t>
      </w:r>
    </w:p>
  </w:footnote>
  <w:footnote w:id="4">
    <w:p w14:paraId="3D8F3696" w14:textId="77777777" w:rsidR="00BA3C71" w:rsidRDefault="00BA3C71" w:rsidP="00BA3C71">
      <w:pPr>
        <w:pStyle w:val="FootnoteText"/>
      </w:pPr>
      <w:r>
        <w:rPr>
          <w:rStyle w:val="FootnoteReference"/>
        </w:rPr>
        <w:footnoteRef/>
      </w:r>
      <w:r>
        <w:t xml:space="preserve"> </w:t>
      </w:r>
      <w:r>
        <w:t xml:space="preserve">Както вече споменахме по-горе около между една трета и една втора от читалищата са публикували своите отчети, данните са подходящи за анализ, тъй като са на равнище отделно читалище. </w:t>
      </w:r>
    </w:p>
  </w:footnote>
  <w:footnote w:id="5">
    <w:p w14:paraId="4F719FB9" w14:textId="77777777" w:rsidR="00487916" w:rsidRDefault="00487916" w:rsidP="00487916">
      <w:pPr>
        <w:pStyle w:val="FootnoteText"/>
      </w:pPr>
      <w:r>
        <w:rPr>
          <w:rStyle w:val="FootnoteReference"/>
        </w:rPr>
        <w:footnoteRef/>
      </w:r>
      <w:r>
        <w:t xml:space="preserve"> </w:t>
      </w:r>
      <w:r>
        <w:t xml:space="preserve">Този показател е предоставен от НАП и представлява усреднен брой на сключени трудови договори за общините, включени в съответната група.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5C3E"/>
    <w:multiLevelType w:val="hybridMultilevel"/>
    <w:tmpl w:val="700040A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 w15:restartNumberingAfterBreak="0">
    <w:nsid w:val="12916D5D"/>
    <w:multiLevelType w:val="hybridMultilevel"/>
    <w:tmpl w:val="524A7C04"/>
    <w:lvl w:ilvl="0" w:tplc="A5288BA8">
      <w:numFmt w:val="bullet"/>
      <w:lvlText w:val="-"/>
      <w:lvlJc w:val="left"/>
      <w:pPr>
        <w:ind w:left="720" w:hanging="360"/>
      </w:pPr>
      <w:rPr>
        <w:rFonts w:ascii="Aptos" w:eastAsiaTheme="minorHAnsi" w:hAnsi="Aptos"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343F13E2"/>
    <w:multiLevelType w:val="hybridMultilevel"/>
    <w:tmpl w:val="5D005A2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96563736">
    <w:abstractNumId w:val="1"/>
  </w:num>
  <w:num w:numId="2" w16cid:durableId="1880777945">
    <w:abstractNumId w:val="2"/>
  </w:num>
  <w:num w:numId="3" w16cid:durableId="176345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A07"/>
    <w:rsid w:val="00002761"/>
    <w:rsid w:val="00003BD6"/>
    <w:rsid w:val="00015811"/>
    <w:rsid w:val="00016512"/>
    <w:rsid w:val="00023390"/>
    <w:rsid w:val="000267DD"/>
    <w:rsid w:val="00045083"/>
    <w:rsid w:val="00050529"/>
    <w:rsid w:val="00050E9C"/>
    <w:rsid w:val="00052178"/>
    <w:rsid w:val="000561BB"/>
    <w:rsid w:val="000617F8"/>
    <w:rsid w:val="00063386"/>
    <w:rsid w:val="000635D2"/>
    <w:rsid w:val="00063A05"/>
    <w:rsid w:val="00063E8B"/>
    <w:rsid w:val="000675F2"/>
    <w:rsid w:val="00070087"/>
    <w:rsid w:val="00072CA7"/>
    <w:rsid w:val="00077C08"/>
    <w:rsid w:val="00080C9C"/>
    <w:rsid w:val="00081E13"/>
    <w:rsid w:val="0008203A"/>
    <w:rsid w:val="00083BA7"/>
    <w:rsid w:val="00095E7E"/>
    <w:rsid w:val="000961DC"/>
    <w:rsid w:val="00096637"/>
    <w:rsid w:val="000A0457"/>
    <w:rsid w:val="000A0AB2"/>
    <w:rsid w:val="000A2A52"/>
    <w:rsid w:val="000A2ABA"/>
    <w:rsid w:val="000A537F"/>
    <w:rsid w:val="000A6C15"/>
    <w:rsid w:val="000A725F"/>
    <w:rsid w:val="000B0220"/>
    <w:rsid w:val="000C24F8"/>
    <w:rsid w:val="000C6A8B"/>
    <w:rsid w:val="000C6E9F"/>
    <w:rsid w:val="000C7472"/>
    <w:rsid w:val="000C7B01"/>
    <w:rsid w:val="000D3C18"/>
    <w:rsid w:val="000D76BC"/>
    <w:rsid w:val="000E1F2D"/>
    <w:rsid w:val="000E75D7"/>
    <w:rsid w:val="000F1C09"/>
    <w:rsid w:val="000F7F32"/>
    <w:rsid w:val="00101C3F"/>
    <w:rsid w:val="0010573A"/>
    <w:rsid w:val="00105745"/>
    <w:rsid w:val="001071DF"/>
    <w:rsid w:val="00113EE2"/>
    <w:rsid w:val="00115090"/>
    <w:rsid w:val="001155DD"/>
    <w:rsid w:val="001164B0"/>
    <w:rsid w:val="0012158C"/>
    <w:rsid w:val="00121CF3"/>
    <w:rsid w:val="0012586A"/>
    <w:rsid w:val="0012600F"/>
    <w:rsid w:val="001351FA"/>
    <w:rsid w:val="0013531F"/>
    <w:rsid w:val="00135B7C"/>
    <w:rsid w:val="001434A3"/>
    <w:rsid w:val="00144219"/>
    <w:rsid w:val="0014681A"/>
    <w:rsid w:val="001568A1"/>
    <w:rsid w:val="00163AAA"/>
    <w:rsid w:val="0017027F"/>
    <w:rsid w:val="00172DD2"/>
    <w:rsid w:val="00173939"/>
    <w:rsid w:val="00175E0C"/>
    <w:rsid w:val="00176569"/>
    <w:rsid w:val="0018062F"/>
    <w:rsid w:val="00181F7A"/>
    <w:rsid w:val="001864E8"/>
    <w:rsid w:val="00186814"/>
    <w:rsid w:val="00190527"/>
    <w:rsid w:val="00197D71"/>
    <w:rsid w:val="001A25C6"/>
    <w:rsid w:val="001A640D"/>
    <w:rsid w:val="001B014B"/>
    <w:rsid w:val="001B1EC1"/>
    <w:rsid w:val="001B39CB"/>
    <w:rsid w:val="001D06BD"/>
    <w:rsid w:val="001D11BE"/>
    <w:rsid w:val="001D2524"/>
    <w:rsid w:val="001D3FE4"/>
    <w:rsid w:val="001E183E"/>
    <w:rsid w:val="001F6E2B"/>
    <w:rsid w:val="001F7EC1"/>
    <w:rsid w:val="00200514"/>
    <w:rsid w:val="002115EA"/>
    <w:rsid w:val="0021177A"/>
    <w:rsid w:val="00212D0C"/>
    <w:rsid w:val="00217820"/>
    <w:rsid w:val="00220B0D"/>
    <w:rsid w:val="00222D3B"/>
    <w:rsid w:val="002231EC"/>
    <w:rsid w:val="002242C8"/>
    <w:rsid w:val="002244E2"/>
    <w:rsid w:val="00232231"/>
    <w:rsid w:val="00235BA4"/>
    <w:rsid w:val="002511B4"/>
    <w:rsid w:val="00251D4D"/>
    <w:rsid w:val="00255D53"/>
    <w:rsid w:val="00256050"/>
    <w:rsid w:val="002577AB"/>
    <w:rsid w:val="00264448"/>
    <w:rsid w:val="002754B1"/>
    <w:rsid w:val="002761C5"/>
    <w:rsid w:val="0028457E"/>
    <w:rsid w:val="0029597B"/>
    <w:rsid w:val="00297492"/>
    <w:rsid w:val="002A0C8D"/>
    <w:rsid w:val="002A206B"/>
    <w:rsid w:val="002A3DB2"/>
    <w:rsid w:val="002A475B"/>
    <w:rsid w:val="002A4D93"/>
    <w:rsid w:val="002B342B"/>
    <w:rsid w:val="002C14B8"/>
    <w:rsid w:val="002C6A66"/>
    <w:rsid w:val="002D17E6"/>
    <w:rsid w:val="002D1BB7"/>
    <w:rsid w:val="002D3818"/>
    <w:rsid w:val="002D60F1"/>
    <w:rsid w:val="002E1732"/>
    <w:rsid w:val="002F57A6"/>
    <w:rsid w:val="00300662"/>
    <w:rsid w:val="00302917"/>
    <w:rsid w:val="00302EA0"/>
    <w:rsid w:val="00305DF3"/>
    <w:rsid w:val="003113D4"/>
    <w:rsid w:val="00320A76"/>
    <w:rsid w:val="0032563A"/>
    <w:rsid w:val="00325C21"/>
    <w:rsid w:val="0033157B"/>
    <w:rsid w:val="0033499D"/>
    <w:rsid w:val="00337DA7"/>
    <w:rsid w:val="003450D0"/>
    <w:rsid w:val="00352D04"/>
    <w:rsid w:val="003559C4"/>
    <w:rsid w:val="00363C74"/>
    <w:rsid w:val="0037085E"/>
    <w:rsid w:val="00373601"/>
    <w:rsid w:val="00374BA5"/>
    <w:rsid w:val="00375F66"/>
    <w:rsid w:val="00380EEF"/>
    <w:rsid w:val="003836BD"/>
    <w:rsid w:val="003901C4"/>
    <w:rsid w:val="00392475"/>
    <w:rsid w:val="00394A1D"/>
    <w:rsid w:val="003B6A81"/>
    <w:rsid w:val="003C1DEF"/>
    <w:rsid w:val="003D3181"/>
    <w:rsid w:val="003D54B1"/>
    <w:rsid w:val="003E69B4"/>
    <w:rsid w:val="003E6EB4"/>
    <w:rsid w:val="003F273B"/>
    <w:rsid w:val="00417AC3"/>
    <w:rsid w:val="00420AC4"/>
    <w:rsid w:val="0043379D"/>
    <w:rsid w:val="00440914"/>
    <w:rsid w:val="00441A72"/>
    <w:rsid w:val="004458DA"/>
    <w:rsid w:val="0045110A"/>
    <w:rsid w:val="0046113B"/>
    <w:rsid w:val="00465032"/>
    <w:rsid w:val="00465E7D"/>
    <w:rsid w:val="00487916"/>
    <w:rsid w:val="004900D0"/>
    <w:rsid w:val="0049262C"/>
    <w:rsid w:val="004A2D27"/>
    <w:rsid w:val="004A34D9"/>
    <w:rsid w:val="004B35CF"/>
    <w:rsid w:val="004B51A2"/>
    <w:rsid w:val="004B541E"/>
    <w:rsid w:val="004C43AF"/>
    <w:rsid w:val="004C5736"/>
    <w:rsid w:val="004C59DD"/>
    <w:rsid w:val="004C6036"/>
    <w:rsid w:val="004C636A"/>
    <w:rsid w:val="004D0F96"/>
    <w:rsid w:val="004D1CBA"/>
    <w:rsid w:val="004D5458"/>
    <w:rsid w:val="004D69B5"/>
    <w:rsid w:val="004E4435"/>
    <w:rsid w:val="004F1083"/>
    <w:rsid w:val="004F1AB5"/>
    <w:rsid w:val="004F59ED"/>
    <w:rsid w:val="004F6267"/>
    <w:rsid w:val="004F7530"/>
    <w:rsid w:val="00502E76"/>
    <w:rsid w:val="00507416"/>
    <w:rsid w:val="005122C7"/>
    <w:rsid w:val="00514A7E"/>
    <w:rsid w:val="00514E30"/>
    <w:rsid w:val="00517320"/>
    <w:rsid w:val="00523CE3"/>
    <w:rsid w:val="00525CBB"/>
    <w:rsid w:val="00526D1E"/>
    <w:rsid w:val="00530B6B"/>
    <w:rsid w:val="00530C5B"/>
    <w:rsid w:val="0053155D"/>
    <w:rsid w:val="005322F9"/>
    <w:rsid w:val="00532511"/>
    <w:rsid w:val="00532A44"/>
    <w:rsid w:val="00534A07"/>
    <w:rsid w:val="00535636"/>
    <w:rsid w:val="0053605F"/>
    <w:rsid w:val="005459A6"/>
    <w:rsid w:val="0054731A"/>
    <w:rsid w:val="005537EA"/>
    <w:rsid w:val="005667B9"/>
    <w:rsid w:val="00571911"/>
    <w:rsid w:val="00583761"/>
    <w:rsid w:val="00583907"/>
    <w:rsid w:val="00590DE3"/>
    <w:rsid w:val="005A1BB5"/>
    <w:rsid w:val="005A2DD2"/>
    <w:rsid w:val="005A6332"/>
    <w:rsid w:val="005A658F"/>
    <w:rsid w:val="005C039E"/>
    <w:rsid w:val="005C157F"/>
    <w:rsid w:val="005C64C1"/>
    <w:rsid w:val="005D24B9"/>
    <w:rsid w:val="005D5AA0"/>
    <w:rsid w:val="005D5CF5"/>
    <w:rsid w:val="005E10C9"/>
    <w:rsid w:val="005F0A81"/>
    <w:rsid w:val="005F1970"/>
    <w:rsid w:val="005F6080"/>
    <w:rsid w:val="005F7982"/>
    <w:rsid w:val="0060414C"/>
    <w:rsid w:val="00605D01"/>
    <w:rsid w:val="00613A63"/>
    <w:rsid w:val="006144F9"/>
    <w:rsid w:val="00617D34"/>
    <w:rsid w:val="00617DA2"/>
    <w:rsid w:val="00620837"/>
    <w:rsid w:val="00620D88"/>
    <w:rsid w:val="006225D6"/>
    <w:rsid w:val="00624001"/>
    <w:rsid w:val="00626277"/>
    <w:rsid w:val="00636BFB"/>
    <w:rsid w:val="00637AF4"/>
    <w:rsid w:val="0064460E"/>
    <w:rsid w:val="0064499B"/>
    <w:rsid w:val="00653434"/>
    <w:rsid w:val="00654505"/>
    <w:rsid w:val="00657FD8"/>
    <w:rsid w:val="00664546"/>
    <w:rsid w:val="0067289E"/>
    <w:rsid w:val="006749A8"/>
    <w:rsid w:val="006826FD"/>
    <w:rsid w:val="00685FC4"/>
    <w:rsid w:val="0069277E"/>
    <w:rsid w:val="00693CD6"/>
    <w:rsid w:val="00695220"/>
    <w:rsid w:val="00696278"/>
    <w:rsid w:val="006A5D85"/>
    <w:rsid w:val="006B4B7B"/>
    <w:rsid w:val="006C058A"/>
    <w:rsid w:val="006C5025"/>
    <w:rsid w:val="006C5F88"/>
    <w:rsid w:val="006D1392"/>
    <w:rsid w:val="006D530E"/>
    <w:rsid w:val="006E161C"/>
    <w:rsid w:val="006E5FBE"/>
    <w:rsid w:val="006F6DE1"/>
    <w:rsid w:val="007024E4"/>
    <w:rsid w:val="00702819"/>
    <w:rsid w:val="007029D2"/>
    <w:rsid w:val="00704332"/>
    <w:rsid w:val="007159C4"/>
    <w:rsid w:val="00722685"/>
    <w:rsid w:val="00727C9B"/>
    <w:rsid w:val="00732150"/>
    <w:rsid w:val="007354FE"/>
    <w:rsid w:val="00736560"/>
    <w:rsid w:val="0075060A"/>
    <w:rsid w:val="00756006"/>
    <w:rsid w:val="007632C6"/>
    <w:rsid w:val="007657E5"/>
    <w:rsid w:val="0076741C"/>
    <w:rsid w:val="00794241"/>
    <w:rsid w:val="00796230"/>
    <w:rsid w:val="00796832"/>
    <w:rsid w:val="007A3683"/>
    <w:rsid w:val="007A4A70"/>
    <w:rsid w:val="007B4BE5"/>
    <w:rsid w:val="007B54AE"/>
    <w:rsid w:val="007B5B29"/>
    <w:rsid w:val="007C0F5B"/>
    <w:rsid w:val="007D09D9"/>
    <w:rsid w:val="007D2647"/>
    <w:rsid w:val="007D3A80"/>
    <w:rsid w:val="007D4FE3"/>
    <w:rsid w:val="007E1233"/>
    <w:rsid w:val="007E2BA8"/>
    <w:rsid w:val="007F2560"/>
    <w:rsid w:val="007F41EE"/>
    <w:rsid w:val="007F5833"/>
    <w:rsid w:val="008012B7"/>
    <w:rsid w:val="00801AD7"/>
    <w:rsid w:val="00801E76"/>
    <w:rsid w:val="00803BB0"/>
    <w:rsid w:val="00805EF5"/>
    <w:rsid w:val="00806144"/>
    <w:rsid w:val="008131BB"/>
    <w:rsid w:val="008142B2"/>
    <w:rsid w:val="00814DB4"/>
    <w:rsid w:val="00830C91"/>
    <w:rsid w:val="00831ED2"/>
    <w:rsid w:val="0083610E"/>
    <w:rsid w:val="00844A54"/>
    <w:rsid w:val="008502F9"/>
    <w:rsid w:val="0085164A"/>
    <w:rsid w:val="00851BE8"/>
    <w:rsid w:val="00851D5A"/>
    <w:rsid w:val="008531AF"/>
    <w:rsid w:val="0085496F"/>
    <w:rsid w:val="00854CC2"/>
    <w:rsid w:val="00856EA4"/>
    <w:rsid w:val="00862F8C"/>
    <w:rsid w:val="00865E66"/>
    <w:rsid w:val="00866050"/>
    <w:rsid w:val="00870F6B"/>
    <w:rsid w:val="008728E5"/>
    <w:rsid w:val="00873F36"/>
    <w:rsid w:val="008761EE"/>
    <w:rsid w:val="00877AE2"/>
    <w:rsid w:val="00884076"/>
    <w:rsid w:val="00884778"/>
    <w:rsid w:val="00884D5A"/>
    <w:rsid w:val="00885FAB"/>
    <w:rsid w:val="00887856"/>
    <w:rsid w:val="00894535"/>
    <w:rsid w:val="00895C5E"/>
    <w:rsid w:val="008A293E"/>
    <w:rsid w:val="008B4E43"/>
    <w:rsid w:val="008C044A"/>
    <w:rsid w:val="008C3DB0"/>
    <w:rsid w:val="008C502E"/>
    <w:rsid w:val="008C54AD"/>
    <w:rsid w:val="008D05D6"/>
    <w:rsid w:val="008D0F7B"/>
    <w:rsid w:val="008D1B85"/>
    <w:rsid w:val="008D2F77"/>
    <w:rsid w:val="008D327F"/>
    <w:rsid w:val="008D5531"/>
    <w:rsid w:val="008D67C4"/>
    <w:rsid w:val="008E12F4"/>
    <w:rsid w:val="008E2213"/>
    <w:rsid w:val="008E5668"/>
    <w:rsid w:val="008E77F4"/>
    <w:rsid w:val="008F2CE4"/>
    <w:rsid w:val="008F2E95"/>
    <w:rsid w:val="008F3761"/>
    <w:rsid w:val="00904472"/>
    <w:rsid w:val="00910905"/>
    <w:rsid w:val="009154C8"/>
    <w:rsid w:val="00916074"/>
    <w:rsid w:val="0091743D"/>
    <w:rsid w:val="00917874"/>
    <w:rsid w:val="00926DE2"/>
    <w:rsid w:val="00930FC0"/>
    <w:rsid w:val="00931FE4"/>
    <w:rsid w:val="0093250F"/>
    <w:rsid w:val="00935EF5"/>
    <w:rsid w:val="0093638B"/>
    <w:rsid w:val="0095708F"/>
    <w:rsid w:val="0096039F"/>
    <w:rsid w:val="009644D2"/>
    <w:rsid w:val="00967D37"/>
    <w:rsid w:val="00975F51"/>
    <w:rsid w:val="00980AC5"/>
    <w:rsid w:val="0098714F"/>
    <w:rsid w:val="00994644"/>
    <w:rsid w:val="009949DF"/>
    <w:rsid w:val="00997243"/>
    <w:rsid w:val="009B2717"/>
    <w:rsid w:val="009B2882"/>
    <w:rsid w:val="009B3A3C"/>
    <w:rsid w:val="009B5D29"/>
    <w:rsid w:val="009C0FF2"/>
    <w:rsid w:val="009C7B13"/>
    <w:rsid w:val="009E0A00"/>
    <w:rsid w:val="009E624C"/>
    <w:rsid w:val="009E6508"/>
    <w:rsid w:val="009E678A"/>
    <w:rsid w:val="009F2259"/>
    <w:rsid w:val="00A037BC"/>
    <w:rsid w:val="00A13F4D"/>
    <w:rsid w:val="00A233EB"/>
    <w:rsid w:val="00A23D8C"/>
    <w:rsid w:val="00A368B9"/>
    <w:rsid w:val="00A36A08"/>
    <w:rsid w:val="00A41B6F"/>
    <w:rsid w:val="00A458C5"/>
    <w:rsid w:val="00A52DE3"/>
    <w:rsid w:val="00A549C0"/>
    <w:rsid w:val="00A600FE"/>
    <w:rsid w:val="00A63E9F"/>
    <w:rsid w:val="00A710AC"/>
    <w:rsid w:val="00A71F5F"/>
    <w:rsid w:val="00A72169"/>
    <w:rsid w:val="00A72E25"/>
    <w:rsid w:val="00A7433F"/>
    <w:rsid w:val="00A80135"/>
    <w:rsid w:val="00A814C5"/>
    <w:rsid w:val="00A81C7B"/>
    <w:rsid w:val="00A8408B"/>
    <w:rsid w:val="00A85D0F"/>
    <w:rsid w:val="00A974F0"/>
    <w:rsid w:val="00AA7C86"/>
    <w:rsid w:val="00AB55BD"/>
    <w:rsid w:val="00AB7D47"/>
    <w:rsid w:val="00AC261E"/>
    <w:rsid w:val="00AC562C"/>
    <w:rsid w:val="00AC5B3A"/>
    <w:rsid w:val="00AC77F9"/>
    <w:rsid w:val="00AD5E07"/>
    <w:rsid w:val="00AD74EA"/>
    <w:rsid w:val="00AF1DAD"/>
    <w:rsid w:val="00B06C17"/>
    <w:rsid w:val="00B15F30"/>
    <w:rsid w:val="00B16149"/>
    <w:rsid w:val="00B16844"/>
    <w:rsid w:val="00B171D6"/>
    <w:rsid w:val="00B22406"/>
    <w:rsid w:val="00B24B6A"/>
    <w:rsid w:val="00B25E2E"/>
    <w:rsid w:val="00B26619"/>
    <w:rsid w:val="00B27504"/>
    <w:rsid w:val="00B31A21"/>
    <w:rsid w:val="00B32847"/>
    <w:rsid w:val="00B34B2F"/>
    <w:rsid w:val="00B4267A"/>
    <w:rsid w:val="00B504B1"/>
    <w:rsid w:val="00B55D97"/>
    <w:rsid w:val="00B57241"/>
    <w:rsid w:val="00B61CEB"/>
    <w:rsid w:val="00B63B7D"/>
    <w:rsid w:val="00B64B4E"/>
    <w:rsid w:val="00B67839"/>
    <w:rsid w:val="00B70978"/>
    <w:rsid w:val="00B74C65"/>
    <w:rsid w:val="00B87CC1"/>
    <w:rsid w:val="00B93CA8"/>
    <w:rsid w:val="00B959F4"/>
    <w:rsid w:val="00BA05AA"/>
    <w:rsid w:val="00BA3C71"/>
    <w:rsid w:val="00BB3B9F"/>
    <w:rsid w:val="00BB7A46"/>
    <w:rsid w:val="00BC4F8F"/>
    <w:rsid w:val="00BD2B0B"/>
    <w:rsid w:val="00BD62C2"/>
    <w:rsid w:val="00BE0D93"/>
    <w:rsid w:val="00C02016"/>
    <w:rsid w:val="00C078AE"/>
    <w:rsid w:val="00C135DC"/>
    <w:rsid w:val="00C13EE4"/>
    <w:rsid w:val="00C1639F"/>
    <w:rsid w:val="00C16FAE"/>
    <w:rsid w:val="00C27127"/>
    <w:rsid w:val="00C2793D"/>
    <w:rsid w:val="00C30BC0"/>
    <w:rsid w:val="00C443FD"/>
    <w:rsid w:val="00C45158"/>
    <w:rsid w:val="00C45D1A"/>
    <w:rsid w:val="00C45E95"/>
    <w:rsid w:val="00C50DBB"/>
    <w:rsid w:val="00C5146E"/>
    <w:rsid w:val="00C52FCD"/>
    <w:rsid w:val="00C56B91"/>
    <w:rsid w:val="00C75831"/>
    <w:rsid w:val="00C84E0F"/>
    <w:rsid w:val="00C84F06"/>
    <w:rsid w:val="00C85A7B"/>
    <w:rsid w:val="00C86E8C"/>
    <w:rsid w:val="00C90A7C"/>
    <w:rsid w:val="00C9443A"/>
    <w:rsid w:val="00C9484D"/>
    <w:rsid w:val="00C951BE"/>
    <w:rsid w:val="00C95D37"/>
    <w:rsid w:val="00C97992"/>
    <w:rsid w:val="00CB7364"/>
    <w:rsid w:val="00CB74CF"/>
    <w:rsid w:val="00CD327E"/>
    <w:rsid w:val="00CD3DC2"/>
    <w:rsid w:val="00CD6A6E"/>
    <w:rsid w:val="00CD7B15"/>
    <w:rsid w:val="00CE202A"/>
    <w:rsid w:val="00CE4656"/>
    <w:rsid w:val="00CF2508"/>
    <w:rsid w:val="00CF307A"/>
    <w:rsid w:val="00CF366B"/>
    <w:rsid w:val="00D028FA"/>
    <w:rsid w:val="00D05218"/>
    <w:rsid w:val="00D11776"/>
    <w:rsid w:val="00D130B2"/>
    <w:rsid w:val="00D176BB"/>
    <w:rsid w:val="00D33DAB"/>
    <w:rsid w:val="00D40EF2"/>
    <w:rsid w:val="00D451BF"/>
    <w:rsid w:val="00D463C3"/>
    <w:rsid w:val="00D51BB0"/>
    <w:rsid w:val="00D5611A"/>
    <w:rsid w:val="00D57F64"/>
    <w:rsid w:val="00D60107"/>
    <w:rsid w:val="00D7067E"/>
    <w:rsid w:val="00D7529E"/>
    <w:rsid w:val="00D760E2"/>
    <w:rsid w:val="00D811C6"/>
    <w:rsid w:val="00D825E1"/>
    <w:rsid w:val="00D87291"/>
    <w:rsid w:val="00D876E9"/>
    <w:rsid w:val="00DA5EC5"/>
    <w:rsid w:val="00DA6AF3"/>
    <w:rsid w:val="00DB77E1"/>
    <w:rsid w:val="00DC18AD"/>
    <w:rsid w:val="00DC3669"/>
    <w:rsid w:val="00DC4C26"/>
    <w:rsid w:val="00DE2803"/>
    <w:rsid w:val="00DE5B92"/>
    <w:rsid w:val="00DE62D1"/>
    <w:rsid w:val="00DE7338"/>
    <w:rsid w:val="00DF015B"/>
    <w:rsid w:val="00DF6F17"/>
    <w:rsid w:val="00DF7D16"/>
    <w:rsid w:val="00E11138"/>
    <w:rsid w:val="00E20608"/>
    <w:rsid w:val="00E32696"/>
    <w:rsid w:val="00E3341B"/>
    <w:rsid w:val="00E443F4"/>
    <w:rsid w:val="00E45328"/>
    <w:rsid w:val="00E4768E"/>
    <w:rsid w:val="00E575DB"/>
    <w:rsid w:val="00E62817"/>
    <w:rsid w:val="00E64052"/>
    <w:rsid w:val="00E6470F"/>
    <w:rsid w:val="00E701C0"/>
    <w:rsid w:val="00E7525D"/>
    <w:rsid w:val="00E7556F"/>
    <w:rsid w:val="00E7614C"/>
    <w:rsid w:val="00E82693"/>
    <w:rsid w:val="00E847A0"/>
    <w:rsid w:val="00E84E51"/>
    <w:rsid w:val="00EA7333"/>
    <w:rsid w:val="00EB31D3"/>
    <w:rsid w:val="00EB69E8"/>
    <w:rsid w:val="00EB7B6E"/>
    <w:rsid w:val="00EC0499"/>
    <w:rsid w:val="00EC265F"/>
    <w:rsid w:val="00EC48EC"/>
    <w:rsid w:val="00ED4487"/>
    <w:rsid w:val="00ED69D2"/>
    <w:rsid w:val="00ED6BDC"/>
    <w:rsid w:val="00ED72D0"/>
    <w:rsid w:val="00ED7FEE"/>
    <w:rsid w:val="00EE0BA6"/>
    <w:rsid w:val="00EE5517"/>
    <w:rsid w:val="00EE6C28"/>
    <w:rsid w:val="00F066EF"/>
    <w:rsid w:val="00F13404"/>
    <w:rsid w:val="00F13D8E"/>
    <w:rsid w:val="00F15070"/>
    <w:rsid w:val="00F1563A"/>
    <w:rsid w:val="00F20C71"/>
    <w:rsid w:val="00F24BEC"/>
    <w:rsid w:val="00F314E1"/>
    <w:rsid w:val="00F330BF"/>
    <w:rsid w:val="00F33177"/>
    <w:rsid w:val="00F3329A"/>
    <w:rsid w:val="00F33661"/>
    <w:rsid w:val="00F34285"/>
    <w:rsid w:val="00F35A0D"/>
    <w:rsid w:val="00F372DB"/>
    <w:rsid w:val="00F40853"/>
    <w:rsid w:val="00F45AD8"/>
    <w:rsid w:val="00F514C0"/>
    <w:rsid w:val="00F51CDF"/>
    <w:rsid w:val="00F53EE5"/>
    <w:rsid w:val="00F576E4"/>
    <w:rsid w:val="00F66005"/>
    <w:rsid w:val="00F666EB"/>
    <w:rsid w:val="00F668FF"/>
    <w:rsid w:val="00F74E94"/>
    <w:rsid w:val="00F7603C"/>
    <w:rsid w:val="00F77CB9"/>
    <w:rsid w:val="00F84B42"/>
    <w:rsid w:val="00F95117"/>
    <w:rsid w:val="00F9601F"/>
    <w:rsid w:val="00F978C6"/>
    <w:rsid w:val="00F97C03"/>
    <w:rsid w:val="00FA1678"/>
    <w:rsid w:val="00FA2B13"/>
    <w:rsid w:val="00FA4BB9"/>
    <w:rsid w:val="00FA66D6"/>
    <w:rsid w:val="00FB579C"/>
    <w:rsid w:val="00FC088E"/>
    <w:rsid w:val="00FC2721"/>
    <w:rsid w:val="00FC3DA8"/>
    <w:rsid w:val="00FC47B9"/>
    <w:rsid w:val="00FC5DFF"/>
    <w:rsid w:val="00FC6B83"/>
    <w:rsid w:val="00FD0076"/>
    <w:rsid w:val="00FD7038"/>
    <w:rsid w:val="00FE29CB"/>
    <w:rsid w:val="00FE2EAD"/>
    <w:rsid w:val="00FF205C"/>
    <w:rsid w:val="00FF5825"/>
    <w:rsid w:val="00FF5CF9"/>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1D55"/>
  <w15:chartTrackingRefBased/>
  <w15:docId w15:val="{9502C060-7C50-4560-9D98-5873FD1C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4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A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A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A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A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A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A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A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4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A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A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A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A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A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A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A07"/>
    <w:rPr>
      <w:rFonts w:eastAsiaTheme="majorEastAsia" w:cstheme="majorBidi"/>
      <w:color w:val="272727" w:themeColor="text1" w:themeTint="D8"/>
    </w:rPr>
  </w:style>
  <w:style w:type="paragraph" w:styleId="Title">
    <w:name w:val="Title"/>
    <w:basedOn w:val="Normal"/>
    <w:next w:val="Normal"/>
    <w:link w:val="TitleChar"/>
    <w:uiPriority w:val="10"/>
    <w:qFormat/>
    <w:rsid w:val="00534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A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A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A07"/>
    <w:pPr>
      <w:spacing w:before="160"/>
      <w:jc w:val="center"/>
    </w:pPr>
    <w:rPr>
      <w:i/>
      <w:iCs/>
      <w:color w:val="404040" w:themeColor="text1" w:themeTint="BF"/>
    </w:rPr>
  </w:style>
  <w:style w:type="character" w:customStyle="1" w:styleId="QuoteChar">
    <w:name w:val="Quote Char"/>
    <w:basedOn w:val="DefaultParagraphFont"/>
    <w:link w:val="Quote"/>
    <w:uiPriority w:val="29"/>
    <w:rsid w:val="00534A07"/>
    <w:rPr>
      <w:i/>
      <w:iCs/>
      <w:color w:val="404040" w:themeColor="text1" w:themeTint="BF"/>
    </w:rPr>
  </w:style>
  <w:style w:type="paragraph" w:styleId="ListParagraph">
    <w:name w:val="List Paragraph"/>
    <w:basedOn w:val="Normal"/>
    <w:uiPriority w:val="34"/>
    <w:qFormat/>
    <w:rsid w:val="00534A07"/>
    <w:pPr>
      <w:ind w:left="720"/>
      <w:contextualSpacing/>
    </w:pPr>
  </w:style>
  <w:style w:type="character" w:styleId="IntenseEmphasis">
    <w:name w:val="Intense Emphasis"/>
    <w:basedOn w:val="DefaultParagraphFont"/>
    <w:uiPriority w:val="21"/>
    <w:qFormat/>
    <w:rsid w:val="00534A07"/>
    <w:rPr>
      <w:i/>
      <w:iCs/>
      <w:color w:val="0F4761" w:themeColor="accent1" w:themeShade="BF"/>
    </w:rPr>
  </w:style>
  <w:style w:type="paragraph" w:styleId="IntenseQuote">
    <w:name w:val="Intense Quote"/>
    <w:basedOn w:val="Normal"/>
    <w:next w:val="Normal"/>
    <w:link w:val="IntenseQuoteChar"/>
    <w:uiPriority w:val="30"/>
    <w:qFormat/>
    <w:rsid w:val="00534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A07"/>
    <w:rPr>
      <w:i/>
      <w:iCs/>
      <w:color w:val="0F4761" w:themeColor="accent1" w:themeShade="BF"/>
    </w:rPr>
  </w:style>
  <w:style w:type="character" w:styleId="IntenseReference">
    <w:name w:val="Intense Reference"/>
    <w:basedOn w:val="DefaultParagraphFont"/>
    <w:uiPriority w:val="32"/>
    <w:qFormat/>
    <w:rsid w:val="00534A07"/>
    <w:rPr>
      <w:b/>
      <w:bCs/>
      <w:smallCaps/>
      <w:color w:val="0F4761" w:themeColor="accent1" w:themeShade="BF"/>
      <w:spacing w:val="5"/>
    </w:rPr>
  </w:style>
  <w:style w:type="paragraph" w:styleId="FootnoteText">
    <w:name w:val="footnote text"/>
    <w:basedOn w:val="Normal"/>
    <w:link w:val="FootnoteTextChar"/>
    <w:uiPriority w:val="99"/>
    <w:semiHidden/>
    <w:unhideWhenUsed/>
    <w:rsid w:val="004900D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00D0"/>
    <w:rPr>
      <w:sz w:val="20"/>
      <w:szCs w:val="20"/>
    </w:rPr>
  </w:style>
  <w:style w:type="character" w:styleId="FootnoteReference">
    <w:name w:val="footnote reference"/>
    <w:basedOn w:val="DefaultParagraphFont"/>
    <w:uiPriority w:val="99"/>
    <w:semiHidden/>
    <w:unhideWhenUsed/>
    <w:rsid w:val="004900D0"/>
    <w:rPr>
      <w:vertAlign w:val="superscript"/>
    </w:rPr>
  </w:style>
  <w:style w:type="character" w:styleId="Hyperlink">
    <w:name w:val="Hyperlink"/>
    <w:basedOn w:val="DefaultParagraphFont"/>
    <w:uiPriority w:val="99"/>
    <w:unhideWhenUsed/>
    <w:rsid w:val="008D67C4"/>
    <w:rPr>
      <w:color w:val="467886" w:themeColor="hyperlink"/>
      <w:u w:val="single"/>
    </w:rPr>
  </w:style>
  <w:style w:type="character" w:styleId="UnresolvedMention">
    <w:name w:val="Unresolved Mention"/>
    <w:basedOn w:val="DefaultParagraphFont"/>
    <w:uiPriority w:val="99"/>
    <w:semiHidden/>
    <w:unhideWhenUsed/>
    <w:rsid w:val="008D67C4"/>
    <w:rPr>
      <w:color w:val="605E5C"/>
      <w:shd w:val="clear" w:color="auto" w:fill="E1DFDD"/>
    </w:rPr>
  </w:style>
  <w:style w:type="paragraph" w:styleId="Revision">
    <w:name w:val="Revision"/>
    <w:hidden/>
    <w:uiPriority w:val="99"/>
    <w:semiHidden/>
    <w:rsid w:val="0012158C"/>
    <w:pPr>
      <w:spacing w:after="0" w:line="240" w:lineRule="auto"/>
    </w:pPr>
  </w:style>
  <w:style w:type="character" w:styleId="CommentReference">
    <w:name w:val="annotation reference"/>
    <w:basedOn w:val="DefaultParagraphFont"/>
    <w:uiPriority w:val="99"/>
    <w:semiHidden/>
    <w:unhideWhenUsed/>
    <w:rsid w:val="00F45AD8"/>
    <w:rPr>
      <w:sz w:val="16"/>
      <w:szCs w:val="16"/>
    </w:rPr>
  </w:style>
  <w:style w:type="paragraph" w:styleId="CommentText">
    <w:name w:val="annotation text"/>
    <w:basedOn w:val="Normal"/>
    <w:link w:val="CommentTextChar"/>
    <w:uiPriority w:val="99"/>
    <w:unhideWhenUsed/>
    <w:rsid w:val="00F45AD8"/>
    <w:pPr>
      <w:spacing w:line="240" w:lineRule="auto"/>
    </w:pPr>
    <w:rPr>
      <w:sz w:val="20"/>
      <w:szCs w:val="20"/>
    </w:rPr>
  </w:style>
  <w:style w:type="character" w:customStyle="1" w:styleId="CommentTextChar">
    <w:name w:val="Comment Text Char"/>
    <w:basedOn w:val="DefaultParagraphFont"/>
    <w:link w:val="CommentText"/>
    <w:uiPriority w:val="99"/>
    <w:rsid w:val="00F45AD8"/>
    <w:rPr>
      <w:sz w:val="20"/>
      <w:szCs w:val="20"/>
    </w:rPr>
  </w:style>
  <w:style w:type="paragraph" w:styleId="CommentSubject">
    <w:name w:val="annotation subject"/>
    <w:basedOn w:val="CommentText"/>
    <w:next w:val="CommentText"/>
    <w:link w:val="CommentSubjectChar"/>
    <w:uiPriority w:val="99"/>
    <w:semiHidden/>
    <w:unhideWhenUsed/>
    <w:rsid w:val="00F45AD8"/>
    <w:rPr>
      <w:b/>
      <w:bCs/>
    </w:rPr>
  </w:style>
  <w:style w:type="character" w:customStyle="1" w:styleId="CommentSubjectChar">
    <w:name w:val="Comment Subject Char"/>
    <w:basedOn w:val="CommentTextChar"/>
    <w:link w:val="CommentSubject"/>
    <w:uiPriority w:val="99"/>
    <w:semiHidden/>
    <w:rsid w:val="00F45AD8"/>
    <w:rPr>
      <w:b/>
      <w:bCs/>
      <w:sz w:val="20"/>
      <w:szCs w:val="20"/>
    </w:rPr>
  </w:style>
  <w:style w:type="paragraph" w:styleId="Header">
    <w:name w:val="header"/>
    <w:basedOn w:val="Normal"/>
    <w:link w:val="HeaderChar"/>
    <w:uiPriority w:val="99"/>
    <w:unhideWhenUsed/>
    <w:rsid w:val="00F24B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BEC"/>
  </w:style>
  <w:style w:type="paragraph" w:styleId="Footer">
    <w:name w:val="footer"/>
    <w:basedOn w:val="Normal"/>
    <w:link w:val="FooterChar"/>
    <w:uiPriority w:val="99"/>
    <w:unhideWhenUsed/>
    <w:rsid w:val="00F24B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BEC"/>
  </w:style>
  <w:style w:type="paragraph" w:styleId="TOCHeading">
    <w:name w:val="TOC Heading"/>
    <w:basedOn w:val="Heading1"/>
    <w:next w:val="Normal"/>
    <w:uiPriority w:val="39"/>
    <w:unhideWhenUsed/>
    <w:qFormat/>
    <w:rsid w:val="00FC088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C088E"/>
    <w:pPr>
      <w:spacing w:after="100"/>
    </w:pPr>
  </w:style>
  <w:style w:type="paragraph" w:styleId="TOC2">
    <w:name w:val="toc 2"/>
    <w:basedOn w:val="Normal"/>
    <w:next w:val="Normal"/>
    <w:autoRedefine/>
    <w:uiPriority w:val="39"/>
    <w:unhideWhenUsed/>
    <w:rsid w:val="00FC088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9" Type="http://schemas.openxmlformats.org/officeDocument/2006/relationships/chart" Target="charts/chart29.xml"/><Relationship Id="rId21" Type="http://schemas.openxmlformats.org/officeDocument/2006/relationships/chart" Target="charts/chart11.xml"/><Relationship Id="rId34" Type="http://schemas.openxmlformats.org/officeDocument/2006/relationships/chart" Target="charts/chart24.xml"/><Relationship Id="rId42" Type="http://schemas.openxmlformats.org/officeDocument/2006/relationships/chart" Target="charts/chart32.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hart" Target="charts/chart6.xml"/><Relationship Id="rId29" Type="http://schemas.openxmlformats.org/officeDocument/2006/relationships/chart" Target="charts/chart1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chart" Target="charts/chart14.xml"/><Relationship Id="rId32" Type="http://schemas.openxmlformats.org/officeDocument/2006/relationships/chart" Target="charts/chart22.xml"/><Relationship Id="rId37" Type="http://schemas.openxmlformats.org/officeDocument/2006/relationships/chart" Target="charts/chart27.xml"/><Relationship Id="rId40" Type="http://schemas.openxmlformats.org/officeDocument/2006/relationships/chart" Target="charts/chart30.xml"/><Relationship Id="rId45" Type="http://schemas.openxmlformats.org/officeDocument/2006/relationships/chart" Target="charts/chart35.xml"/><Relationship Id="rId5" Type="http://schemas.openxmlformats.org/officeDocument/2006/relationships/numbering" Target="numbering.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chart" Target="charts/chart18.xml"/><Relationship Id="rId36" Type="http://schemas.openxmlformats.org/officeDocument/2006/relationships/chart" Target="charts/chart26.xml"/><Relationship Id="rId10" Type="http://schemas.openxmlformats.org/officeDocument/2006/relationships/endnotes" Target="endnotes.xml"/><Relationship Id="rId19" Type="http://schemas.openxmlformats.org/officeDocument/2006/relationships/chart" Target="charts/chart9.xml"/><Relationship Id="rId31" Type="http://schemas.openxmlformats.org/officeDocument/2006/relationships/chart" Target="charts/chart21.xml"/><Relationship Id="rId44" Type="http://schemas.openxmlformats.org/officeDocument/2006/relationships/chart" Target="charts/chart3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chart" Target="charts/chart20.xml"/><Relationship Id="rId35" Type="http://schemas.openxmlformats.org/officeDocument/2006/relationships/chart" Target="charts/chart25.xml"/><Relationship Id="rId43" Type="http://schemas.openxmlformats.org/officeDocument/2006/relationships/chart" Target="charts/chart33.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33" Type="http://schemas.openxmlformats.org/officeDocument/2006/relationships/chart" Target="charts/chart23.xml"/><Relationship Id="rId38" Type="http://schemas.openxmlformats.org/officeDocument/2006/relationships/chart" Target="charts/chart28.xml"/><Relationship Id="rId46" Type="http://schemas.openxmlformats.org/officeDocument/2006/relationships/footer" Target="footer1.xml"/><Relationship Id="rId20" Type="http://schemas.openxmlformats.org/officeDocument/2006/relationships/chart" Target="charts/chart10.xml"/><Relationship Id="rId41" Type="http://schemas.openxmlformats.org/officeDocument/2006/relationships/chart" Target="charts/chart31.xml"/></Relationships>
</file>

<file path=word/_rels/footnotes.xml.rels><?xml version="1.0" encoding="UTF-8" standalone="yes"?>
<Relationships xmlns="http://schemas.openxmlformats.org/package/2006/relationships"><Relationship Id="rId1" Type="http://schemas.openxmlformats.org/officeDocument/2006/relationships/hyperlink" Target="https://www.mrrb.bg/bg/kategorizaciya-na-administrativno-teritorialnite-i-teritorialnite-edinici/"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https://ime2025.sharepoint.com/sites/CommonFiles/Shared%20Documents/Petya/MISC/Chit.xlsx" TargetMode="External"/><Relationship Id="rId2" Type="http://schemas.microsoft.com/office/2011/relationships/chartColorStyle" Target="colors35.xml"/><Relationship Id="rId1" Type="http://schemas.microsoft.com/office/2011/relationships/chartStyle" Target="style3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 на читалищата според местоположението, 2023 г. </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0.24502453598309917"/>
          <c:y val="0.21140369648915835"/>
          <c:w val="0.52732835595193295"/>
          <c:h val="0.5554872683963199"/>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85F-4C6F-9162-E6AF633DF27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85F-4C6F-9162-E6AF633DF27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dLblPos val="outEnd"/>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Sheet1!$B$13:$B$14</c:f>
              <c:strCache>
                <c:ptCount val="2"/>
                <c:pt idx="0">
                  <c:v>ГРАД</c:v>
                </c:pt>
                <c:pt idx="1">
                  <c:v>СЕЛО</c:v>
                </c:pt>
              </c:strCache>
            </c:strRef>
          </c:cat>
          <c:val>
            <c:numRef>
              <c:f>Sheet1!$C$13:$C$14</c:f>
              <c:numCache>
                <c:formatCode>General</c:formatCode>
                <c:ptCount val="2"/>
                <c:pt idx="0">
                  <c:v>743</c:v>
                </c:pt>
                <c:pt idx="1">
                  <c:v>2864</c:v>
                </c:pt>
              </c:numCache>
            </c:numRef>
          </c:val>
          <c:extLst>
            <c:ext xmlns:c16="http://schemas.microsoft.com/office/drawing/2014/chart" uri="{C3380CC4-5D6E-409C-BE32-E72D297353CC}">
              <c16:uniqueId val="{00000004-185F-4C6F-9162-E6AF633DF27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bg-BG" sz="1100"/>
              <a:t>Разпределение</a:t>
            </a:r>
            <a:r>
              <a:rPr lang="bg-BG" sz="1100" baseline="0"/>
              <a:t> на читалищата според местоположение в или извън общинския център, 2023 г. </a:t>
            </a:r>
            <a:endParaRPr lang="en-GB" sz="1100"/>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bg-BG"/>
        </a:p>
      </c:txPr>
    </c:title>
    <c:autoTitleDeleted val="0"/>
    <c:plotArea>
      <c:layout>
        <c:manualLayout>
          <c:layoutTarget val="inner"/>
          <c:xMode val="edge"/>
          <c:yMode val="edge"/>
          <c:x val="0.23339194592636617"/>
          <c:y val="0.25934944441048607"/>
          <c:w val="0.53859111737875109"/>
          <c:h val="0.56735145227524042"/>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C41-4628-BD0F-3695BD570F0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C41-4628-BD0F-3695BD570F00}"/>
              </c:ext>
            </c:extLst>
          </c:dPt>
          <c:dLbls>
            <c:dLbl>
              <c:idx val="0"/>
              <c:dLblPos val="outEnd"/>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DC41-4628-BD0F-3695BD570F00}"/>
                </c:ext>
              </c:extLst>
            </c:dLbl>
            <c:dLbl>
              <c:idx val="1"/>
              <c:layout>
                <c:manualLayout>
                  <c:x val="-0.12058954890576154"/>
                  <c:y val="-0.19289578922606446"/>
                </c:manualLayout>
              </c:layout>
              <c:dLblPos val="bestFit"/>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DC41-4628-BD0F-3695BD570F0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'версия 2 допълнения'!$E$4:$F$4</c:f>
              <c:strCache>
                <c:ptCount val="2"/>
                <c:pt idx="0">
                  <c:v>В общинския център</c:v>
                </c:pt>
                <c:pt idx="1">
                  <c:v>Извън общинския център</c:v>
                </c:pt>
              </c:strCache>
            </c:strRef>
          </c:cat>
          <c:val>
            <c:numRef>
              <c:f>'версия 2 допълнения'!$E$5:$F$5</c:f>
              <c:numCache>
                <c:formatCode>General</c:formatCode>
                <c:ptCount val="2"/>
                <c:pt idx="0">
                  <c:v>750</c:v>
                </c:pt>
                <c:pt idx="1">
                  <c:v>2860</c:v>
                </c:pt>
              </c:numCache>
            </c:numRef>
          </c:val>
          <c:extLst>
            <c:ext xmlns:c16="http://schemas.microsoft.com/office/drawing/2014/chart" uri="{C3380CC4-5D6E-409C-BE32-E72D297353CC}">
              <c16:uniqueId val="{00000004-DC41-4628-BD0F-3695BD570F00}"/>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manualLayout>
          <c:xMode val="edge"/>
          <c:yMode val="edge"/>
          <c:x val="8.7390321185287306E-2"/>
          <c:y val="0.83886033300177631"/>
          <c:w val="0.7984213284192534"/>
          <c:h val="0.13291101491636056"/>
        </c:manualLayout>
      </c:layout>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 на читалищата според категориите, 2023 г.</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bg-BG"/>
        </a:p>
      </c:txPr>
    </c:title>
    <c:autoTitleDeleted val="0"/>
    <c:plotArea>
      <c:layout/>
      <c:pieChart>
        <c:varyColors val="1"/>
        <c:ser>
          <c:idx val="0"/>
          <c:order val="0"/>
          <c:tx>
            <c:strRef>
              <c:f>'версия 2 допълнения'!$A$2</c:f>
              <c:strCache>
                <c:ptCount val="1"/>
                <c:pt idx="0">
                  <c:v>Брой, общо</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968-4D68-B9F3-50A72BD1570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968-4D68-B9F3-50A72BD1570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968-4D68-B9F3-50A72BD1570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968-4D68-B9F3-50A72BD1570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D968-4D68-B9F3-50A72BD1570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D968-4D68-B9F3-50A72BD1570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'версия 2 допълнения'!$B$1:$G$1</c:f>
              <c:numCache>
                <c:formatCode>General</c:formatCode>
                <c:ptCount val="6"/>
                <c:pt idx="0">
                  <c:v>0</c:v>
                </c:pt>
                <c:pt idx="1">
                  <c:v>1</c:v>
                </c:pt>
                <c:pt idx="2">
                  <c:v>2</c:v>
                </c:pt>
                <c:pt idx="3">
                  <c:v>3</c:v>
                </c:pt>
                <c:pt idx="4">
                  <c:v>4</c:v>
                </c:pt>
                <c:pt idx="5">
                  <c:v>5</c:v>
                </c:pt>
              </c:numCache>
            </c:numRef>
          </c:cat>
          <c:val>
            <c:numRef>
              <c:f>'версия 2 допълнения'!$B$2:$G$2</c:f>
              <c:numCache>
                <c:formatCode>General</c:formatCode>
                <c:ptCount val="6"/>
                <c:pt idx="0">
                  <c:v>166</c:v>
                </c:pt>
                <c:pt idx="1">
                  <c:v>844</c:v>
                </c:pt>
                <c:pt idx="2">
                  <c:v>462</c:v>
                </c:pt>
                <c:pt idx="3">
                  <c:v>1072</c:v>
                </c:pt>
                <c:pt idx="4">
                  <c:v>752</c:v>
                </c:pt>
                <c:pt idx="5">
                  <c:v>313</c:v>
                </c:pt>
              </c:numCache>
            </c:numRef>
          </c:val>
          <c:extLst>
            <c:ext xmlns:c16="http://schemas.microsoft.com/office/drawing/2014/chart" uri="{C3380CC4-5D6E-409C-BE32-E72D297353CC}">
              <c16:uniqueId val="{0000000C-D968-4D68-B9F3-50A72BD1570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200"/>
              <a:t>Разпределение на читалищата по области,</a:t>
            </a:r>
            <a:r>
              <a:rPr lang="bg-BG" sz="1200" baseline="0"/>
              <a:t> брой, 2023 г.</a:t>
            </a:r>
            <a:endParaRPr lang="en-GB"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Sheet1!$X$76:$X$103</c:f>
              <c:strCache>
                <c:ptCount val="28"/>
                <c:pt idx="0">
                  <c:v>ВИДИН</c:v>
                </c:pt>
                <c:pt idx="1">
                  <c:v>ЯМБОЛ</c:v>
                </c:pt>
                <c:pt idx="2">
                  <c:v>РУСЕ</c:v>
                </c:pt>
                <c:pt idx="3">
                  <c:v>КЪРДЖАЛИ</c:v>
                </c:pt>
                <c:pt idx="4">
                  <c:v>ГАБРОВО</c:v>
                </c:pt>
                <c:pt idx="5">
                  <c:v>СМОЛЯН</c:v>
                </c:pt>
                <c:pt idx="6">
                  <c:v>ПАЗАРДЖИК</c:v>
                </c:pt>
                <c:pt idx="7">
                  <c:v>ВРАЦА</c:v>
                </c:pt>
                <c:pt idx="8">
                  <c:v>МОНТАНА</c:v>
                </c:pt>
                <c:pt idx="9">
                  <c:v>РАЗГРАД</c:v>
                </c:pt>
                <c:pt idx="10">
                  <c:v>КЮСТЕНДИЛ</c:v>
                </c:pt>
                <c:pt idx="11">
                  <c:v>ЛОВЕЧ</c:v>
                </c:pt>
                <c:pt idx="12">
                  <c:v>СИЛИСТРА</c:v>
                </c:pt>
                <c:pt idx="13">
                  <c:v>ПЕРНИК</c:v>
                </c:pt>
                <c:pt idx="14">
                  <c:v>СЛИВЕН</c:v>
                </c:pt>
                <c:pt idx="15">
                  <c:v>ТЪРГОВИЩЕ</c:v>
                </c:pt>
                <c:pt idx="16">
                  <c:v>ДОБРИЧ</c:v>
                </c:pt>
                <c:pt idx="17">
                  <c:v>ПЛЕВЕН</c:v>
                </c:pt>
                <c:pt idx="18">
                  <c:v>ШУМЕН</c:v>
                </c:pt>
                <c:pt idx="19">
                  <c:v>БЛАГОЕВГРАД</c:v>
                </c:pt>
                <c:pt idx="20">
                  <c:v>ХАСКОВО</c:v>
                </c:pt>
                <c:pt idx="21">
                  <c:v>ВЕЛИКО ТЪРНОВО</c:v>
                </c:pt>
                <c:pt idx="22">
                  <c:v>СОФИЯ</c:v>
                </c:pt>
                <c:pt idx="23">
                  <c:v>СОФИЯ-ГРАД</c:v>
                </c:pt>
                <c:pt idx="24">
                  <c:v>ВАРНА</c:v>
                </c:pt>
                <c:pt idx="25">
                  <c:v>БУРГАС</c:v>
                </c:pt>
                <c:pt idx="26">
                  <c:v>СТАРА ЗАГОРА</c:v>
                </c:pt>
                <c:pt idx="27">
                  <c:v>ПЛОВДИВ</c:v>
                </c:pt>
              </c:strCache>
            </c:strRef>
          </c:cat>
          <c:val>
            <c:numRef>
              <c:f>Sheet1!$Y$76:$Y$103</c:f>
              <c:numCache>
                <c:formatCode>General</c:formatCode>
                <c:ptCount val="28"/>
                <c:pt idx="0">
                  <c:v>87</c:v>
                </c:pt>
                <c:pt idx="1">
                  <c:v>87</c:v>
                </c:pt>
                <c:pt idx="2">
                  <c:v>93</c:v>
                </c:pt>
                <c:pt idx="3">
                  <c:v>94</c:v>
                </c:pt>
                <c:pt idx="4">
                  <c:v>98</c:v>
                </c:pt>
                <c:pt idx="5">
                  <c:v>103</c:v>
                </c:pt>
                <c:pt idx="6">
                  <c:v>104</c:v>
                </c:pt>
                <c:pt idx="7">
                  <c:v>105</c:v>
                </c:pt>
                <c:pt idx="8">
                  <c:v>105</c:v>
                </c:pt>
                <c:pt idx="9">
                  <c:v>105</c:v>
                </c:pt>
                <c:pt idx="10">
                  <c:v>106</c:v>
                </c:pt>
                <c:pt idx="11">
                  <c:v>108</c:v>
                </c:pt>
                <c:pt idx="12">
                  <c:v>110</c:v>
                </c:pt>
                <c:pt idx="13">
                  <c:v>111</c:v>
                </c:pt>
                <c:pt idx="14">
                  <c:v>113</c:v>
                </c:pt>
                <c:pt idx="15">
                  <c:v>118</c:v>
                </c:pt>
                <c:pt idx="16">
                  <c:v>127</c:v>
                </c:pt>
                <c:pt idx="17">
                  <c:v>135</c:v>
                </c:pt>
                <c:pt idx="18">
                  <c:v>135</c:v>
                </c:pt>
                <c:pt idx="19">
                  <c:v>142</c:v>
                </c:pt>
                <c:pt idx="20">
                  <c:v>148</c:v>
                </c:pt>
                <c:pt idx="21">
                  <c:v>164</c:v>
                </c:pt>
                <c:pt idx="22">
                  <c:v>165</c:v>
                </c:pt>
                <c:pt idx="23">
                  <c:v>166</c:v>
                </c:pt>
                <c:pt idx="24">
                  <c:v>178</c:v>
                </c:pt>
                <c:pt idx="25">
                  <c:v>182</c:v>
                </c:pt>
                <c:pt idx="26">
                  <c:v>196</c:v>
                </c:pt>
                <c:pt idx="27">
                  <c:v>225</c:v>
                </c:pt>
              </c:numCache>
            </c:numRef>
          </c:val>
          <c:extLst>
            <c:ext xmlns:c16="http://schemas.microsoft.com/office/drawing/2014/chart" uri="{C3380CC4-5D6E-409C-BE32-E72D297353CC}">
              <c16:uniqueId val="{00000000-7A4A-4082-A19D-E4D9C43CECE3}"/>
            </c:ext>
          </c:extLst>
        </c:ser>
        <c:dLbls>
          <c:showLegendKey val="0"/>
          <c:showVal val="0"/>
          <c:showCatName val="0"/>
          <c:showSerName val="0"/>
          <c:showPercent val="0"/>
          <c:showBubbleSize val="0"/>
        </c:dLbls>
        <c:gapWidth val="100"/>
        <c:axId val="1945973808"/>
        <c:axId val="1945988688"/>
      </c:barChart>
      <c:catAx>
        <c:axId val="19459738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945988688"/>
        <c:crosses val="autoZero"/>
        <c:auto val="1"/>
        <c:lblAlgn val="ctr"/>
        <c:lblOffset val="100"/>
        <c:noMultiLvlLbl val="0"/>
      </c:catAx>
      <c:valAx>
        <c:axId val="19459886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9459738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200"/>
              <a:t>Разпределение на читалищата според районите за</a:t>
            </a:r>
            <a:r>
              <a:rPr lang="bg-BG" sz="1200" baseline="0"/>
              <a:t> планиране, брой, 2023 г. </a:t>
            </a:r>
            <a:endParaRPr lang="en-GB"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Sheet1!$X$2:$X$7</c:f>
              <c:strCache>
                <c:ptCount val="6"/>
                <c:pt idx="0">
                  <c:v>BG31</c:v>
                </c:pt>
                <c:pt idx="1">
                  <c:v>BG32</c:v>
                </c:pt>
                <c:pt idx="2">
                  <c:v>BG33</c:v>
                </c:pt>
                <c:pt idx="3">
                  <c:v>BG34</c:v>
                </c:pt>
                <c:pt idx="4">
                  <c:v>BG41</c:v>
                </c:pt>
                <c:pt idx="5">
                  <c:v>BG42</c:v>
                </c:pt>
              </c:strCache>
            </c:strRef>
          </c:cat>
          <c:val>
            <c:numRef>
              <c:f>Sheet1!$Y$2:$Y$7</c:f>
              <c:numCache>
                <c:formatCode>General</c:formatCode>
                <c:ptCount val="6"/>
                <c:pt idx="0">
                  <c:v>540</c:v>
                </c:pt>
                <c:pt idx="1">
                  <c:v>570</c:v>
                </c:pt>
                <c:pt idx="2">
                  <c:v>557</c:v>
                </c:pt>
                <c:pt idx="3">
                  <c:v>578</c:v>
                </c:pt>
                <c:pt idx="4">
                  <c:v>690</c:v>
                </c:pt>
                <c:pt idx="5">
                  <c:v>674</c:v>
                </c:pt>
              </c:numCache>
            </c:numRef>
          </c:val>
          <c:extLst>
            <c:ext xmlns:c16="http://schemas.microsoft.com/office/drawing/2014/chart" uri="{C3380CC4-5D6E-409C-BE32-E72D297353CC}">
              <c16:uniqueId val="{00000000-FFA0-45C3-AB82-40791619B109}"/>
            </c:ext>
          </c:extLst>
        </c:ser>
        <c:dLbls>
          <c:showLegendKey val="0"/>
          <c:showVal val="0"/>
          <c:showCatName val="0"/>
          <c:showSerName val="0"/>
          <c:showPercent val="0"/>
          <c:showBubbleSize val="0"/>
        </c:dLbls>
        <c:gapWidth val="100"/>
        <c:overlap val="-27"/>
        <c:axId val="2061050832"/>
        <c:axId val="2067824240"/>
      </c:barChart>
      <c:catAx>
        <c:axId val="2061050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67824240"/>
        <c:crosses val="autoZero"/>
        <c:auto val="1"/>
        <c:lblAlgn val="ctr"/>
        <c:lblOffset val="100"/>
        <c:noMultiLvlLbl val="0"/>
      </c:catAx>
      <c:valAx>
        <c:axId val="2067824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610508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Разходен стандарт за финансиране на читалищата, лв. 2021-2025 г.</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4.5295449866172531E-2"/>
          <c:y val="0.15139368809030176"/>
          <c:w val="0.90940910026765498"/>
          <c:h val="0.74209505774459605"/>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bg-BG"/>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'версия 2 допълнения'!$B$38:$F$38</c:f>
              <c:numCache>
                <c:formatCode>General</c:formatCode>
                <c:ptCount val="5"/>
                <c:pt idx="0">
                  <c:v>2021</c:v>
                </c:pt>
                <c:pt idx="1">
                  <c:v>2022</c:v>
                </c:pt>
                <c:pt idx="2">
                  <c:v>2023</c:v>
                </c:pt>
                <c:pt idx="3">
                  <c:v>2024</c:v>
                </c:pt>
                <c:pt idx="4">
                  <c:v>2025</c:v>
                </c:pt>
              </c:numCache>
            </c:numRef>
          </c:cat>
          <c:val>
            <c:numRef>
              <c:f>'версия 2 допълнения'!$B$39:$F$39</c:f>
              <c:numCache>
                <c:formatCode>General</c:formatCode>
                <c:ptCount val="5"/>
                <c:pt idx="0">
                  <c:v>11484</c:v>
                </c:pt>
                <c:pt idx="1">
                  <c:v>12374</c:v>
                </c:pt>
                <c:pt idx="2">
                  <c:v>14497</c:v>
                </c:pt>
                <c:pt idx="3">
                  <c:v>16744</c:v>
                </c:pt>
                <c:pt idx="4">
                  <c:v>19555</c:v>
                </c:pt>
              </c:numCache>
            </c:numRef>
          </c:val>
          <c:extLst>
            <c:ext xmlns:c16="http://schemas.microsoft.com/office/drawing/2014/chart" uri="{C3380CC4-5D6E-409C-BE32-E72D297353CC}">
              <c16:uniqueId val="{00000000-4895-4FCC-82F3-8759A8B3CDB6}"/>
            </c:ext>
          </c:extLst>
        </c:ser>
        <c:dLbls>
          <c:showLegendKey val="0"/>
          <c:showVal val="0"/>
          <c:showCatName val="0"/>
          <c:showSerName val="0"/>
          <c:showPercent val="0"/>
          <c:showBubbleSize val="0"/>
        </c:dLbls>
        <c:gapWidth val="100"/>
        <c:axId val="543609807"/>
        <c:axId val="543603567"/>
      </c:barChart>
      <c:catAx>
        <c:axId val="5436098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543603567"/>
        <c:crosses val="autoZero"/>
        <c:auto val="1"/>
        <c:lblAlgn val="ctr"/>
        <c:lblOffset val="100"/>
        <c:noMultiLvlLbl val="0"/>
      </c:catAx>
      <c:valAx>
        <c:axId val="543603567"/>
        <c:scaling>
          <c:orientation val="minMax"/>
        </c:scaling>
        <c:delete val="1"/>
        <c:axPos val="l"/>
        <c:numFmt formatCode="General" sourceLinked="1"/>
        <c:majorTickMark val="none"/>
        <c:minorTickMark val="none"/>
        <c:tickLblPos val="nextTo"/>
        <c:crossAx val="5436098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Субсидирани бройки, общо</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2.5000000000000001E-2"/>
          <c:y val="0.16082382078418869"/>
          <c:w val="0.93888888888888888"/>
          <c:h val="0.73893438509111498"/>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1100" b="1" i="0" u="none" strike="noStrike" kern="1200" baseline="0">
                    <a:solidFill>
                      <a:schemeClr val="bg1"/>
                    </a:solidFill>
                    <a:latin typeface="+mn-lt"/>
                    <a:ea typeface="+mn-ea"/>
                    <a:cs typeface="+mn-cs"/>
                  </a:defRPr>
                </a:pPr>
                <a:endParaRPr lang="bg-BG"/>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'версия 2 допълнения'!$B$38:$F$38</c:f>
              <c:numCache>
                <c:formatCode>General</c:formatCode>
                <c:ptCount val="5"/>
                <c:pt idx="0">
                  <c:v>2021</c:v>
                </c:pt>
                <c:pt idx="1">
                  <c:v>2022</c:v>
                </c:pt>
                <c:pt idx="2">
                  <c:v>2023</c:v>
                </c:pt>
                <c:pt idx="3">
                  <c:v>2024</c:v>
                </c:pt>
                <c:pt idx="4">
                  <c:v>2025</c:v>
                </c:pt>
              </c:numCache>
            </c:numRef>
          </c:cat>
          <c:val>
            <c:numRef>
              <c:f>'версия 2 допълнения'!$B$40:$F$40</c:f>
              <c:numCache>
                <c:formatCode>General</c:formatCode>
                <c:ptCount val="5"/>
                <c:pt idx="0">
                  <c:v>7771</c:v>
                </c:pt>
                <c:pt idx="1">
                  <c:v>7773</c:v>
                </c:pt>
                <c:pt idx="2">
                  <c:v>7773</c:v>
                </c:pt>
                <c:pt idx="3">
                  <c:v>7773</c:v>
                </c:pt>
                <c:pt idx="4">
                  <c:v>7793</c:v>
                </c:pt>
              </c:numCache>
            </c:numRef>
          </c:val>
          <c:extLst>
            <c:ext xmlns:c16="http://schemas.microsoft.com/office/drawing/2014/chart" uri="{C3380CC4-5D6E-409C-BE32-E72D297353CC}">
              <c16:uniqueId val="{00000000-9AB6-4B0E-9E76-D22265829B39}"/>
            </c:ext>
          </c:extLst>
        </c:ser>
        <c:dLbls>
          <c:showLegendKey val="0"/>
          <c:showVal val="0"/>
          <c:showCatName val="0"/>
          <c:showSerName val="0"/>
          <c:showPercent val="0"/>
          <c:showBubbleSize val="0"/>
        </c:dLbls>
        <c:gapWidth val="100"/>
        <c:overlap val="-27"/>
        <c:axId val="586698991"/>
        <c:axId val="586707631"/>
      </c:barChart>
      <c:catAx>
        <c:axId val="586698991"/>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586707631"/>
        <c:crosses val="autoZero"/>
        <c:auto val="1"/>
        <c:lblAlgn val="ctr"/>
        <c:lblOffset val="100"/>
        <c:noMultiLvlLbl val="0"/>
      </c:catAx>
      <c:valAx>
        <c:axId val="586707631"/>
        <c:scaling>
          <c:orientation val="minMax"/>
          <c:min val="7500"/>
        </c:scaling>
        <c:delete val="1"/>
        <c:axPos val="l"/>
        <c:numFmt formatCode="General" sourceLinked="1"/>
        <c:majorTickMark val="out"/>
        <c:minorTickMark val="none"/>
        <c:tickLblPos val="nextTo"/>
        <c:crossAx val="5866989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Общ размер на субсидията за читалищата от държавния бюджет, хил. лв.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bg-BG"/>
        </a:p>
      </c:txPr>
    </c:title>
    <c:autoTitleDeleted val="0"/>
    <c:plotArea>
      <c:layout/>
      <c:barChart>
        <c:barDir val="col"/>
        <c:grouping val="clustered"/>
        <c:varyColors val="0"/>
        <c:ser>
          <c:idx val="0"/>
          <c:order val="0"/>
          <c:tx>
            <c:strRef>
              <c:f>'версия 2 допълнения'!$A$41</c:f>
              <c:strCache>
                <c:ptCount val="1"/>
                <c:pt idx="0">
                  <c:v>Общ размер на субсидията за читалищата от държавния бюджет</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'версия 2 допълнения'!$B$38:$F$38</c:f>
              <c:numCache>
                <c:formatCode>General</c:formatCode>
                <c:ptCount val="5"/>
                <c:pt idx="0">
                  <c:v>2021</c:v>
                </c:pt>
                <c:pt idx="1">
                  <c:v>2022</c:v>
                </c:pt>
                <c:pt idx="2">
                  <c:v>2023</c:v>
                </c:pt>
                <c:pt idx="3">
                  <c:v>2024</c:v>
                </c:pt>
                <c:pt idx="4">
                  <c:v>2025</c:v>
                </c:pt>
              </c:numCache>
            </c:numRef>
          </c:cat>
          <c:val>
            <c:numRef>
              <c:f>'версия 2 допълнения'!$B$41:$F$41</c:f>
              <c:numCache>
                <c:formatCode>0</c:formatCode>
                <c:ptCount val="5"/>
                <c:pt idx="0">
                  <c:v>89242.164000000004</c:v>
                </c:pt>
                <c:pt idx="1">
                  <c:v>96183.101999999999</c:v>
                </c:pt>
                <c:pt idx="2">
                  <c:v>112685.181</c:v>
                </c:pt>
                <c:pt idx="3">
                  <c:v>130151.11199999999</c:v>
                </c:pt>
                <c:pt idx="4">
                  <c:v>152392.11499999999</c:v>
                </c:pt>
              </c:numCache>
            </c:numRef>
          </c:val>
          <c:extLst>
            <c:ext xmlns:c16="http://schemas.microsoft.com/office/drawing/2014/chart" uri="{C3380CC4-5D6E-409C-BE32-E72D297353CC}">
              <c16:uniqueId val="{00000000-857F-49C5-8894-E19F45682200}"/>
            </c:ext>
          </c:extLst>
        </c:ser>
        <c:dLbls>
          <c:showLegendKey val="0"/>
          <c:showVal val="0"/>
          <c:showCatName val="0"/>
          <c:showSerName val="0"/>
          <c:showPercent val="0"/>
          <c:showBubbleSize val="0"/>
        </c:dLbls>
        <c:gapWidth val="100"/>
        <c:overlap val="-27"/>
        <c:axId val="494255855"/>
        <c:axId val="494253455"/>
      </c:barChart>
      <c:catAx>
        <c:axId val="4942558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494253455"/>
        <c:crosses val="autoZero"/>
        <c:auto val="1"/>
        <c:lblAlgn val="ctr"/>
        <c:lblOffset val="100"/>
        <c:noMultiLvlLbl val="0"/>
      </c:catAx>
      <c:valAx>
        <c:axId val="494253455"/>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49425585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Приходи, хил, лв. категория 0</a:t>
            </a:r>
            <a:r>
              <a:rPr lang="bg-BG" sz="1100" baseline="0"/>
              <a:t> - Столична</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stacked"/>
        <c:varyColors val="0"/>
        <c:ser>
          <c:idx val="0"/>
          <c:order val="0"/>
          <c:tx>
            <c:strRef>
              <c:f>'версия 2 допълнения'!$C$78</c:f>
              <c:strCache>
                <c:ptCount val="1"/>
                <c:pt idx="0">
                  <c:v>Приходи от субсидия от държавния/общинския бюджет</c:v>
                </c:pt>
              </c:strCache>
            </c:strRef>
          </c:tx>
          <c:spPr>
            <a:solidFill>
              <a:schemeClr val="accent1"/>
            </a:solidFill>
            <a:ln>
              <a:noFill/>
            </a:ln>
            <a:effectLst/>
          </c:spPr>
          <c:invertIfNegative val="0"/>
          <c:cat>
            <c:numRef>
              <c:f>'версия 2 допълнения'!$A$79</c:f>
              <c:numCache>
                <c:formatCode>General</c:formatCode>
                <c:ptCount val="1"/>
                <c:pt idx="0">
                  <c:v>0</c:v>
                </c:pt>
              </c:numCache>
            </c:numRef>
          </c:cat>
          <c:val>
            <c:numRef>
              <c:f>'версия 2 допълнения'!$C$79</c:f>
              <c:numCache>
                <c:formatCode>General</c:formatCode>
                <c:ptCount val="1"/>
                <c:pt idx="0">
                  <c:v>7884</c:v>
                </c:pt>
              </c:numCache>
            </c:numRef>
          </c:val>
          <c:extLst>
            <c:ext xmlns:c16="http://schemas.microsoft.com/office/drawing/2014/chart" uri="{C3380CC4-5D6E-409C-BE32-E72D297353CC}">
              <c16:uniqueId val="{00000000-5011-46A3-8445-B3344F31C0A7}"/>
            </c:ext>
          </c:extLst>
        </c:ser>
        <c:ser>
          <c:idx val="1"/>
          <c:order val="1"/>
          <c:tx>
            <c:strRef>
              <c:f>'версия 2 допълнения'!$D$78</c:f>
              <c:strCache>
                <c:ptCount val="1"/>
                <c:pt idx="0">
                  <c:v>Наеми</c:v>
                </c:pt>
              </c:strCache>
            </c:strRef>
          </c:tx>
          <c:spPr>
            <a:solidFill>
              <a:schemeClr val="accent2"/>
            </a:solidFill>
            <a:ln>
              <a:noFill/>
            </a:ln>
            <a:effectLst/>
          </c:spPr>
          <c:invertIfNegative val="0"/>
          <c:cat>
            <c:numRef>
              <c:f>'версия 2 допълнения'!$A$79</c:f>
              <c:numCache>
                <c:formatCode>General</c:formatCode>
                <c:ptCount val="1"/>
                <c:pt idx="0">
                  <c:v>0</c:v>
                </c:pt>
              </c:numCache>
            </c:numRef>
          </c:cat>
          <c:val>
            <c:numRef>
              <c:f>'версия 2 допълнения'!$D$79</c:f>
              <c:numCache>
                <c:formatCode>General</c:formatCode>
                <c:ptCount val="1"/>
                <c:pt idx="0">
                  <c:v>1297</c:v>
                </c:pt>
              </c:numCache>
            </c:numRef>
          </c:val>
          <c:extLst>
            <c:ext xmlns:c16="http://schemas.microsoft.com/office/drawing/2014/chart" uri="{C3380CC4-5D6E-409C-BE32-E72D297353CC}">
              <c16:uniqueId val="{00000001-5011-46A3-8445-B3344F31C0A7}"/>
            </c:ext>
          </c:extLst>
        </c:ser>
        <c:ser>
          <c:idx val="2"/>
          <c:order val="2"/>
          <c:tx>
            <c:strRef>
              <c:f>'версия 2 допълнения'!$E$78</c:f>
              <c:strCache>
                <c:ptCount val="1"/>
                <c:pt idx="0">
                  <c:v>Други приходи</c:v>
                </c:pt>
              </c:strCache>
            </c:strRef>
          </c:tx>
          <c:spPr>
            <a:solidFill>
              <a:schemeClr val="accent3"/>
            </a:solidFill>
            <a:ln>
              <a:noFill/>
            </a:ln>
            <a:effectLst/>
          </c:spPr>
          <c:invertIfNegative val="0"/>
          <c:cat>
            <c:numRef>
              <c:f>'версия 2 допълнения'!$A$79</c:f>
              <c:numCache>
                <c:formatCode>General</c:formatCode>
                <c:ptCount val="1"/>
                <c:pt idx="0">
                  <c:v>0</c:v>
                </c:pt>
              </c:numCache>
            </c:numRef>
          </c:cat>
          <c:val>
            <c:numRef>
              <c:f>'версия 2 допълнения'!$E$79</c:f>
              <c:numCache>
                <c:formatCode>0</c:formatCode>
                <c:ptCount val="1"/>
                <c:pt idx="0">
                  <c:v>5515</c:v>
                </c:pt>
              </c:numCache>
            </c:numRef>
          </c:val>
          <c:extLst>
            <c:ext xmlns:c16="http://schemas.microsoft.com/office/drawing/2014/chart" uri="{C3380CC4-5D6E-409C-BE32-E72D297353CC}">
              <c16:uniqueId val="{00000002-5011-46A3-8445-B3344F31C0A7}"/>
            </c:ext>
          </c:extLst>
        </c:ser>
        <c:dLbls>
          <c:showLegendKey val="0"/>
          <c:showVal val="0"/>
          <c:showCatName val="0"/>
          <c:showSerName val="0"/>
          <c:showPercent val="0"/>
          <c:showBubbleSize val="0"/>
        </c:dLbls>
        <c:gapWidth val="150"/>
        <c:overlap val="100"/>
        <c:axId val="434475871"/>
        <c:axId val="434478751"/>
      </c:barChart>
      <c:catAx>
        <c:axId val="4344758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434478751"/>
        <c:crosses val="autoZero"/>
        <c:auto val="1"/>
        <c:lblAlgn val="ctr"/>
        <c:lblOffset val="100"/>
        <c:noMultiLvlLbl val="0"/>
      </c:catAx>
      <c:valAx>
        <c:axId val="4344787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434475871"/>
        <c:crosses val="autoZero"/>
        <c:crossBetween val="between"/>
      </c:valAx>
      <c:spPr>
        <a:noFill/>
        <a:ln>
          <a:noFill/>
        </a:ln>
        <a:effectLst/>
      </c:spPr>
    </c:plotArea>
    <c:legend>
      <c:legendPos val="r"/>
      <c:layout>
        <c:manualLayout>
          <c:xMode val="edge"/>
          <c:yMode val="edge"/>
          <c:x val="0.63424933093725055"/>
          <c:y val="0.18588374309397124"/>
          <c:w val="0.33895299152813579"/>
          <c:h val="0.7313585578488709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Средни</a:t>
            </a:r>
            <a:r>
              <a:rPr lang="bg-BG" sz="1100" baseline="0"/>
              <a:t> п</a:t>
            </a:r>
            <a:r>
              <a:rPr lang="bg-BG" sz="1100"/>
              <a:t>риходи, хил, лв, категория 1-5 на общините </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stacked"/>
        <c:varyColors val="0"/>
        <c:ser>
          <c:idx val="0"/>
          <c:order val="0"/>
          <c:tx>
            <c:strRef>
              <c:f>'версия 2 допълнения'!$C$78</c:f>
              <c:strCache>
                <c:ptCount val="1"/>
                <c:pt idx="0">
                  <c:v>Приходи от субсидия от държавния/общинския бюджет</c:v>
                </c:pt>
              </c:strCache>
            </c:strRef>
          </c:tx>
          <c:spPr>
            <a:solidFill>
              <a:schemeClr val="accent1"/>
            </a:solidFill>
            <a:ln>
              <a:noFill/>
            </a:ln>
            <a:effectLst/>
          </c:spPr>
          <c:invertIfNegative val="0"/>
          <c:cat>
            <c:numRef>
              <c:f>'версия 2 допълнения'!$A$80:$A$84</c:f>
              <c:numCache>
                <c:formatCode>General</c:formatCode>
                <c:ptCount val="5"/>
                <c:pt idx="0">
                  <c:v>1</c:v>
                </c:pt>
                <c:pt idx="1">
                  <c:v>2</c:v>
                </c:pt>
                <c:pt idx="2">
                  <c:v>3</c:v>
                </c:pt>
                <c:pt idx="3">
                  <c:v>4</c:v>
                </c:pt>
                <c:pt idx="4">
                  <c:v>5</c:v>
                </c:pt>
              </c:numCache>
            </c:numRef>
          </c:cat>
          <c:val>
            <c:numRef>
              <c:f>'версия 2 допълнения'!$C$80:$C$84</c:f>
              <c:numCache>
                <c:formatCode>0</c:formatCode>
                <c:ptCount val="5"/>
                <c:pt idx="0">
                  <c:v>940.52606635071095</c:v>
                </c:pt>
                <c:pt idx="1">
                  <c:v>568.34848484848487</c:v>
                </c:pt>
                <c:pt idx="2">
                  <c:v>396.25964252116648</c:v>
                </c:pt>
                <c:pt idx="3">
                  <c:v>213.80216802168022</c:v>
                </c:pt>
                <c:pt idx="4">
                  <c:v>163.54109589041096</c:v>
                </c:pt>
              </c:numCache>
            </c:numRef>
          </c:val>
          <c:extLst>
            <c:ext xmlns:c16="http://schemas.microsoft.com/office/drawing/2014/chart" uri="{C3380CC4-5D6E-409C-BE32-E72D297353CC}">
              <c16:uniqueId val="{00000000-77AF-4360-9E37-D70B929416EB}"/>
            </c:ext>
          </c:extLst>
        </c:ser>
        <c:ser>
          <c:idx val="1"/>
          <c:order val="1"/>
          <c:tx>
            <c:strRef>
              <c:f>'версия 2 допълнения'!$D$78</c:f>
              <c:strCache>
                <c:ptCount val="1"/>
                <c:pt idx="0">
                  <c:v>Наеми</c:v>
                </c:pt>
              </c:strCache>
            </c:strRef>
          </c:tx>
          <c:spPr>
            <a:solidFill>
              <a:schemeClr val="accent2"/>
            </a:solidFill>
            <a:ln>
              <a:noFill/>
            </a:ln>
            <a:effectLst/>
          </c:spPr>
          <c:invertIfNegative val="0"/>
          <c:cat>
            <c:numRef>
              <c:f>'версия 2 допълнения'!$A$80:$A$84</c:f>
              <c:numCache>
                <c:formatCode>General</c:formatCode>
                <c:ptCount val="5"/>
                <c:pt idx="0">
                  <c:v>1</c:v>
                </c:pt>
                <c:pt idx="1">
                  <c:v>2</c:v>
                </c:pt>
                <c:pt idx="2">
                  <c:v>3</c:v>
                </c:pt>
                <c:pt idx="3">
                  <c:v>4</c:v>
                </c:pt>
                <c:pt idx="4">
                  <c:v>5</c:v>
                </c:pt>
              </c:numCache>
            </c:numRef>
          </c:cat>
          <c:val>
            <c:numRef>
              <c:f>'версия 2 допълнения'!$D$80:$D$84</c:f>
              <c:numCache>
                <c:formatCode>0</c:formatCode>
                <c:ptCount val="5"/>
                <c:pt idx="0">
                  <c:v>68.776066350710906</c:v>
                </c:pt>
                <c:pt idx="1">
                  <c:v>30.792207792207794</c:v>
                </c:pt>
                <c:pt idx="2">
                  <c:v>41.705550329256823</c:v>
                </c:pt>
                <c:pt idx="3">
                  <c:v>15.784552845528456</c:v>
                </c:pt>
                <c:pt idx="4">
                  <c:v>9.6541095890410951</c:v>
                </c:pt>
              </c:numCache>
            </c:numRef>
          </c:val>
          <c:extLst>
            <c:ext xmlns:c16="http://schemas.microsoft.com/office/drawing/2014/chart" uri="{C3380CC4-5D6E-409C-BE32-E72D297353CC}">
              <c16:uniqueId val="{00000001-77AF-4360-9E37-D70B929416EB}"/>
            </c:ext>
          </c:extLst>
        </c:ser>
        <c:ser>
          <c:idx val="2"/>
          <c:order val="2"/>
          <c:tx>
            <c:strRef>
              <c:f>'версия 2 допълнения'!$E$78</c:f>
              <c:strCache>
                <c:ptCount val="1"/>
                <c:pt idx="0">
                  <c:v>Други приходи</c:v>
                </c:pt>
              </c:strCache>
            </c:strRef>
          </c:tx>
          <c:spPr>
            <a:solidFill>
              <a:schemeClr val="accent3"/>
            </a:solidFill>
            <a:ln>
              <a:noFill/>
            </a:ln>
            <a:effectLst/>
          </c:spPr>
          <c:invertIfNegative val="0"/>
          <c:cat>
            <c:numRef>
              <c:f>'версия 2 допълнения'!$A$80:$A$84</c:f>
              <c:numCache>
                <c:formatCode>General</c:formatCode>
                <c:ptCount val="5"/>
                <c:pt idx="0">
                  <c:v>1</c:v>
                </c:pt>
                <c:pt idx="1">
                  <c:v>2</c:v>
                </c:pt>
                <c:pt idx="2">
                  <c:v>3</c:v>
                </c:pt>
                <c:pt idx="3">
                  <c:v>4</c:v>
                </c:pt>
                <c:pt idx="4">
                  <c:v>5</c:v>
                </c:pt>
              </c:numCache>
            </c:numRef>
          </c:cat>
          <c:val>
            <c:numRef>
              <c:f>'версия 2 допълнения'!$E$80:$E$84</c:f>
              <c:numCache>
                <c:formatCode>0</c:formatCode>
                <c:ptCount val="5"/>
                <c:pt idx="0">
                  <c:v>352.44668246445491</c:v>
                </c:pt>
                <c:pt idx="1">
                  <c:v>194.71645021645023</c:v>
                </c:pt>
                <c:pt idx="2">
                  <c:v>136.39604891815617</c:v>
                </c:pt>
                <c:pt idx="3">
                  <c:v>55.28997289972898</c:v>
                </c:pt>
                <c:pt idx="4">
                  <c:v>34.657534246575352</c:v>
                </c:pt>
              </c:numCache>
            </c:numRef>
          </c:val>
          <c:extLst>
            <c:ext xmlns:c16="http://schemas.microsoft.com/office/drawing/2014/chart" uri="{C3380CC4-5D6E-409C-BE32-E72D297353CC}">
              <c16:uniqueId val="{00000002-77AF-4360-9E37-D70B929416EB}"/>
            </c:ext>
          </c:extLst>
        </c:ser>
        <c:dLbls>
          <c:showLegendKey val="0"/>
          <c:showVal val="0"/>
          <c:showCatName val="0"/>
          <c:showSerName val="0"/>
          <c:showPercent val="0"/>
          <c:showBubbleSize val="0"/>
        </c:dLbls>
        <c:gapWidth val="150"/>
        <c:overlap val="100"/>
        <c:axId val="1506725455"/>
        <c:axId val="1506733615"/>
      </c:barChart>
      <c:catAx>
        <c:axId val="15067254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506733615"/>
        <c:crosses val="autoZero"/>
        <c:auto val="1"/>
        <c:lblAlgn val="ctr"/>
        <c:lblOffset val="100"/>
        <c:noMultiLvlLbl val="0"/>
      </c:catAx>
      <c:valAx>
        <c:axId val="150673361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506725455"/>
        <c:crosses val="autoZero"/>
        <c:crossBetween val="between"/>
      </c:valAx>
      <c:spPr>
        <a:noFill/>
        <a:ln>
          <a:noFill/>
        </a:ln>
        <a:effectLst/>
      </c:spPr>
    </c:plotArea>
    <c:legend>
      <c:legendPos val="b"/>
      <c:layout>
        <c:manualLayout>
          <c:xMode val="edge"/>
          <c:yMode val="edge"/>
          <c:x val="5.4551912587523246E-2"/>
          <c:y val="0.6566521190210759"/>
          <c:w val="0.87749698438208845"/>
          <c:h val="0.316550203444310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Разходи, хил, лв., категория</a:t>
            </a:r>
            <a:r>
              <a:rPr lang="bg-BG" sz="1100" baseline="0"/>
              <a:t> 0 - Столична</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stacked"/>
        <c:varyColors val="0"/>
        <c:ser>
          <c:idx val="2"/>
          <c:order val="0"/>
          <c:tx>
            <c:strRef>
              <c:f>'версия 2 допълнения'!$E$93</c:f>
              <c:strCache>
                <c:ptCount val="1"/>
                <c:pt idx="0">
                  <c:v>Други</c:v>
                </c:pt>
              </c:strCache>
            </c:strRef>
          </c:tx>
          <c:spPr>
            <a:solidFill>
              <a:schemeClr val="accent3"/>
            </a:solidFill>
            <a:ln>
              <a:noFill/>
            </a:ln>
            <a:effectLst/>
          </c:spPr>
          <c:invertIfNegative val="0"/>
          <c:cat>
            <c:numRef>
              <c:f>'версия 2 допълнения'!$A$94</c:f>
              <c:numCache>
                <c:formatCode>General</c:formatCode>
                <c:ptCount val="1"/>
                <c:pt idx="0">
                  <c:v>0</c:v>
                </c:pt>
              </c:numCache>
            </c:numRef>
          </c:cat>
          <c:val>
            <c:numRef>
              <c:f>'версия 2 допълнения'!$E$94</c:f>
              <c:numCache>
                <c:formatCode>0</c:formatCode>
                <c:ptCount val="1"/>
                <c:pt idx="0">
                  <c:v>5535</c:v>
                </c:pt>
              </c:numCache>
            </c:numRef>
          </c:val>
          <c:extLst>
            <c:ext xmlns:c16="http://schemas.microsoft.com/office/drawing/2014/chart" uri="{C3380CC4-5D6E-409C-BE32-E72D297353CC}">
              <c16:uniqueId val="{00000000-9DBA-4D5F-A577-04A1D5C7266C}"/>
            </c:ext>
          </c:extLst>
        </c:ser>
        <c:ser>
          <c:idx val="1"/>
          <c:order val="1"/>
          <c:tx>
            <c:strRef>
              <c:f>'версия 2 допълнения'!$D$93</c:f>
              <c:strCache>
                <c:ptCount val="1"/>
                <c:pt idx="0">
                  <c:v>Осигуровки и надбавки</c:v>
                </c:pt>
              </c:strCache>
            </c:strRef>
          </c:tx>
          <c:spPr>
            <a:solidFill>
              <a:schemeClr val="accent2"/>
            </a:solidFill>
            <a:ln>
              <a:noFill/>
            </a:ln>
            <a:effectLst/>
          </c:spPr>
          <c:invertIfNegative val="0"/>
          <c:cat>
            <c:numRef>
              <c:f>'версия 2 допълнения'!$A$94</c:f>
              <c:numCache>
                <c:formatCode>General</c:formatCode>
                <c:ptCount val="1"/>
                <c:pt idx="0">
                  <c:v>0</c:v>
                </c:pt>
              </c:numCache>
            </c:numRef>
          </c:cat>
          <c:val>
            <c:numRef>
              <c:f>'версия 2 допълнения'!$D$94</c:f>
              <c:numCache>
                <c:formatCode>0</c:formatCode>
                <c:ptCount val="1"/>
                <c:pt idx="0">
                  <c:v>1318</c:v>
                </c:pt>
              </c:numCache>
            </c:numRef>
          </c:val>
          <c:extLst>
            <c:ext xmlns:c16="http://schemas.microsoft.com/office/drawing/2014/chart" uri="{C3380CC4-5D6E-409C-BE32-E72D297353CC}">
              <c16:uniqueId val="{00000001-9DBA-4D5F-A577-04A1D5C7266C}"/>
            </c:ext>
          </c:extLst>
        </c:ser>
        <c:ser>
          <c:idx val="0"/>
          <c:order val="2"/>
          <c:tx>
            <c:strRef>
              <c:f>'версия 2 допълнения'!$C$93</c:f>
              <c:strCache>
                <c:ptCount val="1"/>
                <c:pt idx="0">
                  <c:v>Работна заплата</c:v>
                </c:pt>
              </c:strCache>
            </c:strRef>
          </c:tx>
          <c:spPr>
            <a:solidFill>
              <a:schemeClr val="accent1"/>
            </a:solidFill>
            <a:ln>
              <a:noFill/>
            </a:ln>
            <a:effectLst/>
          </c:spPr>
          <c:invertIfNegative val="0"/>
          <c:cat>
            <c:numRef>
              <c:f>'версия 2 допълнения'!$A$94</c:f>
              <c:numCache>
                <c:formatCode>General</c:formatCode>
                <c:ptCount val="1"/>
                <c:pt idx="0">
                  <c:v>0</c:v>
                </c:pt>
              </c:numCache>
            </c:numRef>
          </c:cat>
          <c:val>
            <c:numRef>
              <c:f>'версия 2 допълнения'!$C$94</c:f>
              <c:numCache>
                <c:formatCode>0</c:formatCode>
                <c:ptCount val="1"/>
                <c:pt idx="0">
                  <c:v>6374</c:v>
                </c:pt>
              </c:numCache>
            </c:numRef>
          </c:val>
          <c:extLst>
            <c:ext xmlns:c16="http://schemas.microsoft.com/office/drawing/2014/chart" uri="{C3380CC4-5D6E-409C-BE32-E72D297353CC}">
              <c16:uniqueId val="{00000002-9DBA-4D5F-A577-04A1D5C7266C}"/>
            </c:ext>
          </c:extLst>
        </c:ser>
        <c:dLbls>
          <c:showLegendKey val="0"/>
          <c:showVal val="0"/>
          <c:showCatName val="0"/>
          <c:showSerName val="0"/>
          <c:showPercent val="0"/>
          <c:showBubbleSize val="0"/>
        </c:dLbls>
        <c:gapWidth val="150"/>
        <c:overlap val="100"/>
        <c:axId val="494271215"/>
        <c:axId val="494271695"/>
      </c:barChart>
      <c:catAx>
        <c:axId val="494271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494271695"/>
        <c:crosses val="autoZero"/>
        <c:auto val="1"/>
        <c:lblAlgn val="ctr"/>
        <c:lblOffset val="100"/>
        <c:noMultiLvlLbl val="0"/>
      </c:catAx>
      <c:valAx>
        <c:axId val="49427169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4942712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Средни</a:t>
            </a:r>
            <a:r>
              <a:rPr lang="bg-BG" sz="1100" baseline="0"/>
              <a:t> р</a:t>
            </a:r>
            <a:r>
              <a:rPr lang="bg-BG" sz="1100"/>
              <a:t>азходи,</a:t>
            </a:r>
            <a:r>
              <a:rPr lang="bg-BG" sz="1100" baseline="0"/>
              <a:t> хил. лв., к</a:t>
            </a:r>
            <a:r>
              <a:rPr lang="bg-BG" sz="1100"/>
              <a:t>атегория 1-5 на общините</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stacked"/>
        <c:varyColors val="0"/>
        <c:ser>
          <c:idx val="2"/>
          <c:order val="0"/>
          <c:tx>
            <c:strRef>
              <c:f>'версия 2 допълнения'!$E$93</c:f>
              <c:strCache>
                <c:ptCount val="1"/>
                <c:pt idx="0">
                  <c:v>Други</c:v>
                </c:pt>
              </c:strCache>
            </c:strRef>
          </c:tx>
          <c:spPr>
            <a:solidFill>
              <a:schemeClr val="accent3"/>
            </a:solidFill>
            <a:ln>
              <a:noFill/>
            </a:ln>
            <a:effectLst/>
          </c:spPr>
          <c:invertIfNegative val="0"/>
          <c:cat>
            <c:numRef>
              <c:f>'версия 2 допълнения'!$A$95:$A$99</c:f>
              <c:numCache>
                <c:formatCode>General</c:formatCode>
                <c:ptCount val="5"/>
                <c:pt idx="0">
                  <c:v>1</c:v>
                </c:pt>
                <c:pt idx="1">
                  <c:v>2</c:v>
                </c:pt>
                <c:pt idx="2">
                  <c:v>3</c:v>
                </c:pt>
                <c:pt idx="3">
                  <c:v>4</c:v>
                </c:pt>
                <c:pt idx="4">
                  <c:v>5</c:v>
                </c:pt>
              </c:numCache>
            </c:numRef>
          </c:cat>
          <c:val>
            <c:numRef>
              <c:f>'версия 2 допълнения'!$E$95:$E$99</c:f>
              <c:numCache>
                <c:formatCode>0</c:formatCode>
                <c:ptCount val="5"/>
                <c:pt idx="0">
                  <c:v>542.85663507108995</c:v>
                </c:pt>
                <c:pt idx="1">
                  <c:v>329.53679653679649</c:v>
                </c:pt>
                <c:pt idx="2">
                  <c:v>208.18250235183442</c:v>
                </c:pt>
                <c:pt idx="3">
                  <c:v>96.856368563685649</c:v>
                </c:pt>
                <c:pt idx="4">
                  <c:v>62.376712328767113</c:v>
                </c:pt>
              </c:numCache>
            </c:numRef>
          </c:val>
          <c:extLst>
            <c:ext xmlns:c16="http://schemas.microsoft.com/office/drawing/2014/chart" uri="{C3380CC4-5D6E-409C-BE32-E72D297353CC}">
              <c16:uniqueId val="{00000000-1C03-4A56-8744-4D8D0939A9B1}"/>
            </c:ext>
          </c:extLst>
        </c:ser>
        <c:ser>
          <c:idx val="1"/>
          <c:order val="1"/>
          <c:tx>
            <c:strRef>
              <c:f>'версия 2 допълнения'!$D$93</c:f>
              <c:strCache>
                <c:ptCount val="1"/>
                <c:pt idx="0">
                  <c:v>Осигуровки и надбавки</c:v>
                </c:pt>
              </c:strCache>
            </c:strRef>
          </c:tx>
          <c:spPr>
            <a:solidFill>
              <a:schemeClr val="accent2"/>
            </a:solidFill>
            <a:ln>
              <a:noFill/>
            </a:ln>
            <a:effectLst/>
          </c:spPr>
          <c:invertIfNegative val="0"/>
          <c:cat>
            <c:numRef>
              <c:f>'версия 2 допълнения'!$A$95:$A$99</c:f>
              <c:numCache>
                <c:formatCode>General</c:formatCode>
                <c:ptCount val="5"/>
                <c:pt idx="0">
                  <c:v>1</c:v>
                </c:pt>
                <c:pt idx="1">
                  <c:v>2</c:v>
                </c:pt>
                <c:pt idx="2">
                  <c:v>3</c:v>
                </c:pt>
                <c:pt idx="3">
                  <c:v>4</c:v>
                </c:pt>
                <c:pt idx="4">
                  <c:v>5</c:v>
                </c:pt>
              </c:numCache>
            </c:numRef>
          </c:cat>
          <c:val>
            <c:numRef>
              <c:f>'версия 2 допълнения'!$D$95:$D$99</c:f>
              <c:numCache>
                <c:formatCode>0</c:formatCode>
                <c:ptCount val="5"/>
                <c:pt idx="0">
                  <c:v>135.75592417061611</c:v>
                </c:pt>
                <c:pt idx="1">
                  <c:v>76.378787878787875</c:v>
                </c:pt>
                <c:pt idx="2">
                  <c:v>60.511759172154278</c:v>
                </c:pt>
                <c:pt idx="3">
                  <c:v>30.785907859078591</c:v>
                </c:pt>
                <c:pt idx="4">
                  <c:v>24.5</c:v>
                </c:pt>
              </c:numCache>
            </c:numRef>
          </c:val>
          <c:extLst>
            <c:ext xmlns:c16="http://schemas.microsoft.com/office/drawing/2014/chart" uri="{C3380CC4-5D6E-409C-BE32-E72D297353CC}">
              <c16:uniqueId val="{00000001-1C03-4A56-8744-4D8D0939A9B1}"/>
            </c:ext>
          </c:extLst>
        </c:ser>
        <c:ser>
          <c:idx val="0"/>
          <c:order val="2"/>
          <c:tx>
            <c:strRef>
              <c:f>'версия 2 допълнения'!$C$93</c:f>
              <c:strCache>
                <c:ptCount val="1"/>
                <c:pt idx="0">
                  <c:v>Работна заплата</c:v>
                </c:pt>
              </c:strCache>
            </c:strRef>
          </c:tx>
          <c:spPr>
            <a:solidFill>
              <a:schemeClr val="accent1"/>
            </a:solidFill>
            <a:ln>
              <a:noFill/>
            </a:ln>
            <a:effectLst/>
          </c:spPr>
          <c:invertIfNegative val="0"/>
          <c:cat>
            <c:numRef>
              <c:f>'версия 2 допълнения'!$A$95:$A$99</c:f>
              <c:numCache>
                <c:formatCode>General</c:formatCode>
                <c:ptCount val="5"/>
                <c:pt idx="0">
                  <c:v>1</c:v>
                </c:pt>
                <c:pt idx="1">
                  <c:v>2</c:v>
                </c:pt>
                <c:pt idx="2">
                  <c:v>3</c:v>
                </c:pt>
                <c:pt idx="3">
                  <c:v>4</c:v>
                </c:pt>
                <c:pt idx="4">
                  <c:v>5</c:v>
                </c:pt>
              </c:numCache>
            </c:numRef>
          </c:cat>
          <c:val>
            <c:numRef>
              <c:f>'версия 2 допълнения'!$C$95:$C$99</c:f>
              <c:numCache>
                <c:formatCode>0</c:formatCode>
                <c:ptCount val="5"/>
                <c:pt idx="0">
                  <c:v>591.33886255924176</c:v>
                </c:pt>
                <c:pt idx="1">
                  <c:v>329.81601731601734</c:v>
                </c:pt>
                <c:pt idx="2">
                  <c:v>266.06208842897462</c:v>
                </c:pt>
                <c:pt idx="3">
                  <c:v>137.50677506775068</c:v>
                </c:pt>
                <c:pt idx="4">
                  <c:v>101.77397260273973</c:v>
                </c:pt>
              </c:numCache>
            </c:numRef>
          </c:val>
          <c:extLst>
            <c:ext xmlns:c16="http://schemas.microsoft.com/office/drawing/2014/chart" uri="{C3380CC4-5D6E-409C-BE32-E72D297353CC}">
              <c16:uniqueId val="{00000002-1C03-4A56-8744-4D8D0939A9B1}"/>
            </c:ext>
          </c:extLst>
        </c:ser>
        <c:dLbls>
          <c:showLegendKey val="0"/>
          <c:showVal val="0"/>
          <c:showCatName val="0"/>
          <c:showSerName val="0"/>
          <c:showPercent val="0"/>
          <c:showBubbleSize val="0"/>
        </c:dLbls>
        <c:gapWidth val="150"/>
        <c:overlap val="100"/>
        <c:axId val="1506729295"/>
        <c:axId val="1506738415"/>
      </c:barChart>
      <c:catAx>
        <c:axId val="15067292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506738415"/>
        <c:crosses val="autoZero"/>
        <c:auto val="1"/>
        <c:lblAlgn val="ctr"/>
        <c:lblOffset val="100"/>
        <c:noMultiLvlLbl val="0"/>
      </c:catAx>
      <c:valAx>
        <c:axId val="150673841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506729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000">
                <a:solidFill>
                  <a:sysClr val="windowText" lastClr="000000"/>
                </a:solidFill>
              </a:rPr>
              <a:t>Приходи и разходи</a:t>
            </a:r>
            <a:r>
              <a:rPr lang="bg-BG" sz="1000" baseline="0">
                <a:solidFill>
                  <a:sysClr val="windowText" lastClr="000000"/>
                </a:solidFill>
              </a:rPr>
              <a:t> на читалищата, хил. лв.</a:t>
            </a:r>
            <a:endParaRPr lang="en-GB" sz="10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Sheet1!$B$2</c:f>
              <c:strCache>
                <c:ptCount val="1"/>
                <c:pt idx="0">
                  <c:v>Разходи</c:v>
                </c:pt>
              </c:strCache>
            </c:strRef>
          </c:tx>
          <c:spPr>
            <a:solidFill>
              <a:schemeClr val="accent1"/>
            </a:solidFill>
            <a:ln>
              <a:noFill/>
            </a:ln>
            <a:effectLst/>
          </c:spPr>
          <c:invertIfNegative val="0"/>
          <c:cat>
            <c:numRef>
              <c:f>Sheet1!$A$3:$A$5</c:f>
              <c:numCache>
                <c:formatCode>General</c:formatCode>
                <c:ptCount val="3"/>
                <c:pt idx="0">
                  <c:v>2021</c:v>
                </c:pt>
                <c:pt idx="1">
                  <c:v>2022</c:v>
                </c:pt>
                <c:pt idx="2">
                  <c:v>2023</c:v>
                </c:pt>
              </c:numCache>
            </c:numRef>
          </c:cat>
          <c:val>
            <c:numRef>
              <c:f>Sheet1!$B$3:$B$5</c:f>
              <c:numCache>
                <c:formatCode>General</c:formatCode>
                <c:ptCount val="3"/>
                <c:pt idx="0">
                  <c:v>34903</c:v>
                </c:pt>
                <c:pt idx="1">
                  <c:v>65601</c:v>
                </c:pt>
                <c:pt idx="2">
                  <c:v>76880</c:v>
                </c:pt>
              </c:numCache>
            </c:numRef>
          </c:val>
          <c:extLst>
            <c:ext xmlns:c16="http://schemas.microsoft.com/office/drawing/2014/chart" uri="{C3380CC4-5D6E-409C-BE32-E72D297353CC}">
              <c16:uniqueId val="{00000000-7ABC-46BF-8025-DBF95D055EC5}"/>
            </c:ext>
          </c:extLst>
        </c:ser>
        <c:ser>
          <c:idx val="1"/>
          <c:order val="1"/>
          <c:tx>
            <c:strRef>
              <c:f>Sheet1!$C$2</c:f>
              <c:strCache>
                <c:ptCount val="1"/>
                <c:pt idx="0">
                  <c:v>Приходи</c:v>
                </c:pt>
              </c:strCache>
            </c:strRef>
          </c:tx>
          <c:spPr>
            <a:solidFill>
              <a:schemeClr val="accent2"/>
            </a:solidFill>
            <a:ln>
              <a:noFill/>
            </a:ln>
            <a:effectLst/>
          </c:spPr>
          <c:invertIfNegative val="0"/>
          <c:cat>
            <c:numRef>
              <c:f>Sheet1!$A$3:$A$5</c:f>
              <c:numCache>
                <c:formatCode>General</c:formatCode>
                <c:ptCount val="3"/>
                <c:pt idx="0">
                  <c:v>2021</c:v>
                </c:pt>
                <c:pt idx="1">
                  <c:v>2022</c:v>
                </c:pt>
                <c:pt idx="2">
                  <c:v>2023</c:v>
                </c:pt>
              </c:numCache>
            </c:numRef>
          </c:cat>
          <c:val>
            <c:numRef>
              <c:f>Sheet1!$C$3:$C$5</c:f>
              <c:numCache>
                <c:formatCode>General</c:formatCode>
                <c:ptCount val="3"/>
                <c:pt idx="0">
                  <c:v>30118</c:v>
                </c:pt>
                <c:pt idx="1">
                  <c:v>58165</c:v>
                </c:pt>
                <c:pt idx="2">
                  <c:v>70437</c:v>
                </c:pt>
              </c:numCache>
            </c:numRef>
          </c:val>
          <c:extLst>
            <c:ext xmlns:c16="http://schemas.microsoft.com/office/drawing/2014/chart" uri="{C3380CC4-5D6E-409C-BE32-E72D297353CC}">
              <c16:uniqueId val="{00000001-7ABC-46BF-8025-DBF95D055EC5}"/>
            </c:ext>
          </c:extLst>
        </c:ser>
        <c:dLbls>
          <c:showLegendKey val="0"/>
          <c:showVal val="0"/>
          <c:showCatName val="0"/>
          <c:showSerName val="0"/>
          <c:showPercent val="0"/>
          <c:showBubbleSize val="0"/>
        </c:dLbls>
        <c:gapWidth val="219"/>
        <c:overlap val="-27"/>
        <c:axId val="1067474128"/>
        <c:axId val="1067478448"/>
      </c:barChart>
      <c:catAx>
        <c:axId val="1067474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067478448"/>
        <c:crosses val="autoZero"/>
        <c:auto val="1"/>
        <c:lblAlgn val="ctr"/>
        <c:lblOffset val="100"/>
        <c:noMultiLvlLbl val="0"/>
      </c:catAx>
      <c:valAx>
        <c:axId val="1067478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067474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000">
                <a:solidFill>
                  <a:sysClr val="windowText" lastClr="000000"/>
                </a:solidFill>
              </a:rPr>
              <a:t>Приходи по данни в базата и субсидия</a:t>
            </a:r>
            <a:r>
              <a:rPr lang="bg-BG" sz="1000" baseline="0">
                <a:solidFill>
                  <a:sysClr val="windowText" lastClr="000000"/>
                </a:solidFill>
              </a:rPr>
              <a:t> според стандарта за делегирана дейност, хил. лв. </a:t>
            </a:r>
            <a:endParaRPr lang="en-GB" sz="1000">
              <a:solidFill>
                <a:sysClr val="windowText" lastClr="00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Sheet1!$C$2</c:f>
              <c:strCache>
                <c:ptCount val="1"/>
                <c:pt idx="0">
                  <c:v>Приходи</c:v>
                </c:pt>
              </c:strCache>
            </c:strRef>
          </c:tx>
          <c:spPr>
            <a:solidFill>
              <a:schemeClr val="accent1"/>
            </a:solidFill>
            <a:ln>
              <a:noFill/>
            </a:ln>
            <a:effectLst/>
          </c:spPr>
          <c:invertIfNegative val="0"/>
          <c:cat>
            <c:numRef>
              <c:f>Sheet1!$A$3:$A$5</c:f>
              <c:numCache>
                <c:formatCode>General</c:formatCode>
                <c:ptCount val="3"/>
                <c:pt idx="0">
                  <c:v>2021</c:v>
                </c:pt>
                <c:pt idx="1">
                  <c:v>2022</c:v>
                </c:pt>
                <c:pt idx="2">
                  <c:v>2023</c:v>
                </c:pt>
              </c:numCache>
            </c:numRef>
          </c:cat>
          <c:val>
            <c:numRef>
              <c:f>Sheet1!$C$3:$C$5</c:f>
              <c:numCache>
                <c:formatCode>General</c:formatCode>
                <c:ptCount val="3"/>
                <c:pt idx="0">
                  <c:v>30118</c:v>
                </c:pt>
                <c:pt idx="1">
                  <c:v>58165</c:v>
                </c:pt>
                <c:pt idx="2">
                  <c:v>70437</c:v>
                </c:pt>
              </c:numCache>
            </c:numRef>
          </c:val>
          <c:extLst>
            <c:ext xmlns:c16="http://schemas.microsoft.com/office/drawing/2014/chart" uri="{C3380CC4-5D6E-409C-BE32-E72D297353CC}">
              <c16:uniqueId val="{00000000-C9AD-439D-90C7-02A17AC0E0E9}"/>
            </c:ext>
          </c:extLst>
        </c:ser>
        <c:ser>
          <c:idx val="1"/>
          <c:order val="1"/>
          <c:tx>
            <c:strRef>
              <c:f>Sheet1!$F$2</c:f>
              <c:strCache>
                <c:ptCount val="1"/>
                <c:pt idx="0">
                  <c:v>Субсидия според стандарта</c:v>
                </c:pt>
              </c:strCache>
            </c:strRef>
          </c:tx>
          <c:spPr>
            <a:solidFill>
              <a:schemeClr val="accent2"/>
            </a:solidFill>
            <a:ln>
              <a:noFill/>
            </a:ln>
            <a:effectLst/>
          </c:spPr>
          <c:invertIfNegative val="0"/>
          <c:cat>
            <c:numRef>
              <c:f>Sheet1!$A$3:$A$5</c:f>
              <c:numCache>
                <c:formatCode>General</c:formatCode>
                <c:ptCount val="3"/>
                <c:pt idx="0">
                  <c:v>2021</c:v>
                </c:pt>
                <c:pt idx="1">
                  <c:v>2022</c:v>
                </c:pt>
                <c:pt idx="2">
                  <c:v>2023</c:v>
                </c:pt>
              </c:numCache>
            </c:numRef>
          </c:cat>
          <c:val>
            <c:numRef>
              <c:f>Sheet1!$F$3:$F$5</c:f>
              <c:numCache>
                <c:formatCode>General</c:formatCode>
                <c:ptCount val="3"/>
                <c:pt idx="0">
                  <c:v>89242.164000000004</c:v>
                </c:pt>
                <c:pt idx="1">
                  <c:v>98483.91</c:v>
                </c:pt>
                <c:pt idx="2">
                  <c:v>108355.62</c:v>
                </c:pt>
              </c:numCache>
            </c:numRef>
          </c:val>
          <c:extLst>
            <c:ext xmlns:c16="http://schemas.microsoft.com/office/drawing/2014/chart" uri="{C3380CC4-5D6E-409C-BE32-E72D297353CC}">
              <c16:uniqueId val="{00000001-C9AD-439D-90C7-02A17AC0E0E9}"/>
            </c:ext>
          </c:extLst>
        </c:ser>
        <c:dLbls>
          <c:showLegendKey val="0"/>
          <c:showVal val="0"/>
          <c:showCatName val="0"/>
          <c:showSerName val="0"/>
          <c:showPercent val="0"/>
          <c:showBubbleSize val="0"/>
        </c:dLbls>
        <c:gapWidth val="219"/>
        <c:overlap val="-27"/>
        <c:axId val="2068370848"/>
        <c:axId val="2068358368"/>
      </c:barChart>
      <c:catAx>
        <c:axId val="2068370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68358368"/>
        <c:crosses val="autoZero"/>
        <c:auto val="1"/>
        <c:lblAlgn val="ctr"/>
        <c:lblOffset val="100"/>
        <c:noMultiLvlLbl val="0"/>
      </c:catAx>
      <c:valAx>
        <c:axId val="2068358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68370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 на читалищата в села и градове според общите приходи, хил. лв.</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Sheet1!$A$51:$B$56</c:f>
              <c:multiLvlStrCache>
                <c:ptCount val="6"/>
                <c:lvl>
                  <c:pt idx="0">
                    <c:v>ГРАД</c:v>
                  </c:pt>
                  <c:pt idx="1">
                    <c:v>СЕЛО</c:v>
                  </c:pt>
                  <c:pt idx="2">
                    <c:v>ГРАД</c:v>
                  </c:pt>
                  <c:pt idx="3">
                    <c:v>СЕЛО</c:v>
                  </c:pt>
                  <c:pt idx="4">
                    <c:v>ГРАД</c:v>
                  </c:pt>
                  <c:pt idx="5">
                    <c:v>СЕЛО</c:v>
                  </c:pt>
                </c:lvl>
                <c:lvl>
                  <c:pt idx="0">
                    <c:v>2021</c:v>
                  </c:pt>
                  <c:pt idx="2">
                    <c:v>2022</c:v>
                  </c:pt>
                  <c:pt idx="4">
                    <c:v>2023</c:v>
                  </c:pt>
                </c:lvl>
              </c:multiLvlStrCache>
            </c:multiLvlStrRef>
          </c:cat>
          <c:val>
            <c:numRef>
              <c:f>Sheet1!$C$51:$C$56</c:f>
              <c:numCache>
                <c:formatCode>General</c:formatCode>
                <c:ptCount val="6"/>
                <c:pt idx="0">
                  <c:v>19376</c:v>
                </c:pt>
                <c:pt idx="1">
                  <c:v>10728</c:v>
                </c:pt>
                <c:pt idx="2">
                  <c:v>39612</c:v>
                </c:pt>
                <c:pt idx="3">
                  <c:v>18483</c:v>
                </c:pt>
                <c:pt idx="4">
                  <c:v>48929</c:v>
                </c:pt>
                <c:pt idx="5">
                  <c:v>21508</c:v>
                </c:pt>
              </c:numCache>
            </c:numRef>
          </c:val>
          <c:extLst>
            <c:ext xmlns:c16="http://schemas.microsoft.com/office/drawing/2014/chart" uri="{C3380CC4-5D6E-409C-BE32-E72D297353CC}">
              <c16:uniqueId val="{00000000-F219-4F39-AADD-5513BA01E59E}"/>
            </c:ext>
          </c:extLst>
        </c:ser>
        <c:dLbls>
          <c:showLegendKey val="0"/>
          <c:showVal val="0"/>
          <c:showCatName val="0"/>
          <c:showSerName val="0"/>
          <c:showPercent val="0"/>
          <c:showBubbleSize val="0"/>
        </c:dLbls>
        <c:gapWidth val="100"/>
        <c:overlap val="-27"/>
        <c:axId val="1939164528"/>
        <c:axId val="1939160688"/>
      </c:barChart>
      <c:catAx>
        <c:axId val="1939164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939160688"/>
        <c:crosses val="autoZero"/>
        <c:auto val="1"/>
        <c:lblAlgn val="ctr"/>
        <c:lblOffset val="100"/>
        <c:noMultiLvlLbl val="0"/>
      </c:catAx>
      <c:valAx>
        <c:axId val="1939160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9391645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 според общите разходи, хил.  лв. </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Sheet1!$A$60:$B$65</c:f>
              <c:multiLvlStrCache>
                <c:ptCount val="6"/>
                <c:lvl>
                  <c:pt idx="0">
                    <c:v>ГРАД</c:v>
                  </c:pt>
                  <c:pt idx="1">
                    <c:v>СЕЛО</c:v>
                  </c:pt>
                  <c:pt idx="2">
                    <c:v>ГРАД</c:v>
                  </c:pt>
                  <c:pt idx="3">
                    <c:v>СЕЛО</c:v>
                  </c:pt>
                  <c:pt idx="4">
                    <c:v>ГРАД</c:v>
                  </c:pt>
                  <c:pt idx="5">
                    <c:v>СЕЛО</c:v>
                  </c:pt>
                </c:lvl>
                <c:lvl>
                  <c:pt idx="0">
                    <c:v>2021</c:v>
                  </c:pt>
                  <c:pt idx="2">
                    <c:v>2022</c:v>
                  </c:pt>
                  <c:pt idx="4">
                    <c:v>2023</c:v>
                  </c:pt>
                </c:lvl>
              </c:multiLvlStrCache>
            </c:multiLvlStrRef>
          </c:cat>
          <c:val>
            <c:numRef>
              <c:f>Sheet1!$C$60:$C$65</c:f>
              <c:numCache>
                <c:formatCode>General</c:formatCode>
                <c:ptCount val="6"/>
                <c:pt idx="0">
                  <c:v>23980</c:v>
                </c:pt>
                <c:pt idx="1">
                  <c:v>10909</c:v>
                </c:pt>
                <c:pt idx="2">
                  <c:v>45380</c:v>
                </c:pt>
                <c:pt idx="3">
                  <c:v>20151</c:v>
                </c:pt>
                <c:pt idx="4">
                  <c:v>53221</c:v>
                </c:pt>
                <c:pt idx="5">
                  <c:v>23659</c:v>
                </c:pt>
              </c:numCache>
            </c:numRef>
          </c:val>
          <c:extLst>
            <c:ext xmlns:c16="http://schemas.microsoft.com/office/drawing/2014/chart" uri="{C3380CC4-5D6E-409C-BE32-E72D297353CC}">
              <c16:uniqueId val="{00000000-65BF-41E8-BD62-C3DC6FB127CF}"/>
            </c:ext>
          </c:extLst>
        </c:ser>
        <c:dLbls>
          <c:showLegendKey val="0"/>
          <c:showVal val="0"/>
          <c:showCatName val="0"/>
          <c:showSerName val="0"/>
          <c:showPercent val="0"/>
          <c:showBubbleSize val="0"/>
        </c:dLbls>
        <c:gapWidth val="100"/>
        <c:overlap val="-27"/>
        <c:axId val="7110016"/>
        <c:axId val="7101856"/>
      </c:barChart>
      <c:catAx>
        <c:axId val="7110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7101856"/>
        <c:crosses val="autoZero"/>
        <c:auto val="1"/>
        <c:lblAlgn val="ctr"/>
        <c:lblOffset val="100"/>
        <c:noMultiLvlLbl val="0"/>
      </c:catAx>
      <c:valAx>
        <c:axId val="7101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71100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a:t>
            </a:r>
            <a:r>
              <a:rPr lang="bg-BG" sz="1100" baseline="0"/>
              <a:t> на читалищата според приходите по категории общини, хил. лв. </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1"/>
          <c:order val="1"/>
          <c:tx>
            <c:strRef>
              <c:f>Sheet1!$C$189</c:f>
              <c:strCache>
                <c:ptCount val="1"/>
                <c:pt idx="0">
                  <c:v>Специалисти с висше образование</c:v>
                </c:pt>
              </c:strCache>
            </c:strRef>
          </c:tx>
          <c:spPr>
            <a:solidFill>
              <a:schemeClr val="accent2"/>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Sheet1!$A$211:$B$228</c:f>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f>Sheet1!$C$211:$C$228</c:f>
              <c:numCache>
                <c:formatCode>General</c:formatCode>
                <c:ptCount val="18"/>
                <c:pt idx="0">
                  <c:v>4643</c:v>
                </c:pt>
                <c:pt idx="1">
                  <c:v>7768</c:v>
                </c:pt>
                <c:pt idx="2">
                  <c:v>4673</c:v>
                </c:pt>
                <c:pt idx="3">
                  <c:v>7762</c:v>
                </c:pt>
                <c:pt idx="4">
                  <c:v>3807</c:v>
                </c:pt>
                <c:pt idx="5">
                  <c:v>1465</c:v>
                </c:pt>
                <c:pt idx="6">
                  <c:v>6451</c:v>
                </c:pt>
                <c:pt idx="7">
                  <c:v>14746</c:v>
                </c:pt>
                <c:pt idx="8">
                  <c:v>7991</c:v>
                </c:pt>
                <c:pt idx="9">
                  <c:v>17161</c:v>
                </c:pt>
                <c:pt idx="10">
                  <c:v>7984</c:v>
                </c:pt>
                <c:pt idx="11">
                  <c:v>3832</c:v>
                </c:pt>
                <c:pt idx="12">
                  <c:v>9009</c:v>
                </c:pt>
                <c:pt idx="13">
                  <c:v>19799</c:v>
                </c:pt>
                <c:pt idx="14">
                  <c:v>8334</c:v>
                </c:pt>
                <c:pt idx="15">
                  <c:v>19685</c:v>
                </c:pt>
                <c:pt idx="16">
                  <c:v>9394</c:v>
                </c:pt>
                <c:pt idx="17">
                  <c:v>4216</c:v>
                </c:pt>
              </c:numCache>
            </c:numRef>
          </c:val>
          <c:extLst>
            <c:ext xmlns:c16="http://schemas.microsoft.com/office/drawing/2014/chart" uri="{C3380CC4-5D6E-409C-BE32-E72D297353CC}">
              <c16:uniqueId val="{00000000-F85F-439D-9669-52EF5138338E}"/>
            </c:ext>
          </c:extLst>
        </c:ser>
        <c:dLbls>
          <c:showLegendKey val="0"/>
          <c:showVal val="0"/>
          <c:showCatName val="0"/>
          <c:showSerName val="0"/>
          <c:showPercent val="0"/>
          <c:showBubbleSize val="0"/>
        </c:dLbls>
        <c:gapWidth val="100"/>
        <c:overlap val="-27"/>
        <c:axId val="1736530688"/>
        <c:axId val="1736519168"/>
        <c:extLst>
          <c:ext xmlns:c15="http://schemas.microsoft.com/office/drawing/2012/chart" uri="{02D57815-91ED-43cb-92C2-25804820EDAC}">
            <c15:filteredBarSeries>
              <c15:ser>
                <c:idx val="0"/>
                <c:order val="0"/>
                <c:tx>
                  <c:strRef>
                    <c:extLst>
                      <c:ext uri="{02D57815-91ED-43cb-92C2-25804820EDAC}">
                        <c15:formulaRef>
                          <c15:sqref>Sheet1!$B$189</c15:sqref>
                        </c15:formulaRef>
                      </c:ext>
                    </c:extLst>
                    <c:strCache>
                      <c:ptCount val="1"/>
                      <c:pt idx="0">
                        <c:v>Категории</c:v>
                      </c:pt>
                    </c:strCache>
                  </c:strRef>
                </c:tx>
                <c:spPr>
                  <a:solidFill>
                    <a:schemeClr val="accent1"/>
                  </a:solidFill>
                  <a:ln>
                    <a:noFill/>
                  </a:ln>
                  <a:effectLst/>
                </c:spPr>
                <c:invertIfNegative val="0"/>
                <c:cat>
                  <c:multiLvlStrRef>
                    <c:extLst>
                      <c:ext uri="{02D57815-91ED-43cb-92C2-25804820EDAC}">
                        <c15:formulaRef>
                          <c15:sqref>Sheet1!$A$211:$B$228</c15:sqref>
                        </c15:formulaRef>
                      </c:ext>
                    </c:extLst>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extLst>
                      <c:ext uri="{02D57815-91ED-43cb-92C2-25804820EDAC}">
                        <c15:formulaRef>
                          <c15:sqref>Sheet1!$B$190:$B$207</c15:sqref>
                        </c15:formulaRef>
                      </c:ext>
                    </c:extLst>
                    <c:numCache>
                      <c:formatCode>General</c:formatCode>
                      <c:ptCount val="18"/>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numCache>
                  </c:numRef>
                </c:val>
                <c:extLst>
                  <c:ext xmlns:c16="http://schemas.microsoft.com/office/drawing/2014/chart" uri="{C3380CC4-5D6E-409C-BE32-E72D297353CC}">
                    <c16:uniqueId val="{00000001-F85F-439D-9669-52EF5138338E}"/>
                  </c:ext>
                </c:extLst>
              </c15:ser>
            </c15:filteredBarSeries>
          </c:ext>
        </c:extLst>
      </c:barChart>
      <c:catAx>
        <c:axId val="1736530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736519168"/>
        <c:crosses val="autoZero"/>
        <c:auto val="1"/>
        <c:lblAlgn val="ctr"/>
        <c:lblOffset val="100"/>
        <c:noMultiLvlLbl val="0"/>
      </c:catAx>
      <c:valAx>
        <c:axId val="1736519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73653068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 на читалищата според разходите</a:t>
            </a:r>
            <a:r>
              <a:rPr lang="bg-BG" sz="1100" baseline="0"/>
              <a:t> и категории общини, хил. лв.</a:t>
            </a:r>
            <a:endParaRPr lang="bg-BG"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bg-BG"/>
        </a:p>
      </c:txPr>
    </c:title>
    <c:autoTitleDeleted val="0"/>
    <c:plotArea>
      <c:layout/>
      <c:barChart>
        <c:barDir val="col"/>
        <c:grouping val="clustered"/>
        <c:varyColors val="0"/>
        <c:ser>
          <c:idx val="2"/>
          <c:order val="2"/>
          <c:tx>
            <c:strRef>
              <c:f>'версия 2 допълнения'!$C$130</c:f>
              <c:strCache>
                <c:ptCount val="1"/>
                <c:pt idx="0">
                  <c:v>Общи разходи</c:v>
                </c:pt>
              </c:strCache>
            </c:strRef>
          </c:tx>
          <c:spPr>
            <a:solidFill>
              <a:schemeClr val="accent3"/>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'версия 2 допълнения'!$A$131:$B$148</c:f>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f>'версия 2 допълнения'!$C$131:$C$148</c:f>
              <c:numCache>
                <c:formatCode>General</c:formatCode>
                <c:ptCount val="18"/>
                <c:pt idx="0">
                  <c:v>5005</c:v>
                </c:pt>
                <c:pt idx="1">
                  <c:v>9054</c:v>
                </c:pt>
                <c:pt idx="2">
                  <c:v>5436</c:v>
                </c:pt>
                <c:pt idx="3">
                  <c:v>9323</c:v>
                </c:pt>
                <c:pt idx="4">
                  <c:v>4580</c:v>
                </c:pt>
                <c:pt idx="5">
                  <c:v>1505</c:v>
                </c:pt>
                <c:pt idx="6">
                  <c:v>6498</c:v>
                </c:pt>
                <c:pt idx="7">
                  <c:v>17109</c:v>
                </c:pt>
                <c:pt idx="8">
                  <c:v>9504</c:v>
                </c:pt>
                <c:pt idx="9">
                  <c:v>19459</c:v>
                </c:pt>
                <c:pt idx="10">
                  <c:v>9017</c:v>
                </c:pt>
                <c:pt idx="11">
                  <c:v>4014</c:v>
                </c:pt>
                <c:pt idx="12">
                  <c:v>8741</c:v>
                </c:pt>
                <c:pt idx="13">
                  <c:v>21789</c:v>
                </c:pt>
                <c:pt idx="14">
                  <c:v>10028</c:v>
                </c:pt>
                <c:pt idx="15">
                  <c:v>21892</c:v>
                </c:pt>
                <c:pt idx="16">
                  <c:v>10143</c:v>
                </c:pt>
                <c:pt idx="17">
                  <c:v>4287</c:v>
                </c:pt>
              </c:numCache>
            </c:numRef>
          </c:val>
          <c:extLst>
            <c:ext xmlns:c16="http://schemas.microsoft.com/office/drawing/2014/chart" uri="{C3380CC4-5D6E-409C-BE32-E72D297353CC}">
              <c16:uniqueId val="{00000000-E238-48F0-8DB1-2F3B312398E7}"/>
            </c:ext>
          </c:extLst>
        </c:ser>
        <c:dLbls>
          <c:showLegendKey val="0"/>
          <c:showVal val="0"/>
          <c:showCatName val="0"/>
          <c:showSerName val="0"/>
          <c:showPercent val="0"/>
          <c:showBubbleSize val="0"/>
        </c:dLbls>
        <c:gapWidth val="100"/>
        <c:overlap val="-27"/>
        <c:axId val="1470228735"/>
        <c:axId val="1470230175"/>
        <c:extLst>
          <c:ext xmlns:c15="http://schemas.microsoft.com/office/drawing/2012/chart" uri="{02D57815-91ED-43cb-92C2-25804820EDAC}">
            <c15:filteredBarSeries>
              <c15:ser>
                <c:idx val="0"/>
                <c:order val="0"/>
                <c:spPr>
                  <a:solidFill>
                    <a:schemeClr val="accent1"/>
                  </a:solidFill>
                  <a:ln>
                    <a:noFill/>
                  </a:ln>
                  <a:effectLst/>
                </c:spPr>
                <c:invertIfNegative val="0"/>
                <c:cat>
                  <c:multiLvlStrRef>
                    <c:extLst>
                      <c:ext uri="{02D57815-91ED-43cb-92C2-25804820EDAC}">
                        <c15:formulaRef>
                          <c15:sqref>'версия 2 допълнения'!$A$131:$B$148</c15:sqref>
                        </c15:formulaRef>
                      </c:ext>
                    </c:extLst>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extLst>
                      <c:ext uri="{02D57815-91ED-43cb-92C2-25804820EDAC}">
                        <c15:formulaRef>
                          <c15:sqref>'версия 2 допълнения'!$A$130</c15:sqref>
                        </c15:formulaRef>
                      </c:ext>
                    </c:extLst>
                    <c:numCache>
                      <c:formatCode>General</c:formatCode>
                      <c:ptCount val="1"/>
                    </c:numCache>
                  </c:numRef>
                </c:val>
                <c:extLst>
                  <c:ext xmlns:c16="http://schemas.microsoft.com/office/drawing/2014/chart" uri="{C3380CC4-5D6E-409C-BE32-E72D297353CC}">
                    <c16:uniqueId val="{00000001-E238-48F0-8DB1-2F3B312398E7}"/>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'версия 2 допълнения'!$B$130</c15:sqref>
                        </c15:formulaRef>
                      </c:ext>
                    </c:extLst>
                    <c:strCache>
                      <c:ptCount val="1"/>
                      <c:pt idx="0">
                        <c:v>Категория</c:v>
                      </c:pt>
                    </c:strCache>
                  </c:strRef>
                </c:tx>
                <c:spPr>
                  <a:solidFill>
                    <a:schemeClr val="accent2"/>
                  </a:solidFill>
                  <a:ln>
                    <a:noFill/>
                  </a:ln>
                  <a:effectLst/>
                </c:spPr>
                <c:invertIfNegative val="0"/>
                <c:cat>
                  <c:multiLvlStrRef>
                    <c:extLst xmlns:c15="http://schemas.microsoft.com/office/drawing/2012/chart">
                      <c:ext xmlns:c15="http://schemas.microsoft.com/office/drawing/2012/chart" uri="{02D57815-91ED-43cb-92C2-25804820EDAC}">
                        <c15:formulaRef>
                          <c15:sqref>'версия 2 допълнения'!$A$131:$B$148</c15:sqref>
                        </c15:formulaRef>
                      </c:ext>
                    </c:extLst>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extLst xmlns:c15="http://schemas.microsoft.com/office/drawing/2012/chart">
                      <c:ext xmlns:c15="http://schemas.microsoft.com/office/drawing/2012/chart" uri="{02D57815-91ED-43cb-92C2-25804820EDAC}">
                        <c15:formulaRef>
                          <c15:sqref>'версия 2 допълнения'!$B$131:$B$148</c15:sqref>
                        </c15:formulaRef>
                      </c:ext>
                    </c:extLst>
                    <c:numCache>
                      <c:formatCode>General</c:formatCode>
                      <c:ptCount val="18"/>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numCache>
                  </c:numRef>
                </c:val>
                <c:extLst>
                  <c:ext xmlns:c16="http://schemas.microsoft.com/office/drawing/2014/chart" uri="{C3380CC4-5D6E-409C-BE32-E72D297353CC}">
                    <c16:uniqueId val="{00000002-E238-48F0-8DB1-2F3B312398E7}"/>
                  </c:ext>
                </c:extLst>
              </c15:ser>
            </c15:filteredBarSeries>
          </c:ext>
        </c:extLst>
      </c:barChart>
      <c:catAx>
        <c:axId val="1470228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470230175"/>
        <c:crosses val="autoZero"/>
        <c:auto val="1"/>
        <c:lblAlgn val="ctr"/>
        <c:lblOffset val="100"/>
        <c:noMultiLvlLbl val="0"/>
      </c:catAx>
      <c:valAx>
        <c:axId val="14702301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4702287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200"/>
              <a:t>Разпределение</a:t>
            </a:r>
            <a:r>
              <a:rPr lang="bg-BG" sz="1200" baseline="0"/>
              <a:t> според с</a:t>
            </a:r>
            <a:r>
              <a:rPr lang="bg-BG" sz="1200"/>
              <a:t>убсидираните бройки,</a:t>
            </a:r>
            <a:r>
              <a:rPr lang="bg-BG" sz="1200" baseline="0"/>
              <a:t> 2023 г. </a:t>
            </a:r>
            <a:endParaRPr lang="bg-BG"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bg-BG"/>
        </a:p>
      </c:txPr>
    </c:title>
    <c:autoTitleDeleted val="0"/>
    <c:plotArea>
      <c:layout>
        <c:manualLayout>
          <c:layoutTarget val="inner"/>
          <c:xMode val="edge"/>
          <c:yMode val="edge"/>
          <c:x val="0.20716398709829784"/>
          <c:y val="0.20121315423807318"/>
          <c:w val="0.58567202580340438"/>
          <c:h val="0.6983966651227419"/>
        </c:manualLayout>
      </c:layout>
      <c:pieChart>
        <c:varyColors val="1"/>
        <c:ser>
          <c:idx val="0"/>
          <c:order val="0"/>
          <c:tx>
            <c:strRef>
              <c:f>Sheet2!$G$1</c:f>
              <c:strCache>
                <c:ptCount val="1"/>
                <c:pt idx="0">
                  <c:v>Субсидирана бройка</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2F1-45C1-B58C-CF3F0F7C358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2F1-45C1-B58C-CF3F0F7C358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2F1-45C1-B58C-CF3F0F7C358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2F1-45C1-B58C-CF3F0F7C3582}"/>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2F1-45C1-B58C-CF3F0F7C3582}"/>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E2F1-45C1-B58C-CF3F0F7C35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Sheet2!$F$2:$F$7</c:f>
              <c:numCache>
                <c:formatCode>General</c:formatCode>
                <c:ptCount val="6"/>
                <c:pt idx="0">
                  <c:v>0</c:v>
                </c:pt>
                <c:pt idx="1">
                  <c:v>1</c:v>
                </c:pt>
                <c:pt idx="2">
                  <c:v>2</c:v>
                </c:pt>
                <c:pt idx="3">
                  <c:v>3</c:v>
                </c:pt>
                <c:pt idx="4">
                  <c:v>4</c:v>
                </c:pt>
                <c:pt idx="5">
                  <c:v>5</c:v>
                </c:pt>
              </c:numCache>
            </c:numRef>
          </c:cat>
          <c:val>
            <c:numRef>
              <c:f>Sheet2!$G$2:$G$7</c:f>
              <c:numCache>
                <c:formatCode>General</c:formatCode>
                <c:ptCount val="6"/>
                <c:pt idx="0">
                  <c:v>750</c:v>
                </c:pt>
                <c:pt idx="1">
                  <c:v>1988</c:v>
                </c:pt>
                <c:pt idx="2">
                  <c:v>1104</c:v>
                </c:pt>
                <c:pt idx="3">
                  <c:v>2118</c:v>
                </c:pt>
                <c:pt idx="4">
                  <c:v>1306</c:v>
                </c:pt>
                <c:pt idx="5">
                  <c:v>504</c:v>
                </c:pt>
              </c:numCache>
            </c:numRef>
          </c:val>
          <c:extLst>
            <c:ext xmlns:c16="http://schemas.microsoft.com/office/drawing/2014/chart" uri="{C3380CC4-5D6E-409C-BE32-E72D297353CC}">
              <c16:uniqueId val="{0000000C-E2F1-45C1-B58C-CF3F0F7C358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Персонал в обхванатите</a:t>
            </a:r>
            <a:r>
              <a:rPr lang="bg-BG" sz="1100" baseline="0"/>
              <a:t> читалища</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'версия 2 допълнения'!$B$48</c:f>
              <c:strCache>
                <c:ptCount val="1"/>
                <c:pt idx="0">
                  <c:v>Персонал</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'версия 2 допълнения'!$A$49:$A$51</c:f>
              <c:numCache>
                <c:formatCode>General</c:formatCode>
                <c:ptCount val="3"/>
                <c:pt idx="0">
                  <c:v>2021</c:v>
                </c:pt>
                <c:pt idx="1">
                  <c:v>2022</c:v>
                </c:pt>
                <c:pt idx="2">
                  <c:v>2023</c:v>
                </c:pt>
              </c:numCache>
            </c:numRef>
          </c:cat>
          <c:val>
            <c:numRef>
              <c:f>'версия 2 допълнения'!$B$49:$B$51</c:f>
              <c:numCache>
                <c:formatCode>General</c:formatCode>
                <c:ptCount val="3"/>
                <c:pt idx="0">
                  <c:v>4440</c:v>
                </c:pt>
                <c:pt idx="1">
                  <c:v>5226</c:v>
                </c:pt>
                <c:pt idx="2">
                  <c:v>5368</c:v>
                </c:pt>
              </c:numCache>
            </c:numRef>
          </c:val>
          <c:extLst>
            <c:ext xmlns:c16="http://schemas.microsoft.com/office/drawing/2014/chart" uri="{C3380CC4-5D6E-409C-BE32-E72D297353CC}">
              <c16:uniqueId val="{00000000-DFED-4B2A-99B0-976E11EE2042}"/>
            </c:ext>
          </c:extLst>
        </c:ser>
        <c:ser>
          <c:idx val="1"/>
          <c:order val="1"/>
          <c:tx>
            <c:strRef>
              <c:f>'версия 2 допълнения'!$C$48</c:f>
              <c:strCache>
                <c:ptCount val="1"/>
                <c:pt idx="0">
                  <c:v>Обхванати читалища</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'версия 2 допълнения'!$A$49:$A$51</c:f>
              <c:numCache>
                <c:formatCode>General</c:formatCode>
                <c:ptCount val="3"/>
                <c:pt idx="0">
                  <c:v>2021</c:v>
                </c:pt>
                <c:pt idx="1">
                  <c:v>2022</c:v>
                </c:pt>
                <c:pt idx="2">
                  <c:v>2023</c:v>
                </c:pt>
              </c:numCache>
            </c:numRef>
          </c:cat>
          <c:val>
            <c:numRef>
              <c:f>'версия 2 допълнения'!$C$49:$C$51</c:f>
              <c:numCache>
                <c:formatCode>General</c:formatCode>
                <c:ptCount val="3"/>
                <c:pt idx="0">
                  <c:v>1484</c:v>
                </c:pt>
                <c:pt idx="1">
                  <c:v>1423</c:v>
                </c:pt>
                <c:pt idx="2">
                  <c:v>1459</c:v>
                </c:pt>
              </c:numCache>
            </c:numRef>
          </c:val>
          <c:extLst>
            <c:ext xmlns:c16="http://schemas.microsoft.com/office/drawing/2014/chart" uri="{C3380CC4-5D6E-409C-BE32-E72D297353CC}">
              <c16:uniqueId val="{00000001-DFED-4B2A-99B0-976E11EE2042}"/>
            </c:ext>
          </c:extLst>
        </c:ser>
        <c:dLbls>
          <c:showLegendKey val="0"/>
          <c:showVal val="0"/>
          <c:showCatName val="0"/>
          <c:showSerName val="0"/>
          <c:showPercent val="0"/>
          <c:showBubbleSize val="0"/>
        </c:dLbls>
        <c:gapWidth val="100"/>
        <c:overlap val="-27"/>
        <c:axId val="1444487439"/>
        <c:axId val="1526058607"/>
      </c:barChart>
      <c:catAx>
        <c:axId val="14444874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526058607"/>
        <c:crosses val="autoZero"/>
        <c:auto val="1"/>
        <c:lblAlgn val="ctr"/>
        <c:lblOffset val="100"/>
        <c:noMultiLvlLbl val="0"/>
      </c:catAx>
      <c:valAx>
        <c:axId val="152605860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4444874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200"/>
              <a:t>Разпределение</a:t>
            </a:r>
            <a:r>
              <a:rPr lang="bg-BG" sz="1200" baseline="0"/>
              <a:t> на ч</a:t>
            </a:r>
            <a:r>
              <a:rPr lang="bg-BG" sz="1200"/>
              <a:t>италища</a:t>
            </a:r>
            <a:r>
              <a:rPr lang="bg-BG" sz="1200" baseline="0"/>
              <a:t> според персонала</a:t>
            </a:r>
            <a:endParaRPr lang="en-GB"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0.18830074365704288"/>
          <c:y val="0.14768907849157911"/>
          <c:w val="0.75581036745406827"/>
          <c:h val="0.74528221223764635"/>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Sheet1!$A$29:$B$35</c:f>
              <c:multiLvlStrCache>
                <c:ptCount val="6"/>
                <c:lvl>
                  <c:pt idx="0">
                    <c:v>ГРАД</c:v>
                  </c:pt>
                  <c:pt idx="1">
                    <c:v>СЕЛО</c:v>
                  </c:pt>
                  <c:pt idx="2">
                    <c:v>ГРАД</c:v>
                  </c:pt>
                  <c:pt idx="3">
                    <c:v>СЕЛО</c:v>
                  </c:pt>
                  <c:pt idx="4">
                    <c:v>ГРАД</c:v>
                  </c:pt>
                  <c:pt idx="5">
                    <c:v>СЕЛО</c:v>
                  </c:pt>
                </c:lvl>
                <c:lvl>
                  <c:pt idx="0">
                    <c:v>2021</c:v>
                  </c:pt>
                  <c:pt idx="2">
                    <c:v>2022</c:v>
                  </c:pt>
                  <c:pt idx="4">
                    <c:v>2023</c:v>
                  </c:pt>
                </c:lvl>
              </c:multiLvlStrCache>
            </c:multiLvlStrRef>
          </c:cat>
          <c:val>
            <c:numRef>
              <c:f>Sheet1!$C$29:$C$34</c:f>
              <c:numCache>
                <c:formatCode>General</c:formatCode>
                <c:ptCount val="6"/>
                <c:pt idx="0">
                  <c:v>2590</c:v>
                </c:pt>
                <c:pt idx="1">
                  <c:v>1842</c:v>
                </c:pt>
                <c:pt idx="2">
                  <c:v>3289</c:v>
                </c:pt>
                <c:pt idx="3">
                  <c:v>1930</c:v>
                </c:pt>
                <c:pt idx="4">
                  <c:v>3442</c:v>
                </c:pt>
                <c:pt idx="5">
                  <c:v>1919</c:v>
                </c:pt>
              </c:numCache>
            </c:numRef>
          </c:val>
          <c:extLst>
            <c:ext xmlns:c16="http://schemas.microsoft.com/office/drawing/2014/chart" uri="{C3380CC4-5D6E-409C-BE32-E72D297353CC}">
              <c16:uniqueId val="{00000000-008E-4FA0-BD2C-13C0C8DB7B9B}"/>
            </c:ext>
          </c:extLst>
        </c:ser>
        <c:dLbls>
          <c:showLegendKey val="0"/>
          <c:showVal val="0"/>
          <c:showCatName val="0"/>
          <c:showSerName val="0"/>
          <c:showPercent val="0"/>
          <c:showBubbleSize val="0"/>
        </c:dLbls>
        <c:gapWidth val="100"/>
        <c:axId val="1391595872"/>
        <c:axId val="2068500576"/>
        <c:extLst>
          <c:ext xmlns:c15="http://schemas.microsoft.com/office/drawing/2012/chart" uri="{02D57815-91ED-43cb-92C2-25804820EDAC}">
            <c15:filteredBarSeries>
              <c15:ser>
                <c:idx val="1"/>
                <c:order val="1"/>
                <c:spPr>
                  <a:solidFill>
                    <a:schemeClr val="accent2"/>
                  </a:solidFill>
                  <a:ln>
                    <a:noFill/>
                  </a:ln>
                  <a:effectLst/>
                </c:spPr>
                <c:invertIfNegative val="0"/>
                <c:cat>
                  <c:multiLvlStrRef>
                    <c:extLst>
                      <c:ext uri="{02D57815-91ED-43cb-92C2-25804820EDAC}">
                        <c15:formulaRef>
                          <c15:sqref>Sheet1!$A$29:$B$35</c15:sqref>
                        </c15:formulaRef>
                      </c:ext>
                    </c:extLst>
                    <c:multiLvlStrCache>
                      <c:ptCount val="6"/>
                      <c:lvl>
                        <c:pt idx="0">
                          <c:v>ГРАД</c:v>
                        </c:pt>
                        <c:pt idx="1">
                          <c:v>СЕЛО</c:v>
                        </c:pt>
                        <c:pt idx="2">
                          <c:v>ГРАД</c:v>
                        </c:pt>
                        <c:pt idx="3">
                          <c:v>СЕЛО</c:v>
                        </c:pt>
                        <c:pt idx="4">
                          <c:v>ГРАД</c:v>
                        </c:pt>
                        <c:pt idx="5">
                          <c:v>СЕЛО</c:v>
                        </c:pt>
                      </c:lvl>
                      <c:lvl>
                        <c:pt idx="0">
                          <c:v>2021</c:v>
                        </c:pt>
                        <c:pt idx="2">
                          <c:v>2022</c:v>
                        </c:pt>
                        <c:pt idx="4">
                          <c:v>2023</c:v>
                        </c:pt>
                      </c:lvl>
                    </c:multiLvlStrCache>
                  </c:multiLvlStrRef>
                </c:cat>
                <c:val>
                  <c:numRef>
                    <c:extLst>
                      <c:ext uri="{02D57815-91ED-43cb-92C2-25804820EDAC}">
                        <c15:formulaRef>
                          <c15:sqref>Sheet1!$D$29:$D$34</c15:sqref>
                        </c15:formulaRef>
                      </c:ext>
                    </c:extLst>
                    <c:numCache>
                      <c:formatCode>General</c:formatCode>
                      <c:ptCount val="6"/>
                      <c:pt idx="0">
                        <c:v>89001</c:v>
                      </c:pt>
                      <c:pt idx="1">
                        <c:v>142918</c:v>
                      </c:pt>
                      <c:pt idx="2">
                        <c:v>86406</c:v>
                      </c:pt>
                      <c:pt idx="3">
                        <c:v>140009</c:v>
                      </c:pt>
                      <c:pt idx="4">
                        <c:v>81926</c:v>
                      </c:pt>
                      <c:pt idx="5">
                        <c:v>135133</c:v>
                      </c:pt>
                    </c:numCache>
                  </c:numRef>
                </c:val>
                <c:extLst>
                  <c:ext xmlns:c16="http://schemas.microsoft.com/office/drawing/2014/chart" uri="{C3380CC4-5D6E-409C-BE32-E72D297353CC}">
                    <c16:uniqueId val="{00000001-008E-4FA0-BD2C-13C0C8DB7B9B}"/>
                  </c:ext>
                </c:extLst>
              </c15:ser>
            </c15:filteredBarSeries>
          </c:ext>
        </c:extLst>
      </c:barChart>
      <c:catAx>
        <c:axId val="13915958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68500576"/>
        <c:crosses val="autoZero"/>
        <c:auto val="1"/>
        <c:lblAlgn val="ctr"/>
        <c:lblOffset val="100"/>
        <c:noMultiLvlLbl val="0"/>
      </c:catAx>
      <c:valAx>
        <c:axId val="2068500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3915958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200"/>
              <a:t>Разпределение на персонала в читалищата по райони</a:t>
            </a:r>
            <a:r>
              <a:rPr lang="bg-BG" sz="1200" baseline="0"/>
              <a:t> за планиране</a:t>
            </a:r>
            <a:endParaRPr lang="en-GB"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Sheet1!$W$31:$X$48</c:f>
              <c:multiLvlStrCache>
                <c:ptCount val="18"/>
                <c:lvl>
                  <c:pt idx="0">
                    <c:v>BG31</c:v>
                  </c:pt>
                  <c:pt idx="1">
                    <c:v>BG32</c:v>
                  </c:pt>
                  <c:pt idx="2">
                    <c:v>BG33</c:v>
                  </c:pt>
                  <c:pt idx="3">
                    <c:v>BG34</c:v>
                  </c:pt>
                  <c:pt idx="4">
                    <c:v>BG41</c:v>
                  </c:pt>
                  <c:pt idx="5">
                    <c:v>BG42</c:v>
                  </c:pt>
                  <c:pt idx="6">
                    <c:v>BG31</c:v>
                  </c:pt>
                  <c:pt idx="7">
                    <c:v>BG32</c:v>
                  </c:pt>
                  <c:pt idx="8">
                    <c:v>BG33</c:v>
                  </c:pt>
                  <c:pt idx="9">
                    <c:v>BG34</c:v>
                  </c:pt>
                  <c:pt idx="10">
                    <c:v>BG41</c:v>
                  </c:pt>
                  <c:pt idx="11">
                    <c:v>BG42</c:v>
                  </c:pt>
                  <c:pt idx="12">
                    <c:v>BG31</c:v>
                  </c:pt>
                  <c:pt idx="13">
                    <c:v>BG32</c:v>
                  </c:pt>
                  <c:pt idx="14">
                    <c:v>BG33</c:v>
                  </c:pt>
                  <c:pt idx="15">
                    <c:v>BG34</c:v>
                  </c:pt>
                  <c:pt idx="16">
                    <c:v>BG41</c:v>
                  </c:pt>
                  <c:pt idx="17">
                    <c:v>BG42</c:v>
                  </c:pt>
                </c:lvl>
                <c:lvl>
                  <c:pt idx="0">
                    <c:v>2021</c:v>
                  </c:pt>
                  <c:pt idx="6">
                    <c:v>2022</c:v>
                  </c:pt>
                  <c:pt idx="12">
                    <c:v>2023</c:v>
                  </c:pt>
                </c:lvl>
              </c:multiLvlStrCache>
            </c:multiLvlStrRef>
          </c:cat>
          <c:val>
            <c:numRef>
              <c:f>Sheet1!$Y$31:$Y$48</c:f>
              <c:numCache>
                <c:formatCode>General</c:formatCode>
                <c:ptCount val="18"/>
                <c:pt idx="0">
                  <c:v>635</c:v>
                </c:pt>
                <c:pt idx="1">
                  <c:v>714</c:v>
                </c:pt>
                <c:pt idx="2">
                  <c:v>722</c:v>
                </c:pt>
                <c:pt idx="3">
                  <c:v>698</c:v>
                </c:pt>
                <c:pt idx="4">
                  <c:v>920</c:v>
                </c:pt>
                <c:pt idx="5">
                  <c:v>751</c:v>
                </c:pt>
                <c:pt idx="6">
                  <c:v>834</c:v>
                </c:pt>
                <c:pt idx="7">
                  <c:v>835</c:v>
                </c:pt>
                <c:pt idx="8">
                  <c:v>784</c:v>
                </c:pt>
                <c:pt idx="9">
                  <c:v>757</c:v>
                </c:pt>
                <c:pt idx="10">
                  <c:v>1114</c:v>
                </c:pt>
                <c:pt idx="11">
                  <c:v>902</c:v>
                </c:pt>
                <c:pt idx="12">
                  <c:v>889</c:v>
                </c:pt>
                <c:pt idx="13">
                  <c:v>820</c:v>
                </c:pt>
                <c:pt idx="14">
                  <c:v>807</c:v>
                </c:pt>
                <c:pt idx="15">
                  <c:v>724</c:v>
                </c:pt>
                <c:pt idx="16">
                  <c:v>1182</c:v>
                </c:pt>
                <c:pt idx="17">
                  <c:v>946</c:v>
                </c:pt>
              </c:numCache>
            </c:numRef>
          </c:val>
          <c:extLst>
            <c:ext xmlns:c16="http://schemas.microsoft.com/office/drawing/2014/chart" uri="{C3380CC4-5D6E-409C-BE32-E72D297353CC}">
              <c16:uniqueId val="{00000000-EB7B-4A96-A9D3-D1FEA2D7BD3B}"/>
            </c:ext>
          </c:extLst>
        </c:ser>
        <c:dLbls>
          <c:showLegendKey val="0"/>
          <c:showVal val="0"/>
          <c:showCatName val="0"/>
          <c:showSerName val="0"/>
          <c:showPercent val="0"/>
          <c:showBubbleSize val="0"/>
        </c:dLbls>
        <c:gapWidth val="100"/>
        <c:axId val="1955354128"/>
        <c:axId val="1955353168"/>
      </c:barChart>
      <c:catAx>
        <c:axId val="19553541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955353168"/>
        <c:crosses val="autoZero"/>
        <c:auto val="1"/>
        <c:lblAlgn val="ctr"/>
        <c:lblOffset val="100"/>
        <c:noMultiLvlLbl val="0"/>
      </c:catAx>
      <c:valAx>
        <c:axId val="1955353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9553541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200"/>
              <a:t>Разпределение на персонала в читалищата по</a:t>
            </a:r>
            <a:r>
              <a:rPr lang="bg-BG" sz="1200" baseline="0"/>
              <a:t> категории общини</a:t>
            </a:r>
            <a:endParaRPr lang="en-GB"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1"/>
          <c:order val="1"/>
          <c:tx>
            <c:strRef>
              <c:f>Sheet1!$C$166</c:f>
              <c:strCache>
                <c:ptCount val="1"/>
                <c:pt idx="0">
                  <c:v>Персонал</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Sheet1!$A$167:$B$184</c:f>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f>Sheet1!$C$167:$C$184</c:f>
              <c:numCache>
                <c:formatCode>General</c:formatCode>
                <c:ptCount val="18"/>
                <c:pt idx="0">
                  <c:v>474</c:v>
                </c:pt>
                <c:pt idx="1">
                  <c:v>1235</c:v>
                </c:pt>
                <c:pt idx="2">
                  <c:v>625</c:v>
                </c:pt>
                <c:pt idx="3">
                  <c:v>1184</c:v>
                </c:pt>
                <c:pt idx="4">
                  <c:v>681</c:v>
                </c:pt>
                <c:pt idx="5">
                  <c:v>241</c:v>
                </c:pt>
                <c:pt idx="6">
                  <c:v>532</c:v>
                </c:pt>
                <c:pt idx="7">
                  <c:v>1463</c:v>
                </c:pt>
                <c:pt idx="8">
                  <c:v>682</c:v>
                </c:pt>
                <c:pt idx="9">
                  <c:v>1523</c:v>
                </c:pt>
                <c:pt idx="10">
                  <c:v>732</c:v>
                </c:pt>
                <c:pt idx="11">
                  <c:v>294</c:v>
                </c:pt>
                <c:pt idx="12">
                  <c:v>606</c:v>
                </c:pt>
                <c:pt idx="13">
                  <c:v>1522</c:v>
                </c:pt>
                <c:pt idx="14">
                  <c:v>677</c:v>
                </c:pt>
                <c:pt idx="15">
                  <c:v>1528</c:v>
                </c:pt>
                <c:pt idx="16">
                  <c:v>721</c:v>
                </c:pt>
                <c:pt idx="17">
                  <c:v>314</c:v>
                </c:pt>
              </c:numCache>
            </c:numRef>
          </c:val>
          <c:extLst>
            <c:ext xmlns:c16="http://schemas.microsoft.com/office/drawing/2014/chart" uri="{C3380CC4-5D6E-409C-BE32-E72D297353CC}">
              <c16:uniqueId val="{00000000-C9E2-4732-A0BC-1E8482889D87}"/>
            </c:ext>
          </c:extLst>
        </c:ser>
        <c:dLbls>
          <c:showLegendKey val="0"/>
          <c:showVal val="0"/>
          <c:showCatName val="0"/>
          <c:showSerName val="0"/>
          <c:showPercent val="0"/>
          <c:showBubbleSize val="0"/>
        </c:dLbls>
        <c:gapWidth val="100"/>
        <c:overlap val="-27"/>
        <c:axId val="375328976"/>
        <c:axId val="375320816"/>
        <c:extLst>
          <c:ext xmlns:c15="http://schemas.microsoft.com/office/drawing/2012/chart" uri="{02D57815-91ED-43cb-92C2-25804820EDAC}">
            <c15:filteredBarSeries>
              <c15:ser>
                <c:idx val="0"/>
                <c:order val="0"/>
                <c:tx>
                  <c:strRef>
                    <c:extLst>
                      <c:ext uri="{02D57815-91ED-43cb-92C2-25804820EDAC}">
                        <c15:formulaRef>
                          <c15:sqref>Sheet1!$B$166</c15:sqref>
                        </c15:formulaRef>
                      </c:ext>
                    </c:extLst>
                    <c:strCache>
                      <c:ptCount val="1"/>
                      <c:pt idx="0">
                        <c:v>Категория</c:v>
                      </c:pt>
                    </c:strCache>
                  </c:strRef>
                </c:tx>
                <c:spPr>
                  <a:solidFill>
                    <a:schemeClr val="accent1"/>
                  </a:solidFill>
                  <a:ln>
                    <a:noFill/>
                  </a:ln>
                  <a:effectLst/>
                </c:spPr>
                <c:invertIfNegative val="0"/>
                <c:cat>
                  <c:multiLvlStrRef>
                    <c:extLst>
                      <c:ext uri="{02D57815-91ED-43cb-92C2-25804820EDAC}">
                        <c15:formulaRef>
                          <c15:sqref>Sheet1!$A$167:$B$184</c15:sqref>
                        </c15:formulaRef>
                      </c:ext>
                    </c:extLst>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extLst>
                      <c:ext uri="{02D57815-91ED-43cb-92C2-25804820EDAC}">
                        <c15:formulaRef>
                          <c15:sqref>Sheet1!$B$167:$B$184</c15:sqref>
                        </c15:formulaRef>
                      </c:ext>
                    </c:extLst>
                    <c:numCache>
                      <c:formatCode>General</c:formatCode>
                      <c:ptCount val="18"/>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numCache>
                  </c:numRef>
                </c:val>
                <c:extLst>
                  <c:ext xmlns:c16="http://schemas.microsoft.com/office/drawing/2014/chart" uri="{C3380CC4-5D6E-409C-BE32-E72D297353CC}">
                    <c16:uniqueId val="{00000001-C9E2-4732-A0BC-1E8482889D87}"/>
                  </c:ext>
                </c:extLst>
              </c15:ser>
            </c15:filteredBarSeries>
          </c:ext>
        </c:extLst>
      </c:barChart>
      <c:catAx>
        <c:axId val="375328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375320816"/>
        <c:crosses val="autoZero"/>
        <c:auto val="1"/>
        <c:lblAlgn val="ctr"/>
        <c:lblOffset val="100"/>
        <c:noMultiLvlLbl val="0"/>
      </c:catAx>
      <c:valAx>
        <c:axId val="3753208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37532897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a:t>
            </a:r>
            <a:r>
              <a:rPr lang="bg-BG" sz="1100" baseline="0"/>
              <a:t> на читалищния персонал според образованието, 2022 г., НСИ</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04B-4633-A31D-F88B421E4D8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04B-4633-A31D-F88B421E4D8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04B-4633-A31D-F88B421E4D8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'версия 2 допълнения'!$A$56:$A$58</c:f>
              <c:strCache>
                <c:ptCount val="3"/>
                <c:pt idx="0">
                  <c:v>Основно</c:v>
                </c:pt>
                <c:pt idx="1">
                  <c:v>Средно</c:v>
                </c:pt>
                <c:pt idx="2">
                  <c:v>Висше</c:v>
                </c:pt>
              </c:strCache>
            </c:strRef>
          </c:cat>
          <c:val>
            <c:numRef>
              <c:f>'версия 2 допълнения'!$B$56:$B$58</c:f>
              <c:numCache>
                <c:formatCode>0</c:formatCode>
                <c:ptCount val="3"/>
                <c:pt idx="0">
                  <c:v>323</c:v>
                </c:pt>
                <c:pt idx="1">
                  <c:v>5799</c:v>
                </c:pt>
                <c:pt idx="2">
                  <c:v>5662</c:v>
                </c:pt>
              </c:numCache>
            </c:numRef>
          </c:val>
          <c:extLst>
            <c:ext xmlns:c16="http://schemas.microsoft.com/office/drawing/2014/chart" uri="{C3380CC4-5D6E-409C-BE32-E72D297353CC}">
              <c16:uniqueId val="{00000006-404B-4633-A31D-F88B421E4D8A}"/>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a:t>
            </a:r>
            <a:r>
              <a:rPr lang="bg-BG" sz="1100" baseline="0"/>
              <a:t> на секретарите на читалищата според тяхното образование, 2022 г., НСИ</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48A-4C49-A9C8-130BBD92B30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48A-4C49-A9C8-130BBD92B30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48A-4C49-A9C8-130BBD92B30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'версия 2 допълнения'!$A$61:$A$63</c:f>
              <c:strCache>
                <c:ptCount val="3"/>
                <c:pt idx="0">
                  <c:v>Основно</c:v>
                </c:pt>
                <c:pt idx="1">
                  <c:v>Средно</c:v>
                </c:pt>
                <c:pt idx="2">
                  <c:v>Висше</c:v>
                </c:pt>
              </c:strCache>
            </c:strRef>
          </c:cat>
          <c:val>
            <c:numRef>
              <c:f>'версия 2 допълнения'!$B$61:$B$63</c:f>
              <c:numCache>
                <c:formatCode>General</c:formatCode>
                <c:ptCount val="3"/>
                <c:pt idx="0">
                  <c:v>11.5</c:v>
                </c:pt>
                <c:pt idx="1">
                  <c:v>2412.1428571428569</c:v>
                </c:pt>
                <c:pt idx="2">
                  <c:v>767.07142857142856</c:v>
                </c:pt>
              </c:numCache>
            </c:numRef>
          </c:val>
          <c:extLst>
            <c:ext xmlns:c16="http://schemas.microsoft.com/office/drawing/2014/chart" uri="{C3380CC4-5D6E-409C-BE32-E72D297353CC}">
              <c16:uniqueId val="{00000006-348A-4C49-A9C8-130BBD92B30E}"/>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200"/>
              <a:t>Разпределение на специалистите с висше  образование</a:t>
            </a:r>
            <a:endParaRPr lang="en-GB"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Sheet1!$A$40:$B$48</c:f>
              <c:multiLvlStrCache>
                <c:ptCount val="6"/>
                <c:lvl>
                  <c:pt idx="0">
                    <c:v>ГРАД</c:v>
                  </c:pt>
                  <c:pt idx="1">
                    <c:v>СЕЛО</c:v>
                  </c:pt>
                  <c:pt idx="2">
                    <c:v>ГРАД</c:v>
                  </c:pt>
                  <c:pt idx="3">
                    <c:v>СЕЛО</c:v>
                  </c:pt>
                  <c:pt idx="4">
                    <c:v>ГРАД</c:v>
                  </c:pt>
                  <c:pt idx="5">
                    <c:v>СЕЛО</c:v>
                  </c:pt>
                </c:lvl>
                <c:lvl>
                  <c:pt idx="0">
                    <c:v>2021</c:v>
                  </c:pt>
                  <c:pt idx="2">
                    <c:v>2022</c:v>
                  </c:pt>
                  <c:pt idx="4">
                    <c:v>2023</c:v>
                  </c:pt>
                </c:lvl>
              </c:multiLvlStrCache>
            </c:multiLvlStrRef>
          </c:cat>
          <c:val>
            <c:numRef>
              <c:f>Sheet1!$C$40:$C$45</c:f>
              <c:numCache>
                <c:formatCode>General</c:formatCode>
                <c:ptCount val="6"/>
                <c:pt idx="0">
                  <c:v>1987</c:v>
                </c:pt>
                <c:pt idx="1">
                  <c:v>723</c:v>
                </c:pt>
                <c:pt idx="2">
                  <c:v>1951</c:v>
                </c:pt>
                <c:pt idx="3">
                  <c:v>760</c:v>
                </c:pt>
                <c:pt idx="4">
                  <c:v>1855</c:v>
                </c:pt>
                <c:pt idx="5">
                  <c:v>701</c:v>
                </c:pt>
              </c:numCache>
            </c:numRef>
          </c:val>
          <c:extLst>
            <c:ext xmlns:c16="http://schemas.microsoft.com/office/drawing/2014/chart" uri="{C3380CC4-5D6E-409C-BE32-E72D297353CC}">
              <c16:uniqueId val="{00000000-0FA7-4923-84EB-843E46336643}"/>
            </c:ext>
          </c:extLst>
        </c:ser>
        <c:dLbls>
          <c:showLegendKey val="0"/>
          <c:showVal val="0"/>
          <c:showCatName val="0"/>
          <c:showSerName val="0"/>
          <c:showPercent val="0"/>
          <c:showBubbleSize val="0"/>
        </c:dLbls>
        <c:gapWidth val="100"/>
        <c:overlap val="-27"/>
        <c:axId val="7473600"/>
        <c:axId val="7484640"/>
      </c:barChart>
      <c:catAx>
        <c:axId val="7473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bg-BG"/>
          </a:p>
        </c:txPr>
        <c:crossAx val="7484640"/>
        <c:crosses val="autoZero"/>
        <c:auto val="1"/>
        <c:lblAlgn val="ctr"/>
        <c:lblOffset val="100"/>
        <c:noMultiLvlLbl val="0"/>
      </c:catAx>
      <c:valAx>
        <c:axId val="74846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74736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200"/>
              <a:t>Разпределение на специалистите с висше образование</a:t>
            </a:r>
            <a:r>
              <a:rPr lang="bg-BG" sz="1200" baseline="0"/>
              <a:t> според районите за планиране</a:t>
            </a:r>
            <a:endParaRPr lang="en-GB"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Sheet1!$W$53:$X$70</c:f>
              <c:multiLvlStrCache>
                <c:ptCount val="18"/>
                <c:lvl>
                  <c:pt idx="0">
                    <c:v>BG31</c:v>
                  </c:pt>
                  <c:pt idx="1">
                    <c:v>BG32</c:v>
                  </c:pt>
                  <c:pt idx="2">
                    <c:v>BG33</c:v>
                  </c:pt>
                  <c:pt idx="3">
                    <c:v>BG34</c:v>
                  </c:pt>
                  <c:pt idx="4">
                    <c:v>BG41</c:v>
                  </c:pt>
                  <c:pt idx="5">
                    <c:v>BG42</c:v>
                  </c:pt>
                  <c:pt idx="6">
                    <c:v>BG31</c:v>
                  </c:pt>
                  <c:pt idx="7">
                    <c:v>BG32</c:v>
                  </c:pt>
                  <c:pt idx="8">
                    <c:v>BG33</c:v>
                  </c:pt>
                  <c:pt idx="9">
                    <c:v>BG34</c:v>
                  </c:pt>
                  <c:pt idx="10">
                    <c:v>BG41</c:v>
                  </c:pt>
                  <c:pt idx="11">
                    <c:v>BG42</c:v>
                  </c:pt>
                  <c:pt idx="12">
                    <c:v>BG31</c:v>
                  </c:pt>
                  <c:pt idx="13">
                    <c:v>BG32</c:v>
                  </c:pt>
                  <c:pt idx="14">
                    <c:v>BG33</c:v>
                  </c:pt>
                  <c:pt idx="15">
                    <c:v>BG34</c:v>
                  </c:pt>
                  <c:pt idx="16">
                    <c:v>BG41</c:v>
                  </c:pt>
                  <c:pt idx="17">
                    <c:v>BG42</c:v>
                  </c:pt>
                </c:lvl>
                <c:lvl>
                  <c:pt idx="0">
                    <c:v>2021</c:v>
                  </c:pt>
                  <c:pt idx="6">
                    <c:v>2022</c:v>
                  </c:pt>
                  <c:pt idx="12">
                    <c:v>2023</c:v>
                  </c:pt>
                </c:lvl>
              </c:multiLvlStrCache>
            </c:multiLvlStrRef>
          </c:cat>
          <c:val>
            <c:numRef>
              <c:f>Sheet1!$Y$53:$Y$70</c:f>
              <c:numCache>
                <c:formatCode>General</c:formatCode>
                <c:ptCount val="18"/>
                <c:pt idx="0">
                  <c:v>333</c:v>
                </c:pt>
                <c:pt idx="1">
                  <c:v>319</c:v>
                </c:pt>
                <c:pt idx="2">
                  <c:v>292</c:v>
                </c:pt>
                <c:pt idx="3">
                  <c:v>285</c:v>
                </c:pt>
                <c:pt idx="4">
                  <c:v>933</c:v>
                </c:pt>
                <c:pt idx="5">
                  <c:v>551</c:v>
                </c:pt>
                <c:pt idx="6">
                  <c:v>335</c:v>
                </c:pt>
                <c:pt idx="7">
                  <c:v>341</c:v>
                </c:pt>
                <c:pt idx="8">
                  <c:v>315</c:v>
                </c:pt>
                <c:pt idx="9">
                  <c:v>325</c:v>
                </c:pt>
                <c:pt idx="10">
                  <c:v>869</c:v>
                </c:pt>
                <c:pt idx="11">
                  <c:v>529</c:v>
                </c:pt>
                <c:pt idx="12">
                  <c:v>308</c:v>
                </c:pt>
                <c:pt idx="13">
                  <c:v>270</c:v>
                </c:pt>
                <c:pt idx="14">
                  <c:v>348</c:v>
                </c:pt>
                <c:pt idx="15">
                  <c:v>273</c:v>
                </c:pt>
                <c:pt idx="16">
                  <c:v>846</c:v>
                </c:pt>
                <c:pt idx="17">
                  <c:v>514</c:v>
                </c:pt>
              </c:numCache>
            </c:numRef>
          </c:val>
          <c:extLst>
            <c:ext xmlns:c16="http://schemas.microsoft.com/office/drawing/2014/chart" uri="{C3380CC4-5D6E-409C-BE32-E72D297353CC}">
              <c16:uniqueId val="{00000000-9AF5-46A2-A218-C660CF0ECE29}"/>
            </c:ext>
          </c:extLst>
        </c:ser>
        <c:dLbls>
          <c:showLegendKey val="0"/>
          <c:showVal val="0"/>
          <c:showCatName val="0"/>
          <c:showSerName val="0"/>
          <c:showPercent val="0"/>
          <c:showBubbleSize val="0"/>
        </c:dLbls>
        <c:gapWidth val="100"/>
        <c:axId val="2065388656"/>
        <c:axId val="2065392976"/>
      </c:barChart>
      <c:catAx>
        <c:axId val="20653886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65392976"/>
        <c:crosses val="autoZero"/>
        <c:auto val="1"/>
        <c:lblAlgn val="ctr"/>
        <c:lblOffset val="100"/>
        <c:noMultiLvlLbl val="0"/>
      </c:catAx>
      <c:valAx>
        <c:axId val="20653929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653886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200"/>
              <a:t>Разпределение</a:t>
            </a:r>
            <a:r>
              <a:rPr lang="bg-BG" sz="1200" baseline="0"/>
              <a:t> на читалищата според персонала с висше образование по категории общини</a:t>
            </a:r>
            <a:endParaRPr lang="en-GB"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1"/>
          <c:order val="1"/>
          <c:tx>
            <c:strRef>
              <c:f>Sheet1!$C$189</c:f>
              <c:strCache>
                <c:ptCount val="1"/>
                <c:pt idx="0">
                  <c:v>Специалисти с висше образование</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Sheet1!$A$190:$B$207</c:f>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f>Sheet1!$C$190:$C$207</c:f>
              <c:numCache>
                <c:formatCode>General</c:formatCode>
                <c:ptCount val="18"/>
                <c:pt idx="0">
                  <c:v>499</c:v>
                </c:pt>
                <c:pt idx="1">
                  <c:v>854</c:v>
                </c:pt>
                <c:pt idx="2">
                  <c:v>409</c:v>
                </c:pt>
                <c:pt idx="3">
                  <c:v>547</c:v>
                </c:pt>
                <c:pt idx="4">
                  <c:v>299</c:v>
                </c:pt>
                <c:pt idx="5">
                  <c:v>105</c:v>
                </c:pt>
                <c:pt idx="6">
                  <c:v>451</c:v>
                </c:pt>
                <c:pt idx="7">
                  <c:v>864</c:v>
                </c:pt>
                <c:pt idx="8">
                  <c:v>428</c:v>
                </c:pt>
                <c:pt idx="9">
                  <c:v>543</c:v>
                </c:pt>
                <c:pt idx="10">
                  <c:v>310</c:v>
                </c:pt>
                <c:pt idx="11">
                  <c:v>118</c:v>
                </c:pt>
                <c:pt idx="12">
                  <c:v>437</c:v>
                </c:pt>
                <c:pt idx="13">
                  <c:v>815</c:v>
                </c:pt>
                <c:pt idx="14">
                  <c:v>384</c:v>
                </c:pt>
                <c:pt idx="15">
                  <c:v>524</c:v>
                </c:pt>
                <c:pt idx="16">
                  <c:v>297</c:v>
                </c:pt>
                <c:pt idx="17">
                  <c:v>102</c:v>
                </c:pt>
              </c:numCache>
            </c:numRef>
          </c:val>
          <c:extLst>
            <c:ext xmlns:c16="http://schemas.microsoft.com/office/drawing/2014/chart" uri="{C3380CC4-5D6E-409C-BE32-E72D297353CC}">
              <c16:uniqueId val="{00000000-721F-4A1D-B170-1490CAFF7E44}"/>
            </c:ext>
          </c:extLst>
        </c:ser>
        <c:dLbls>
          <c:showLegendKey val="0"/>
          <c:showVal val="0"/>
          <c:showCatName val="0"/>
          <c:showSerName val="0"/>
          <c:showPercent val="0"/>
          <c:showBubbleSize val="0"/>
        </c:dLbls>
        <c:gapWidth val="100"/>
        <c:overlap val="-27"/>
        <c:axId val="1736530688"/>
        <c:axId val="1736519168"/>
        <c:extLst>
          <c:ext xmlns:c15="http://schemas.microsoft.com/office/drawing/2012/chart" uri="{02D57815-91ED-43cb-92C2-25804820EDAC}">
            <c15:filteredBarSeries>
              <c15:ser>
                <c:idx val="0"/>
                <c:order val="0"/>
                <c:tx>
                  <c:strRef>
                    <c:extLst>
                      <c:ext uri="{02D57815-91ED-43cb-92C2-25804820EDAC}">
                        <c15:formulaRef>
                          <c15:sqref>Sheet1!$B$189</c15:sqref>
                        </c15:formulaRef>
                      </c:ext>
                    </c:extLst>
                    <c:strCache>
                      <c:ptCount val="1"/>
                      <c:pt idx="0">
                        <c:v>Категории</c:v>
                      </c:pt>
                    </c:strCache>
                  </c:strRef>
                </c:tx>
                <c:spPr>
                  <a:solidFill>
                    <a:schemeClr val="accent1"/>
                  </a:solidFill>
                  <a:ln>
                    <a:noFill/>
                  </a:ln>
                  <a:effectLst/>
                </c:spPr>
                <c:invertIfNegative val="0"/>
                <c:cat>
                  <c:multiLvlStrRef>
                    <c:extLst>
                      <c:ext uri="{02D57815-91ED-43cb-92C2-25804820EDAC}">
                        <c15:formulaRef>
                          <c15:sqref>Sheet1!$A$190:$B$207</c15:sqref>
                        </c15:formulaRef>
                      </c:ext>
                    </c:extLst>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extLst>
                      <c:ext uri="{02D57815-91ED-43cb-92C2-25804820EDAC}">
                        <c15:formulaRef>
                          <c15:sqref>Sheet1!$B$190:$B$207</c15:sqref>
                        </c15:formulaRef>
                      </c:ext>
                    </c:extLst>
                    <c:numCache>
                      <c:formatCode>General</c:formatCode>
                      <c:ptCount val="18"/>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numCache>
                  </c:numRef>
                </c:val>
                <c:extLst>
                  <c:ext xmlns:c16="http://schemas.microsoft.com/office/drawing/2014/chart" uri="{C3380CC4-5D6E-409C-BE32-E72D297353CC}">
                    <c16:uniqueId val="{00000001-721F-4A1D-B170-1490CAFF7E44}"/>
                  </c:ext>
                </c:extLst>
              </c15:ser>
            </c15:filteredBarSeries>
          </c:ext>
        </c:extLst>
      </c:barChart>
      <c:catAx>
        <c:axId val="1736530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736519168"/>
        <c:crosses val="autoZero"/>
        <c:auto val="1"/>
        <c:lblAlgn val="ctr"/>
        <c:lblOffset val="100"/>
        <c:noMultiLvlLbl val="0"/>
      </c:catAx>
      <c:valAx>
        <c:axId val="1736519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73653068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Среден осигурителен доход и среден</a:t>
            </a:r>
            <a:r>
              <a:rPr lang="bg-BG" sz="1100" baseline="0"/>
              <a:t> брой сключени трудови договори</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Sheet1!$C$111</c:f>
              <c:strCache>
                <c:ptCount val="1"/>
                <c:pt idx="0">
                  <c:v>Среден осигурителен доход</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Sheet1!$A$112:$B$117</c:f>
              <c:multiLvlStrCache>
                <c:ptCount val="6"/>
                <c:lvl>
                  <c:pt idx="0">
                    <c:v>ГРАД</c:v>
                  </c:pt>
                  <c:pt idx="1">
                    <c:v>СЕЛО</c:v>
                  </c:pt>
                  <c:pt idx="2">
                    <c:v>ГРАД</c:v>
                  </c:pt>
                  <c:pt idx="3">
                    <c:v>СЕЛО</c:v>
                  </c:pt>
                  <c:pt idx="4">
                    <c:v>ГРАД</c:v>
                  </c:pt>
                  <c:pt idx="5">
                    <c:v>СЕЛО</c:v>
                  </c:pt>
                </c:lvl>
                <c:lvl>
                  <c:pt idx="0">
                    <c:v>2021</c:v>
                  </c:pt>
                  <c:pt idx="2">
                    <c:v>2022</c:v>
                  </c:pt>
                  <c:pt idx="4">
                    <c:v>2023</c:v>
                  </c:pt>
                </c:lvl>
              </c:multiLvlStrCache>
            </c:multiLvlStrRef>
          </c:cat>
          <c:val>
            <c:numRef>
              <c:f>Sheet1!$C$112:$C$117</c:f>
              <c:numCache>
                <c:formatCode>0.0</c:formatCode>
                <c:ptCount val="6"/>
                <c:pt idx="0">
                  <c:v>721.17293640054561</c:v>
                </c:pt>
                <c:pt idx="1">
                  <c:v>694.05210134656363</c:v>
                </c:pt>
                <c:pt idx="2">
                  <c:v>784.21208672086664</c:v>
                </c:pt>
                <c:pt idx="3">
                  <c:v>749.57146358792113</c:v>
                </c:pt>
                <c:pt idx="4">
                  <c:v>882.71815468113914</c:v>
                </c:pt>
                <c:pt idx="5">
                  <c:v>842.92387211367361</c:v>
                </c:pt>
              </c:numCache>
            </c:numRef>
          </c:val>
          <c:extLst>
            <c:ext xmlns:c16="http://schemas.microsoft.com/office/drawing/2014/chart" uri="{C3380CC4-5D6E-409C-BE32-E72D297353CC}">
              <c16:uniqueId val="{00000000-AE05-4D95-84FB-2728A22429BA}"/>
            </c:ext>
          </c:extLst>
        </c:ser>
        <c:ser>
          <c:idx val="1"/>
          <c:order val="1"/>
          <c:tx>
            <c:strRef>
              <c:f>Sheet1!$D$111</c:f>
              <c:strCache>
                <c:ptCount val="1"/>
                <c:pt idx="0">
                  <c:v>Среден брой трудови договори</c:v>
                </c:pt>
              </c:strCache>
            </c:strRef>
          </c:tx>
          <c:spPr>
            <a:solidFill>
              <a:schemeClr val="accent2"/>
            </a:solidFill>
            <a:ln>
              <a:noFill/>
            </a:ln>
            <a:effectLst/>
          </c:spPr>
          <c:invertIfNegative val="0"/>
          <c:cat>
            <c:multiLvlStrRef>
              <c:f>Sheet1!$A$112:$B$117</c:f>
              <c:multiLvlStrCache>
                <c:ptCount val="6"/>
                <c:lvl>
                  <c:pt idx="0">
                    <c:v>ГРАД</c:v>
                  </c:pt>
                  <c:pt idx="1">
                    <c:v>СЕЛО</c:v>
                  </c:pt>
                  <c:pt idx="2">
                    <c:v>ГРАД</c:v>
                  </c:pt>
                  <c:pt idx="3">
                    <c:v>СЕЛО</c:v>
                  </c:pt>
                  <c:pt idx="4">
                    <c:v>ГРАД</c:v>
                  </c:pt>
                  <c:pt idx="5">
                    <c:v>СЕЛО</c:v>
                  </c:pt>
                </c:lvl>
                <c:lvl>
                  <c:pt idx="0">
                    <c:v>2021</c:v>
                  </c:pt>
                  <c:pt idx="2">
                    <c:v>2022</c:v>
                  </c:pt>
                  <c:pt idx="4">
                    <c:v>2023</c:v>
                  </c:pt>
                </c:lvl>
              </c:multiLvlStrCache>
            </c:multiLvlStrRef>
          </c:cat>
          <c:val>
            <c:numRef>
              <c:f>Sheet1!$D$112:$D$117</c:f>
              <c:numCache>
                <c:formatCode>0.0</c:formatCode>
                <c:ptCount val="6"/>
                <c:pt idx="0">
                  <c:v>202.44519621109609</c:v>
                </c:pt>
                <c:pt idx="1">
                  <c:v>48.107725017717932</c:v>
                </c:pt>
                <c:pt idx="2">
                  <c:v>197.64634146341464</c:v>
                </c:pt>
                <c:pt idx="3">
                  <c:v>47.909769094138547</c:v>
                </c:pt>
                <c:pt idx="4">
                  <c:v>199.22795115332428</c:v>
                </c:pt>
                <c:pt idx="5">
                  <c:v>47.532149200710478</c:v>
                </c:pt>
              </c:numCache>
            </c:numRef>
          </c:val>
          <c:extLst>
            <c:ext xmlns:c16="http://schemas.microsoft.com/office/drawing/2014/chart" uri="{C3380CC4-5D6E-409C-BE32-E72D297353CC}">
              <c16:uniqueId val="{00000001-AE05-4D95-84FB-2728A22429BA}"/>
            </c:ext>
          </c:extLst>
        </c:ser>
        <c:dLbls>
          <c:showLegendKey val="0"/>
          <c:showVal val="0"/>
          <c:showCatName val="0"/>
          <c:showSerName val="0"/>
          <c:showPercent val="0"/>
          <c:showBubbleSize val="0"/>
        </c:dLbls>
        <c:gapWidth val="219"/>
        <c:overlap val="-27"/>
        <c:axId val="2070865184"/>
        <c:axId val="2070864704"/>
      </c:barChart>
      <c:catAx>
        <c:axId val="2070865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70864704"/>
        <c:crosses val="autoZero"/>
        <c:auto val="1"/>
        <c:lblAlgn val="ctr"/>
        <c:lblOffset val="100"/>
        <c:noMultiLvlLbl val="0"/>
      </c:catAx>
      <c:valAx>
        <c:axId val="207086470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708651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Среден осигурителен доход през 2023 г. на заетите в читалищата по области</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Sheet1!$A$123:$A$150</c:f>
              <c:strCache>
                <c:ptCount val="28"/>
                <c:pt idx="0">
                  <c:v>РАЗГРАД</c:v>
                </c:pt>
                <c:pt idx="1">
                  <c:v>ГАБРОВО</c:v>
                </c:pt>
                <c:pt idx="2">
                  <c:v>ДОБРИЧ</c:v>
                </c:pt>
                <c:pt idx="3">
                  <c:v>ВЕЛИКО ТЪРНОВО</c:v>
                </c:pt>
                <c:pt idx="4">
                  <c:v>ШУМЕН</c:v>
                </c:pt>
                <c:pt idx="5">
                  <c:v>МОНТАНА</c:v>
                </c:pt>
                <c:pt idx="6">
                  <c:v>ЛОВЕЧ</c:v>
                </c:pt>
                <c:pt idx="7">
                  <c:v>СИЛИСТРА</c:v>
                </c:pt>
                <c:pt idx="8">
                  <c:v>ТЪРГОВИЩЕ</c:v>
                </c:pt>
                <c:pt idx="9">
                  <c:v>СОФИЯ</c:v>
                </c:pt>
                <c:pt idx="10">
                  <c:v>ПЛОВДИВ</c:v>
                </c:pt>
                <c:pt idx="11">
                  <c:v>ПЛЕВЕН</c:v>
                </c:pt>
                <c:pt idx="12">
                  <c:v>СТАРА ЗАГОРА</c:v>
                </c:pt>
                <c:pt idx="13">
                  <c:v>СМОЛЯН</c:v>
                </c:pt>
                <c:pt idx="14">
                  <c:v>КЪРДЖАЛИ</c:v>
                </c:pt>
                <c:pt idx="15">
                  <c:v>ВРАЦА</c:v>
                </c:pt>
                <c:pt idx="16">
                  <c:v>КЮСТЕНДИЛ</c:v>
                </c:pt>
                <c:pt idx="17">
                  <c:v>БЛАГОЕВГРАД</c:v>
                </c:pt>
                <c:pt idx="18">
                  <c:v>ЯМБОЛ</c:v>
                </c:pt>
                <c:pt idx="19">
                  <c:v>РУСЕ</c:v>
                </c:pt>
                <c:pt idx="20">
                  <c:v>ХАСКОВО</c:v>
                </c:pt>
                <c:pt idx="21">
                  <c:v>ВАРНА</c:v>
                </c:pt>
                <c:pt idx="22">
                  <c:v>СЛИВЕН</c:v>
                </c:pt>
                <c:pt idx="23">
                  <c:v>БУРГАС</c:v>
                </c:pt>
                <c:pt idx="24">
                  <c:v>ВИДИН</c:v>
                </c:pt>
                <c:pt idx="25">
                  <c:v>ПАЗАРДЖИК</c:v>
                </c:pt>
                <c:pt idx="26">
                  <c:v>СОФИЯ-ГРАД</c:v>
                </c:pt>
                <c:pt idx="27">
                  <c:v>ПЕРНИК</c:v>
                </c:pt>
              </c:strCache>
            </c:strRef>
          </c:cat>
          <c:val>
            <c:numRef>
              <c:f>Sheet1!$B$123:$B$150</c:f>
              <c:numCache>
                <c:formatCode>0</c:formatCode>
                <c:ptCount val="28"/>
                <c:pt idx="0">
                  <c:v>778.01885714285652</c:v>
                </c:pt>
                <c:pt idx="1">
                  <c:v>793.4349999999996</c:v>
                </c:pt>
                <c:pt idx="2">
                  <c:v>802.15777777777782</c:v>
                </c:pt>
                <c:pt idx="3">
                  <c:v>805.05713414634033</c:v>
                </c:pt>
                <c:pt idx="4">
                  <c:v>810.41007407407596</c:v>
                </c:pt>
                <c:pt idx="5">
                  <c:v>819.25676190476179</c:v>
                </c:pt>
                <c:pt idx="6">
                  <c:v>821.80694444444475</c:v>
                </c:pt>
                <c:pt idx="7">
                  <c:v>826.57236363636366</c:v>
                </c:pt>
                <c:pt idx="8">
                  <c:v>826.921101694914</c:v>
                </c:pt>
                <c:pt idx="9">
                  <c:v>828.99705521472276</c:v>
                </c:pt>
                <c:pt idx="10">
                  <c:v>838.19761904762117</c:v>
                </c:pt>
                <c:pt idx="11">
                  <c:v>840.30948148148059</c:v>
                </c:pt>
                <c:pt idx="12">
                  <c:v>842.28295918367348</c:v>
                </c:pt>
                <c:pt idx="13">
                  <c:v>846.53281553398074</c:v>
                </c:pt>
                <c:pt idx="14">
                  <c:v>855.62446808510697</c:v>
                </c:pt>
                <c:pt idx="15">
                  <c:v>856.58314285714243</c:v>
                </c:pt>
                <c:pt idx="16">
                  <c:v>858.67690000000005</c:v>
                </c:pt>
                <c:pt idx="17">
                  <c:v>860.38697183098554</c:v>
                </c:pt>
                <c:pt idx="18">
                  <c:v>864.82678160919545</c:v>
                </c:pt>
                <c:pt idx="19">
                  <c:v>866.71967741935418</c:v>
                </c:pt>
                <c:pt idx="20">
                  <c:v>872.61379310344807</c:v>
                </c:pt>
                <c:pt idx="21">
                  <c:v>875.48423529411832</c:v>
                </c:pt>
                <c:pt idx="22">
                  <c:v>890.3359292035376</c:v>
                </c:pt>
                <c:pt idx="23">
                  <c:v>891.48230769230815</c:v>
                </c:pt>
                <c:pt idx="24">
                  <c:v>897.92034482758663</c:v>
                </c:pt>
                <c:pt idx="25">
                  <c:v>904.88737864077791</c:v>
                </c:pt>
                <c:pt idx="26">
                  <c:v>920.16000000000258</c:v>
                </c:pt>
                <c:pt idx="27">
                  <c:v>946.93565217391244</c:v>
                </c:pt>
              </c:numCache>
            </c:numRef>
          </c:val>
          <c:extLst>
            <c:ext xmlns:c16="http://schemas.microsoft.com/office/drawing/2014/chart" uri="{C3380CC4-5D6E-409C-BE32-E72D297353CC}">
              <c16:uniqueId val="{00000000-88F6-44AC-A29B-E70E55606550}"/>
            </c:ext>
          </c:extLst>
        </c:ser>
        <c:dLbls>
          <c:showLegendKey val="0"/>
          <c:showVal val="0"/>
          <c:showCatName val="0"/>
          <c:showSerName val="0"/>
          <c:showPercent val="0"/>
          <c:showBubbleSize val="0"/>
        </c:dLbls>
        <c:gapWidth val="100"/>
        <c:axId val="1946029968"/>
        <c:axId val="1946032368"/>
      </c:barChart>
      <c:catAx>
        <c:axId val="19460299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946032368"/>
        <c:crosses val="autoZero"/>
        <c:auto val="1"/>
        <c:lblAlgn val="ctr"/>
        <c:lblOffset val="100"/>
        <c:noMultiLvlLbl val="0"/>
      </c:catAx>
      <c:valAx>
        <c:axId val="194603236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9460299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Разпредение на читалищата по категории общини и среден осигурителен доход</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Sheet1!$A$256:$B$273</c:f>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f>Sheet1!$C$256:$C$273</c:f>
              <c:numCache>
                <c:formatCode>0.0</c:formatCode>
                <c:ptCount val="18"/>
                <c:pt idx="0">
                  <c:v>747.02999999999906</c:v>
                </c:pt>
                <c:pt idx="1">
                  <c:v>732.33154028436036</c:v>
                </c:pt>
                <c:pt idx="2">
                  <c:v>684.32560606060599</c:v>
                </c:pt>
                <c:pt idx="3">
                  <c:v>696.1603078358213</c:v>
                </c:pt>
                <c:pt idx="4">
                  <c:v>680.14817039106208</c:v>
                </c:pt>
                <c:pt idx="5">
                  <c:v>664.20319078947375</c:v>
                </c:pt>
                <c:pt idx="6">
                  <c:v>819.07000000000346</c:v>
                </c:pt>
                <c:pt idx="7">
                  <c:v>793.01772511848299</c:v>
                </c:pt>
                <c:pt idx="8">
                  <c:v>743.18393939394014</c:v>
                </c:pt>
                <c:pt idx="9">
                  <c:v>754.73326492537115</c:v>
                </c:pt>
                <c:pt idx="10">
                  <c:v>728.82353107344375</c:v>
                </c:pt>
                <c:pt idx="11">
                  <c:v>714.26223684210618</c:v>
                </c:pt>
                <c:pt idx="12">
                  <c:v>920.16000000000258</c:v>
                </c:pt>
                <c:pt idx="13">
                  <c:v>899.07231042654394</c:v>
                </c:pt>
                <c:pt idx="14">
                  <c:v>825.39192640692784</c:v>
                </c:pt>
                <c:pt idx="15">
                  <c:v>852.47763059701174</c:v>
                </c:pt>
                <c:pt idx="16">
                  <c:v>818.67306497175082</c:v>
                </c:pt>
                <c:pt idx="17">
                  <c:v>790.08089108910951</c:v>
                </c:pt>
              </c:numCache>
            </c:numRef>
          </c:val>
          <c:extLst>
            <c:ext xmlns:c16="http://schemas.microsoft.com/office/drawing/2014/chart" uri="{C3380CC4-5D6E-409C-BE32-E72D297353CC}">
              <c16:uniqueId val="{00000000-C2D4-4165-8390-E9D2F20A0A5C}"/>
            </c:ext>
          </c:extLst>
        </c:ser>
        <c:dLbls>
          <c:showLegendKey val="0"/>
          <c:showVal val="0"/>
          <c:showCatName val="0"/>
          <c:showSerName val="0"/>
          <c:showPercent val="0"/>
          <c:showBubbleSize val="0"/>
        </c:dLbls>
        <c:gapWidth val="100"/>
        <c:overlap val="-27"/>
        <c:axId val="60794576"/>
        <c:axId val="60793616"/>
      </c:barChart>
      <c:catAx>
        <c:axId val="60794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60793616"/>
        <c:crosses val="autoZero"/>
        <c:auto val="1"/>
        <c:lblAlgn val="ctr"/>
        <c:lblOffset val="100"/>
        <c:noMultiLvlLbl val="0"/>
      </c:catAx>
      <c:valAx>
        <c:axId val="60793616"/>
        <c:scaling>
          <c:orientation val="minMax"/>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60794576"/>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Основни дейности на читалищата през 2023 г.</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stacked"/>
        <c:varyColors val="0"/>
        <c:ser>
          <c:idx val="0"/>
          <c:order val="0"/>
          <c:tx>
            <c:strRef>
              <c:f>Sheet1!$A$98</c:f>
              <c:strCache>
                <c:ptCount val="1"/>
                <c:pt idx="0">
                  <c:v>ГРАД</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Sheet1!$B$97:$D$97</c:f>
              <c:strCache>
                <c:ptCount val="3"/>
                <c:pt idx="0">
                  <c:v>Библиотечна дейност</c:v>
                </c:pt>
                <c:pt idx="1">
                  <c:v>Кръжоци, клубове, школи по изкуства</c:v>
                </c:pt>
                <c:pt idx="2">
                  <c:v>Езикови школи и курсове</c:v>
                </c:pt>
              </c:strCache>
            </c:strRef>
          </c:cat>
          <c:val>
            <c:numRef>
              <c:f>Sheet1!$B$98:$D$98</c:f>
              <c:numCache>
                <c:formatCode>General</c:formatCode>
                <c:ptCount val="3"/>
                <c:pt idx="0">
                  <c:v>216</c:v>
                </c:pt>
                <c:pt idx="1">
                  <c:v>516</c:v>
                </c:pt>
                <c:pt idx="2">
                  <c:v>511</c:v>
                </c:pt>
              </c:numCache>
            </c:numRef>
          </c:val>
          <c:extLst>
            <c:ext xmlns:c16="http://schemas.microsoft.com/office/drawing/2014/chart" uri="{C3380CC4-5D6E-409C-BE32-E72D297353CC}">
              <c16:uniqueId val="{00000000-7386-4930-875E-BD557C6FE239}"/>
            </c:ext>
          </c:extLst>
        </c:ser>
        <c:ser>
          <c:idx val="1"/>
          <c:order val="1"/>
          <c:tx>
            <c:strRef>
              <c:f>Sheet1!$A$99</c:f>
              <c:strCache>
                <c:ptCount val="1"/>
                <c:pt idx="0">
                  <c:v>СЕЛО</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Sheet1!$B$97:$D$97</c:f>
              <c:strCache>
                <c:ptCount val="3"/>
                <c:pt idx="0">
                  <c:v>Библиотечна дейност</c:v>
                </c:pt>
                <c:pt idx="1">
                  <c:v>Кръжоци, клубове, школи по изкуства</c:v>
                </c:pt>
                <c:pt idx="2">
                  <c:v>Езикови школи и курсове</c:v>
                </c:pt>
              </c:strCache>
            </c:strRef>
          </c:cat>
          <c:val>
            <c:numRef>
              <c:f>Sheet1!$B$99:$D$99</c:f>
              <c:numCache>
                <c:formatCode>General</c:formatCode>
                <c:ptCount val="3"/>
                <c:pt idx="0">
                  <c:v>1003</c:v>
                </c:pt>
                <c:pt idx="1">
                  <c:v>2206</c:v>
                </c:pt>
                <c:pt idx="2">
                  <c:v>2194</c:v>
                </c:pt>
              </c:numCache>
            </c:numRef>
          </c:val>
          <c:extLst>
            <c:ext xmlns:c16="http://schemas.microsoft.com/office/drawing/2014/chart" uri="{C3380CC4-5D6E-409C-BE32-E72D297353CC}">
              <c16:uniqueId val="{00000001-7386-4930-875E-BD557C6FE239}"/>
            </c:ext>
          </c:extLst>
        </c:ser>
        <c:dLbls>
          <c:showLegendKey val="0"/>
          <c:showVal val="0"/>
          <c:showCatName val="0"/>
          <c:showSerName val="0"/>
          <c:showPercent val="0"/>
          <c:showBubbleSize val="0"/>
        </c:dLbls>
        <c:gapWidth val="150"/>
        <c:overlap val="100"/>
        <c:axId val="177031632"/>
        <c:axId val="177024912"/>
      </c:barChart>
      <c:catAx>
        <c:axId val="177031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77024912"/>
        <c:crosses val="autoZero"/>
        <c:auto val="1"/>
        <c:lblAlgn val="ctr"/>
        <c:lblOffset val="100"/>
        <c:noMultiLvlLbl val="0"/>
      </c:catAx>
      <c:valAx>
        <c:axId val="177024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77031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a:t>
            </a:r>
            <a:r>
              <a:rPr lang="bg-BG" sz="1100" baseline="0"/>
              <a:t> според участие в събития</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accent1"/>
            </a:solidFill>
            <a:ln>
              <a:noFill/>
            </a:ln>
            <a:effectLst/>
          </c:spPr>
          <c:invertIfNegative val="0"/>
          <c:cat>
            <c:multiLvlStrRef>
              <c:f>Sheet1!$A$81:$B$86</c:f>
              <c:multiLvlStrCache>
                <c:ptCount val="6"/>
                <c:lvl>
                  <c:pt idx="0">
                    <c:v>ГРАД</c:v>
                  </c:pt>
                  <c:pt idx="1">
                    <c:v>СЕЛО</c:v>
                  </c:pt>
                  <c:pt idx="2">
                    <c:v>ГРАД</c:v>
                  </c:pt>
                  <c:pt idx="3">
                    <c:v>СЕЛО</c:v>
                  </c:pt>
                  <c:pt idx="4">
                    <c:v>ГРАД</c:v>
                  </c:pt>
                  <c:pt idx="5">
                    <c:v>СЕЛО</c:v>
                  </c:pt>
                </c:lvl>
                <c:lvl>
                  <c:pt idx="0">
                    <c:v>2021</c:v>
                  </c:pt>
                  <c:pt idx="2">
                    <c:v>2022</c:v>
                  </c:pt>
                  <c:pt idx="4">
                    <c:v>2023</c:v>
                  </c:pt>
                </c:lvl>
              </c:multiLvlStrCache>
            </c:multiLvlStrRef>
          </c:cat>
          <c:val>
            <c:numRef>
              <c:f>Sheet1!$C$81:$C$86</c:f>
              <c:numCache>
                <c:formatCode>General</c:formatCode>
                <c:ptCount val="6"/>
                <c:pt idx="0">
                  <c:v>13894</c:v>
                </c:pt>
                <c:pt idx="1">
                  <c:v>24757</c:v>
                </c:pt>
                <c:pt idx="2">
                  <c:v>16460</c:v>
                </c:pt>
                <c:pt idx="3">
                  <c:v>33855</c:v>
                </c:pt>
                <c:pt idx="4">
                  <c:v>19332</c:v>
                </c:pt>
                <c:pt idx="5">
                  <c:v>38591</c:v>
                </c:pt>
              </c:numCache>
            </c:numRef>
          </c:val>
          <c:extLst>
            <c:ext xmlns:c16="http://schemas.microsoft.com/office/drawing/2014/chart" uri="{C3380CC4-5D6E-409C-BE32-E72D297353CC}">
              <c16:uniqueId val="{00000000-2EBF-44AF-B138-23BAF5F80E18}"/>
            </c:ext>
          </c:extLst>
        </c:ser>
        <c:dLbls>
          <c:showLegendKey val="0"/>
          <c:showVal val="0"/>
          <c:showCatName val="0"/>
          <c:showSerName val="0"/>
          <c:showPercent val="0"/>
          <c:showBubbleSize val="0"/>
        </c:dLbls>
        <c:gapWidth val="100"/>
        <c:axId val="2072216880"/>
        <c:axId val="2072214480"/>
      </c:barChart>
      <c:catAx>
        <c:axId val="20722168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72214480"/>
        <c:crosses val="autoZero"/>
        <c:auto val="1"/>
        <c:lblAlgn val="ctr"/>
        <c:lblOffset val="100"/>
        <c:noMultiLvlLbl val="0"/>
      </c:catAx>
      <c:valAx>
        <c:axId val="207221448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20722168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 според участието в обучения</a:t>
            </a:r>
            <a:endParaRPr lang="en-GB"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clustered"/>
        <c:varyColors val="0"/>
        <c:ser>
          <c:idx val="0"/>
          <c:order val="0"/>
          <c:spPr>
            <a:solidFill>
              <a:schemeClr val="accent1"/>
            </a:solidFill>
            <a:ln>
              <a:noFill/>
            </a:ln>
            <a:effectLst/>
          </c:spPr>
          <c:invertIfNegative val="0"/>
          <c:cat>
            <c:multiLvlStrRef>
              <c:f>Sheet1!$A$90:$B$95</c:f>
              <c:multiLvlStrCache>
                <c:ptCount val="6"/>
                <c:lvl>
                  <c:pt idx="0">
                    <c:v>ГРАД</c:v>
                  </c:pt>
                  <c:pt idx="1">
                    <c:v>СЕЛО</c:v>
                  </c:pt>
                  <c:pt idx="2">
                    <c:v>ГРАД</c:v>
                  </c:pt>
                  <c:pt idx="3">
                    <c:v>СЕЛО</c:v>
                  </c:pt>
                  <c:pt idx="4">
                    <c:v>ГРАД</c:v>
                  </c:pt>
                  <c:pt idx="5">
                    <c:v>СЕЛО</c:v>
                  </c:pt>
                </c:lvl>
                <c:lvl>
                  <c:pt idx="0">
                    <c:v>2021</c:v>
                  </c:pt>
                  <c:pt idx="2">
                    <c:v>2022</c:v>
                  </c:pt>
                  <c:pt idx="4">
                    <c:v>2023</c:v>
                  </c:pt>
                </c:lvl>
              </c:multiLvlStrCache>
            </c:multiLvlStrRef>
          </c:cat>
          <c:val>
            <c:numRef>
              <c:f>Sheet1!$C$90:$C$95</c:f>
              <c:numCache>
                <c:formatCode>General</c:formatCode>
                <c:ptCount val="6"/>
                <c:pt idx="0">
                  <c:v>643</c:v>
                </c:pt>
                <c:pt idx="1">
                  <c:v>1904</c:v>
                </c:pt>
                <c:pt idx="2">
                  <c:v>719</c:v>
                </c:pt>
                <c:pt idx="3">
                  <c:v>2212</c:v>
                </c:pt>
                <c:pt idx="4">
                  <c:v>798</c:v>
                </c:pt>
                <c:pt idx="5">
                  <c:v>2418</c:v>
                </c:pt>
              </c:numCache>
            </c:numRef>
          </c:val>
          <c:extLst>
            <c:ext xmlns:c16="http://schemas.microsoft.com/office/drawing/2014/chart" uri="{C3380CC4-5D6E-409C-BE32-E72D297353CC}">
              <c16:uniqueId val="{00000000-291B-49EB-B188-E276BEBF0BA7}"/>
            </c:ext>
          </c:extLst>
        </c:ser>
        <c:dLbls>
          <c:showLegendKey val="0"/>
          <c:showVal val="0"/>
          <c:showCatName val="0"/>
          <c:showSerName val="0"/>
          <c:showPercent val="0"/>
          <c:showBubbleSize val="0"/>
        </c:dLbls>
        <c:gapWidth val="100"/>
        <c:axId val="104408160"/>
        <c:axId val="104420640"/>
      </c:barChart>
      <c:catAx>
        <c:axId val="1044081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04420640"/>
        <c:crosses val="autoZero"/>
        <c:auto val="1"/>
        <c:lblAlgn val="ctr"/>
        <c:lblOffset val="100"/>
        <c:noMultiLvlLbl val="0"/>
      </c:catAx>
      <c:valAx>
        <c:axId val="104420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044081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sz="1100"/>
              <a:t>Разпределение на читалищата по категории и за кръжоци, клубове и школи по изкуствата</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bg-BG"/>
        </a:p>
      </c:txPr>
    </c:title>
    <c:autoTitleDeleted val="0"/>
    <c:plotArea>
      <c:layout/>
      <c:barChart>
        <c:barDir val="col"/>
        <c:grouping val="clustered"/>
        <c:varyColors val="0"/>
        <c:ser>
          <c:idx val="1"/>
          <c:order val="1"/>
          <c:tx>
            <c:strRef>
              <c:f>Sheet1!$C$233</c:f>
              <c:strCache>
                <c:ptCount val="1"/>
                <c:pt idx="0">
                  <c:v>Кръжоци, клубове и школи по изкуствата</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bg-B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Sheet1!$A$234:$B$251</c:f>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f>Sheet1!$C$234:$C$251</c:f>
              <c:numCache>
                <c:formatCode>General</c:formatCode>
                <c:ptCount val="18"/>
                <c:pt idx="0">
                  <c:v>428</c:v>
                </c:pt>
                <c:pt idx="1">
                  <c:v>1246</c:v>
                </c:pt>
                <c:pt idx="2">
                  <c:v>524</c:v>
                </c:pt>
                <c:pt idx="3">
                  <c:v>954</c:v>
                </c:pt>
                <c:pt idx="4">
                  <c:v>466</c:v>
                </c:pt>
                <c:pt idx="5">
                  <c:v>244</c:v>
                </c:pt>
                <c:pt idx="6">
                  <c:v>405</c:v>
                </c:pt>
                <c:pt idx="7">
                  <c:v>1172</c:v>
                </c:pt>
                <c:pt idx="8">
                  <c:v>531</c:v>
                </c:pt>
                <c:pt idx="9">
                  <c:v>901</c:v>
                </c:pt>
                <c:pt idx="10">
                  <c:v>551</c:v>
                </c:pt>
                <c:pt idx="11">
                  <c:v>249</c:v>
                </c:pt>
                <c:pt idx="12">
                  <c:v>401</c:v>
                </c:pt>
                <c:pt idx="13">
                  <c:v>1176</c:v>
                </c:pt>
                <c:pt idx="14">
                  <c:v>530</c:v>
                </c:pt>
                <c:pt idx="15">
                  <c:v>935</c:v>
                </c:pt>
                <c:pt idx="16">
                  <c:v>524</c:v>
                </c:pt>
                <c:pt idx="17">
                  <c:v>263</c:v>
                </c:pt>
              </c:numCache>
            </c:numRef>
          </c:val>
          <c:extLst>
            <c:ext xmlns:c16="http://schemas.microsoft.com/office/drawing/2014/chart" uri="{C3380CC4-5D6E-409C-BE32-E72D297353CC}">
              <c16:uniqueId val="{00000000-8C7B-42C7-B26F-43949F591BFC}"/>
            </c:ext>
          </c:extLst>
        </c:ser>
        <c:dLbls>
          <c:showLegendKey val="0"/>
          <c:showVal val="0"/>
          <c:showCatName val="0"/>
          <c:showSerName val="0"/>
          <c:showPercent val="0"/>
          <c:showBubbleSize val="0"/>
        </c:dLbls>
        <c:gapWidth val="100"/>
        <c:overlap val="-27"/>
        <c:axId val="1955318608"/>
        <c:axId val="1955321488"/>
        <c:extLst>
          <c:ext xmlns:c15="http://schemas.microsoft.com/office/drawing/2012/chart" uri="{02D57815-91ED-43cb-92C2-25804820EDAC}">
            <c15:filteredBarSeries>
              <c15:ser>
                <c:idx val="0"/>
                <c:order val="0"/>
                <c:spPr>
                  <a:solidFill>
                    <a:schemeClr val="accent1"/>
                  </a:solidFill>
                  <a:ln>
                    <a:noFill/>
                  </a:ln>
                  <a:effectLst/>
                </c:spPr>
                <c:invertIfNegative val="0"/>
                <c:cat>
                  <c:multiLvlStrRef>
                    <c:extLst>
                      <c:ext uri="{02D57815-91ED-43cb-92C2-25804820EDAC}">
                        <c15:formulaRef>
                          <c15:sqref>Sheet1!$A$234:$B$251</c15:sqref>
                        </c15:formulaRef>
                      </c:ext>
                    </c:extLst>
                    <c:multiLvlStrCache>
                      <c:ptCount val="18"/>
                      <c:lvl>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lvl>
                      <c:lvl>
                        <c:pt idx="0">
                          <c:v>2021</c:v>
                        </c:pt>
                        <c:pt idx="6">
                          <c:v>2022</c:v>
                        </c:pt>
                        <c:pt idx="12">
                          <c:v>2023</c:v>
                        </c:pt>
                      </c:lvl>
                    </c:multiLvlStrCache>
                  </c:multiLvlStrRef>
                </c:cat>
                <c:val>
                  <c:numRef>
                    <c:extLst>
                      <c:ext uri="{02D57815-91ED-43cb-92C2-25804820EDAC}">
                        <c15:formulaRef>
                          <c15:sqref>Sheet1!$B$234:$B$251</c15:sqref>
                        </c15:formulaRef>
                      </c:ext>
                    </c:extLst>
                    <c:numCache>
                      <c:formatCode>General</c:formatCode>
                      <c:ptCount val="18"/>
                      <c:pt idx="0">
                        <c:v>0</c:v>
                      </c:pt>
                      <c:pt idx="1">
                        <c:v>1</c:v>
                      </c:pt>
                      <c:pt idx="2">
                        <c:v>2</c:v>
                      </c:pt>
                      <c:pt idx="3">
                        <c:v>3</c:v>
                      </c:pt>
                      <c:pt idx="4">
                        <c:v>4</c:v>
                      </c:pt>
                      <c:pt idx="5">
                        <c:v>5</c:v>
                      </c:pt>
                      <c:pt idx="6">
                        <c:v>0</c:v>
                      </c:pt>
                      <c:pt idx="7">
                        <c:v>1</c:v>
                      </c:pt>
                      <c:pt idx="8">
                        <c:v>2</c:v>
                      </c:pt>
                      <c:pt idx="9">
                        <c:v>3</c:v>
                      </c:pt>
                      <c:pt idx="10">
                        <c:v>4</c:v>
                      </c:pt>
                      <c:pt idx="11">
                        <c:v>5</c:v>
                      </c:pt>
                      <c:pt idx="12">
                        <c:v>0</c:v>
                      </c:pt>
                      <c:pt idx="13">
                        <c:v>1</c:v>
                      </c:pt>
                      <c:pt idx="14">
                        <c:v>2</c:v>
                      </c:pt>
                      <c:pt idx="15">
                        <c:v>3</c:v>
                      </c:pt>
                      <c:pt idx="16">
                        <c:v>4</c:v>
                      </c:pt>
                      <c:pt idx="17">
                        <c:v>5</c:v>
                      </c:pt>
                    </c:numCache>
                  </c:numRef>
                </c:val>
                <c:extLst>
                  <c:ext xmlns:c16="http://schemas.microsoft.com/office/drawing/2014/chart" uri="{C3380CC4-5D6E-409C-BE32-E72D297353CC}">
                    <c16:uniqueId val="{00000001-8C7B-42C7-B26F-43949F591BFC}"/>
                  </c:ext>
                </c:extLst>
              </c15:ser>
            </c15:filteredBarSeries>
          </c:ext>
        </c:extLst>
      </c:barChart>
      <c:catAx>
        <c:axId val="1955318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955321488"/>
        <c:crosses val="autoZero"/>
        <c:auto val="1"/>
        <c:lblAlgn val="ctr"/>
        <c:lblOffset val="100"/>
        <c:noMultiLvlLbl val="0"/>
      </c:catAx>
      <c:valAx>
        <c:axId val="19553214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bg-BG"/>
          </a:p>
        </c:txPr>
        <c:crossAx val="1955318608"/>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bg-B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70eba6-ce61-401d-9c32-8f6d2dd5a757">
      <Terms xmlns="http://schemas.microsoft.com/office/infopath/2007/PartnerControls"/>
    </lcf76f155ced4ddcb4097134ff3c332f>
    <TaxCatchAll xmlns="df92a046-1b49-4675-98ce-a2b7b37d7cd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C68713EB8F71C48BCB3E8CC0C1DF848" ma:contentTypeVersion="13" ma:contentTypeDescription="Create a new document." ma:contentTypeScope="" ma:versionID="8fb96b5a001447645a8640dbf60f6980">
  <xsd:schema xmlns:xsd="http://www.w3.org/2001/XMLSchema" xmlns:xs="http://www.w3.org/2001/XMLSchema" xmlns:p="http://schemas.microsoft.com/office/2006/metadata/properties" xmlns:ns2="0d70eba6-ce61-401d-9c32-8f6d2dd5a757" xmlns:ns3="df92a046-1b49-4675-98ce-a2b7b37d7cd1" targetNamespace="http://schemas.microsoft.com/office/2006/metadata/properties" ma:root="true" ma:fieldsID="b55fd312802307ffd97d72440e37184d" ns2:_="" ns3:_="">
    <xsd:import namespace="0d70eba6-ce61-401d-9c32-8f6d2dd5a757"/>
    <xsd:import namespace="df92a046-1b49-4675-98ce-a2b7b37d7c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70eba6-ce61-401d-9c32-8f6d2dd5a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9f4b41-eb45-4747-9dc1-7263014f50b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f92a046-1b49-4675-98ce-a2b7b37d7c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92e1521-cad0-4fd9-9848-ae04885d648d}" ma:internalName="TaxCatchAll" ma:showField="CatchAllData" ma:web="df92a046-1b49-4675-98ce-a2b7b37d7c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57F525-A64C-4825-85FC-0CACE1AE0839}">
  <ds:schemaRefs>
    <ds:schemaRef ds:uri="http://schemas.microsoft.com/office/2006/metadata/properties"/>
    <ds:schemaRef ds:uri="http://schemas.microsoft.com/office/infopath/2007/PartnerControls"/>
    <ds:schemaRef ds:uri="0d70eba6-ce61-401d-9c32-8f6d2dd5a757"/>
    <ds:schemaRef ds:uri="df92a046-1b49-4675-98ce-a2b7b37d7cd1"/>
  </ds:schemaRefs>
</ds:datastoreItem>
</file>

<file path=customXml/itemProps2.xml><?xml version="1.0" encoding="utf-8"?>
<ds:datastoreItem xmlns:ds="http://schemas.openxmlformats.org/officeDocument/2006/customXml" ds:itemID="{82D1E27C-8ED1-491D-9BFA-472DD3402D14}">
  <ds:schemaRefs>
    <ds:schemaRef ds:uri="http://schemas.openxmlformats.org/officeDocument/2006/bibliography"/>
  </ds:schemaRefs>
</ds:datastoreItem>
</file>

<file path=customXml/itemProps3.xml><?xml version="1.0" encoding="utf-8"?>
<ds:datastoreItem xmlns:ds="http://schemas.openxmlformats.org/officeDocument/2006/customXml" ds:itemID="{1501D251-E20A-444D-9B13-28D854C786D7}">
  <ds:schemaRefs>
    <ds:schemaRef ds:uri="http://schemas.microsoft.com/sharepoint/v3/contenttype/forms"/>
  </ds:schemaRefs>
</ds:datastoreItem>
</file>

<file path=customXml/itemProps4.xml><?xml version="1.0" encoding="utf-8"?>
<ds:datastoreItem xmlns:ds="http://schemas.openxmlformats.org/officeDocument/2006/customXml" ds:itemID="{577950F7-4130-4501-BC46-E6641D61A7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70eba6-ce61-401d-9c32-8f6d2dd5a757"/>
    <ds:schemaRef ds:uri="df92a046-1b49-4675-98ce-a2b7b37d7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1677</TotalTime>
  <Pages>22</Pages>
  <Words>2284</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15273</CharactersWithSpaces>
  <SharedDoc>false</SharedDoc>
  <HLinks>
    <vt:vector size="6" baseType="variant">
      <vt:variant>
        <vt:i4>4653076</vt:i4>
      </vt:variant>
      <vt:variant>
        <vt:i4>0</vt:i4>
      </vt:variant>
      <vt:variant>
        <vt:i4>0</vt:i4>
      </vt:variant>
      <vt:variant>
        <vt:i4>5</vt:i4>
      </vt:variant>
      <vt:variant>
        <vt:lpwstr>https://www.mrrb.bg/bg/kategorizaciya-na-administrativno-teritorialnite-i-teritorialnite-edinici/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Petya Georgieva</dc:creator>
  <cp:keywords/>
  <dc:description/>
  <cp:lastModifiedBy>Petya Georgieva</cp:lastModifiedBy>
  <cp:revision>213</cp:revision>
  <dcterms:created xsi:type="dcterms:W3CDTF">2025-12-08T08:18:00Z</dcterms:created>
  <dcterms:modified xsi:type="dcterms:W3CDTF">2025-12-09T13:56:00Z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0x010100FC68713EB8F71C48BCB3E8CC0C1DF848</vt:lpwstr>
  </property>
  <property fmtid="{D5CDD505-2E9C-101B-9397-08002B2CF9AE}" pid="3" name="MediaServiceImageTags">
    <vt:lpwstr/>
  </property>
</Properties>
</file>