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jc w:val="center"/>
        <w:rPr>
          <w:rFonts w:ascii="Arial" w:cs="Arial" w:eastAsia="Arial" w:hAnsi="Arial"/>
          <w:b w:val="0"/>
          <w:bCs w:val="0"/>
          <w:sz w:val="34"/>
          <w:szCs w:val="34"/>
        </w:rPr>
      </w:pPr>
      <w:bookmarkStart w:colFirst="0" w:colLast="0" w:name="_heading=h.j2eqnzxovi66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sz w:val="34"/>
          <w:szCs w:val="34"/>
          <w:rtl w:val="0"/>
        </w:rPr>
        <w:t xml:space="preserve">МЕЖДУНАРОДНА КОНФЕРЕНЦИЯ:</w:t>
      </w:r>
    </w:p>
    <w:p w:rsidR="00000000" w:rsidDel="00000000" w:rsidP="00000000" w:rsidRDefault="00000000" w:rsidRPr="00000000" w14:paraId="00000002">
      <w:pPr>
        <w:pStyle w:val="Title"/>
        <w:jc w:val="center"/>
        <w:rPr>
          <w:rFonts w:ascii="Arial" w:cs="Arial" w:eastAsia="Arial" w:hAnsi="Arial"/>
          <w:color w:val="eb7033"/>
          <w:sz w:val="29"/>
          <w:szCs w:val="29"/>
        </w:rPr>
      </w:pPr>
      <w:bookmarkStart w:colFirst="0" w:colLast="0" w:name="_heading=h.iqofu4wk2865" w:id="1"/>
      <w:bookmarkEnd w:id="1"/>
      <w:r w:rsidDel="00000000" w:rsidR="00000000" w:rsidRPr="00000000">
        <w:rPr>
          <w:rFonts w:ascii="Arial" w:cs="Arial" w:eastAsia="Arial" w:hAnsi="Arial"/>
          <w:color w:val="eb7033"/>
          <w:sz w:val="29"/>
          <w:szCs w:val="29"/>
          <w:rtl w:val="0"/>
        </w:rPr>
        <w:t xml:space="preserve">Културата като катализатор за местно и регионално развитие</w:t>
      </w:r>
    </w:p>
    <w:p w:rsidR="00000000" w:rsidDel="00000000" w:rsidP="00000000" w:rsidRDefault="00000000" w:rsidRPr="00000000" w14:paraId="00000003">
      <w:pPr>
        <w:pStyle w:val="Title"/>
        <w:jc w:val="center"/>
        <w:rPr>
          <w:rFonts w:ascii="Arial" w:cs="Arial" w:eastAsia="Arial" w:hAnsi="Arial"/>
          <w:b w:val="0"/>
          <w:bCs w:val="0"/>
          <w:sz w:val="28"/>
          <w:szCs w:val="28"/>
        </w:rPr>
      </w:pPr>
      <w:bookmarkStart w:colFirst="0" w:colLast="0" w:name="_heading=h.37imo2anzzxh" w:id="2"/>
      <w:bookmarkEnd w:id="2"/>
      <w:r w:rsidDel="00000000" w:rsidR="00000000" w:rsidRPr="00000000">
        <w:rPr>
          <w:rFonts w:ascii="Arial" w:cs="Arial" w:eastAsia="Arial" w:hAnsi="Arial"/>
          <w:b w:val="0"/>
          <w:bCs w:val="0"/>
          <w:sz w:val="28"/>
          <w:szCs w:val="28"/>
          <w:rtl w:val="0"/>
        </w:rPr>
        <w:t xml:space="preserve">От локални партньорства към по-широко европейско измерение</w:t>
      </w:r>
    </w:p>
    <w:p w:rsidR="00000000" w:rsidDel="00000000" w:rsidP="00000000" w:rsidRDefault="00000000" w:rsidRPr="00000000" w14:paraId="00000004">
      <w:pPr>
        <w:pStyle w:val="Subtitle"/>
        <w:spacing w:after="240" w:before="200" w:lineRule="auto"/>
        <w:rPr>
          <w:rFonts w:ascii="Cambria" w:cs="Cambria" w:eastAsia="Cambria" w:hAnsi="Cambria"/>
        </w:rPr>
      </w:pPr>
      <w:bookmarkStart w:colFirst="0" w:colLast="0" w:name="_heading=h.1cul0e225z6a" w:id="3"/>
      <w:bookmarkEnd w:id="3"/>
      <w:r w:rsidDel="00000000" w:rsidR="00000000" w:rsidRPr="00000000">
        <w:rPr>
          <w:color w:val="eb7033"/>
          <w:rtl w:val="0"/>
        </w:rPr>
        <w:t xml:space="preserve">Въведение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rFonts w:ascii="Cambria" w:cs="Cambria" w:eastAsia="Cambria" w:hAnsi="Cambria"/>
          <w:sz w:val="24"/>
          <w:szCs w:val="24"/>
        </w:rPr>
      </w:pPr>
      <w:bookmarkStart w:colFirst="0" w:colLast="0" w:name="_heading=h.yfdb8x1gco73" w:id="4"/>
      <w:bookmarkEnd w:id="4"/>
      <w:r w:rsidDel="00000000" w:rsidR="00000000" w:rsidRPr="00000000">
        <w:rPr>
          <w:sz w:val="24"/>
          <w:szCs w:val="24"/>
          <w:rtl w:val="0"/>
        </w:rPr>
        <w:t xml:space="preserve">Българските читалища навършват 170 години. </w:t>
      </w:r>
      <w:hyperlink r:id="rId7">
        <w:r w:rsidDel="00000000" w:rsidR="00000000" w:rsidRPr="00000000">
          <w:rPr>
            <w:color w:val="0000ff"/>
            <w:sz w:val="24"/>
            <w:szCs w:val="24"/>
            <w:u w:val="single"/>
            <w:rtl w:val="0"/>
          </w:rPr>
          <w:t xml:space="preserve">Огромна мрежа от 3597 читалища</w:t>
        </w:r>
      </w:hyperlink>
      <w:r w:rsidDel="00000000" w:rsidR="00000000" w:rsidRPr="00000000">
        <w:rPr>
          <w:sz w:val="24"/>
          <w:szCs w:val="24"/>
          <w:rtl w:val="0"/>
        </w:rPr>
        <w:t xml:space="preserve">, 80% от които в селските райони, която крие огромен потенциал — точно този потенциал, който „Културният компас за Европа“ на ЕС ни призовава да разгърнем: културата като двигател на сближаване, устойчивост и конкурентоспособност във всяка територия, не само в столиците. Докато българските градове подготвят своите кандидатури за Европейска столица на културата 2032, истинският въпрос е дали селските и периферните общности ще бъдат част от тази история — а именно читалищата са мястото, където тази култура се изгражда отдолу-нагоре, всеки ден. Тази конференция събира евродепутати, кметове, представители на читалища, национални и местни власти, ENCC и експерти по Европейска столица на културата, за да постави местната култура отново в центъра на териториалната амбиция на Европа. Тя е трета от поредица от шест кръгли маси по програма „Bridge Makers“ на ENCC, след срещи в Чехия и Италия.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Subtitle"/>
        <w:spacing w:after="120" w:before="200" w:lineRule="auto"/>
        <w:rPr>
          <w:color w:val="eb7033"/>
        </w:rPr>
      </w:pPr>
      <w:r w:rsidDel="00000000" w:rsidR="00000000" w:rsidRPr="00000000">
        <w:rPr>
          <w:color w:val="eb7033"/>
          <w:rtl w:val="0"/>
        </w:rPr>
        <w:t xml:space="preserve">Място на провеждане на конференцията:</w:t>
      </w:r>
    </w:p>
    <w:p w:rsidR="00000000" w:rsidDel="00000000" w:rsidP="00000000" w:rsidRDefault="00000000" w:rsidRPr="00000000" w14:paraId="00000007">
      <w:pPr>
        <w:jc w:val="both"/>
        <w:rPr>
          <w:sz w:val="24"/>
          <w:szCs w:val="24"/>
        </w:rPr>
      </w:pPr>
      <w:hyperlink r:id="rId8">
        <w:r w:rsidDel="00000000" w:rsidR="00000000" w:rsidRPr="00000000">
          <w:rPr>
            <w:color w:val="0000ff"/>
            <w:sz w:val="24"/>
            <w:szCs w:val="24"/>
            <w:u w:val="single"/>
            <w:rtl w:val="0"/>
          </w:rPr>
          <w:t xml:space="preserve">Дом на Европа</w:t>
        </w:r>
      </w:hyperlink>
      <w:r w:rsidDel="00000000" w:rsidR="00000000" w:rsidRPr="00000000">
        <w:rPr>
          <w:sz w:val="24"/>
          <w:szCs w:val="24"/>
          <w:rtl w:val="0"/>
        </w:rPr>
        <w:t xml:space="preserve">, София център, ул. „Георги С. Раковски“ 124, 1000 София</w:t>
      </w:r>
    </w:p>
    <w:p w:rsidR="00000000" w:rsidDel="00000000" w:rsidP="00000000" w:rsidRDefault="00000000" w:rsidRPr="00000000" w14:paraId="00000008">
      <w:pPr>
        <w:pStyle w:val="Subtitle"/>
        <w:spacing w:after="120" w:before="200" w:lineRule="auto"/>
        <w:rPr>
          <w:color w:val="eb7033"/>
        </w:rPr>
      </w:pPr>
      <w:r w:rsidDel="00000000" w:rsidR="00000000" w:rsidRPr="00000000">
        <w:rPr>
          <w:color w:val="eb7033"/>
          <w:rtl w:val="0"/>
        </w:rPr>
        <w:t xml:space="preserve">Задължителна регистрация:</w:t>
      </w:r>
    </w:p>
    <w:p w:rsidR="00000000" w:rsidDel="00000000" w:rsidP="00000000" w:rsidRDefault="00000000" w:rsidRPr="00000000" w14:paraId="00000009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За да присъствате на конференцията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,</w:t>
      </w:r>
      <w:r w:rsidDel="00000000" w:rsidR="00000000" w:rsidRPr="00000000">
        <w:rPr>
          <w:sz w:val="24"/>
          <w:szCs w:val="24"/>
          <w:rtl w:val="0"/>
        </w:rPr>
        <w:t xml:space="preserve"> трябва да регистрирате на </w:t>
      </w:r>
      <w:hyperlink r:id="rId9">
        <w:r w:rsidDel="00000000" w:rsidR="00000000" w:rsidRPr="00000000">
          <w:rPr>
            <w:color w:val="0000ff"/>
            <w:sz w:val="24"/>
            <w:szCs w:val="24"/>
            <w:u w:val="single"/>
            <w:rtl w:val="0"/>
          </w:rPr>
          <w:t xml:space="preserve">https://ec.europa.eu/eusurvey/runner/Conference18092026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Важи до изчерпването на местата в залата. </w:t>
      </w:r>
    </w:p>
    <w:p w:rsidR="00000000" w:rsidDel="00000000" w:rsidP="00000000" w:rsidRDefault="00000000" w:rsidRPr="00000000" w14:paraId="0000000B">
      <w:pPr>
        <w:pStyle w:val="Subtitle"/>
        <w:spacing w:before="200" w:lineRule="auto"/>
        <w:rPr>
          <w:rFonts w:ascii="Cambria" w:cs="Cambria" w:eastAsia="Cambria" w:hAnsi="Cambria"/>
          <w:color w:val="eb7033"/>
        </w:rPr>
      </w:pPr>
      <w:r w:rsidDel="00000000" w:rsidR="00000000" w:rsidRPr="00000000">
        <w:rPr>
          <w:color w:val="eb7033"/>
          <w:rtl w:val="0"/>
        </w:rPr>
        <w:t xml:space="preserve">Дневен ред</w:t>
      </w:r>
      <w:r w:rsidDel="00000000" w:rsidR="00000000" w:rsidRPr="00000000">
        <w:rPr>
          <w:rFonts w:ascii="Cambria" w:cs="Cambria" w:eastAsia="Cambria" w:hAnsi="Cambria"/>
          <w:color w:val="eb7033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eb7033"/>
          <w:rtl w:val="0"/>
        </w:rPr>
        <w:t xml:space="preserve">(петък, 18 септември)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09:00 – 09:30</w:t>
      </w:r>
      <w:r w:rsidDel="00000000" w:rsidR="00000000" w:rsidRPr="00000000">
        <w:rPr>
          <w:sz w:val="24"/>
          <w:szCs w:val="24"/>
          <w:rtl w:val="0"/>
        </w:rPr>
        <w:t xml:space="preserve"> Регистрация и кафе</w:t>
      </w:r>
    </w:p>
    <w:p w:rsidR="00000000" w:rsidDel="00000000" w:rsidP="00000000" w:rsidRDefault="00000000" w:rsidRPr="00000000" w14:paraId="0000000D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09:30 – 09:50</w:t>
      </w:r>
      <w:r w:rsidDel="00000000" w:rsidR="00000000" w:rsidRPr="00000000">
        <w:rPr>
          <w:sz w:val="24"/>
          <w:szCs w:val="24"/>
          <w:rtl w:val="0"/>
        </w:rPr>
        <w:t xml:space="preserve"> Официално откриване</w:t>
      </w:r>
    </w:p>
    <w:p w:rsidR="00000000" w:rsidDel="00000000" w:rsidP="00000000" w:rsidRDefault="00000000" w:rsidRPr="00000000" w14:paraId="0000000F">
      <w:pPr>
        <w:jc w:val="both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Приветствени думи: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Евтим Милошев</w:t>
      </w:r>
      <w:r w:rsidDel="00000000" w:rsidR="00000000" w:rsidRPr="00000000">
        <w:rPr>
          <w:sz w:val="24"/>
          <w:szCs w:val="24"/>
          <w:rtl w:val="0"/>
        </w:rPr>
        <w:t xml:space="preserve"> (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предстои потвърждение</w:t>
      </w:r>
      <w:r w:rsidDel="00000000" w:rsidR="00000000" w:rsidRPr="00000000">
        <w:rPr>
          <w:sz w:val="24"/>
          <w:szCs w:val="24"/>
          <w:rtl w:val="0"/>
        </w:rPr>
        <w:t xml:space="preserve">), Министър на културата;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Васил Терзиев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(предстои потвърждение)</w:t>
      </w:r>
      <w:r w:rsidDel="00000000" w:rsidR="00000000" w:rsidRPr="00000000">
        <w:rPr>
          <w:sz w:val="24"/>
          <w:szCs w:val="24"/>
          <w:rtl w:val="0"/>
        </w:rPr>
        <w:t xml:space="preserve">, Кмет на Столична община;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Таня Чунтова</w:t>
      </w:r>
      <w:r w:rsidDel="00000000" w:rsidR="00000000" w:rsidRPr="00000000">
        <w:rPr>
          <w:sz w:val="24"/>
          <w:szCs w:val="24"/>
          <w:rtl w:val="0"/>
        </w:rPr>
        <w:t xml:space="preserve">, Бюро за връзка на Европейския парламент в България;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Пит Форгер</w:t>
      </w:r>
      <w:r w:rsidDel="00000000" w:rsidR="00000000" w:rsidRPr="00000000">
        <w:rPr>
          <w:sz w:val="24"/>
          <w:szCs w:val="24"/>
          <w:rtl w:val="0"/>
        </w:rPr>
        <w:t xml:space="preserve">, Европейска мрежа на културните центрове; и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Юрий Вълковски</w:t>
      </w:r>
      <w:r w:rsidDel="00000000" w:rsidR="00000000" w:rsidRPr="00000000">
        <w:rPr>
          <w:sz w:val="24"/>
          <w:szCs w:val="24"/>
          <w:rtl w:val="0"/>
        </w:rPr>
        <w:t xml:space="preserve">, изпълнителен директор, Фондация „Народни читалища“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4"/>
        <w:keepNext w:val="0"/>
        <w:keepLines w:val="0"/>
        <w:pageBreakBefore w:val="1"/>
        <w:spacing w:after="40" w:before="240" w:lineRule="auto"/>
        <w:rPr>
          <w:b w:val="1"/>
          <w:bCs w:val="1"/>
          <w:color w:val="000000"/>
        </w:rPr>
      </w:pPr>
      <w:bookmarkStart w:colFirst="0" w:colLast="0" w:name="_heading=h.70sk05i626j1" w:id="5"/>
      <w:bookmarkEnd w:id="5"/>
      <w:r w:rsidDel="00000000" w:rsidR="00000000" w:rsidRPr="00000000">
        <w:rPr>
          <w:b w:val="1"/>
          <w:bCs w:val="1"/>
          <w:color w:val="000000"/>
          <w:rtl w:val="0"/>
        </w:rPr>
        <w:t xml:space="preserve">ПАНЕЛ 1 — Диалог между местните власти и читалищата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09:50 – 13:00</w:t>
      </w:r>
    </w:p>
    <w:tbl>
      <w:tblPr>
        <w:tblStyle w:val="Table1"/>
        <w:tblW w:w="9025.0" w:type="dxa"/>
        <w:jc w:val="left"/>
        <w:tblLayout w:type="fixed"/>
        <w:tblLook w:val="0600"/>
      </w:tblPr>
      <w:tblGrid>
        <w:gridCol w:w="1700"/>
        <w:gridCol w:w="7325"/>
        <w:tblGridChange w:id="0">
          <w:tblGrid>
            <w:gridCol w:w="1700"/>
            <w:gridCol w:w="7325"/>
          </w:tblGrid>
        </w:tblGridChange>
      </w:tblGrid>
      <w:tr>
        <w:trPr>
          <w:cantSplit w:val="1"/>
          <w:trHeight w:val="500" w:hRule="atLeast"/>
          <w:tblHeader w:val="1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Час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Съдържание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7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4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09:50 – 10:05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5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Встъпителни думи —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Катажина Понговска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, заместник-директор по програмни въпроси, Регионален център за развитие на културата (WOAK), Полша</w:t>
            </w:r>
          </w:p>
        </w:tc>
      </w:tr>
      <w:tr>
        <w:trPr>
          <w:cantSplit w:val="1"/>
          <w:trHeight w:val="7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6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10:05 – 10:15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7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Представяне на програма „Активни читалища“ —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Ирина Дакова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, заместник-кмет по култура и туризъм, Столична община</w:t>
            </w:r>
          </w:p>
        </w:tc>
      </w:tr>
      <w:tr>
        <w:trPr>
          <w:cantSplit w:val="1"/>
          <w:trHeight w:val="132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8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10:15 – 11:15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9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Кръгла маса (Част 1): Отношенията между читалищата/културните центрове и общините — добри практики и предизвикателства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, с участието на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Силвана Сюлейман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, директор на Видински фонд „Читалища“;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Нели Ройдева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, председател, Сдружение „Читалища с бъдеще – 2012“, община Тунджа;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Донка Михайлова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, кмет на община Троян; и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Теодора Дачева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, заместник изпълнителен директор на НСОРБ — последвано от въпроси и коментари от читалищни и общински представители в публиката</w:t>
            </w:r>
          </w:p>
        </w:tc>
      </w:tr>
      <w:tr>
        <w:trPr>
          <w:cantSplit w:val="1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A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11:15 – 11:30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B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Кафе-пауза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7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C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11:30 – 12:15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D">
            <w:pPr>
              <w:jc w:val="both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Кръгла маса (Част 2): Отношенията между читалищата/културните центрове и общините — добри практики и предизвикателства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, с участието на</w:t>
            </w: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Сребра Касева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, заместник кмет на община Казанлък;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Албена Недева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, председател на Общински читалищен съвет Търговище; и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Лиляна Барганска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, председател на Народно читалище „Васил Левски – 1945“, Варна — последвано от въпроси и коментари от читалищни и общински представители в публиката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E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12:15 – 13:00</w:t>
      </w:r>
      <w:r w:rsidDel="00000000" w:rsidR="00000000" w:rsidRPr="00000000">
        <w:rPr>
          <w:sz w:val="24"/>
          <w:szCs w:val="24"/>
          <w:rtl w:val="0"/>
        </w:rPr>
        <w:t xml:space="preserve"> Обяд</w:t>
      </w:r>
    </w:p>
    <w:p w:rsidR="00000000" w:rsidDel="00000000" w:rsidP="00000000" w:rsidRDefault="00000000" w:rsidRPr="00000000" w14:paraId="0000001F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4"/>
        <w:keepNext w:val="0"/>
        <w:keepLines w:val="0"/>
        <w:pageBreakBefore w:val="1"/>
        <w:spacing w:after="40" w:before="240" w:lineRule="auto"/>
        <w:rPr>
          <w:b w:val="1"/>
          <w:bCs w:val="1"/>
          <w:color w:val="000000"/>
        </w:rPr>
      </w:pPr>
      <w:bookmarkStart w:colFirst="0" w:colLast="0" w:name="_heading=h.czeh7y408xq8" w:id="6"/>
      <w:bookmarkEnd w:id="6"/>
      <w:r w:rsidDel="00000000" w:rsidR="00000000" w:rsidRPr="00000000">
        <w:rPr>
          <w:b w:val="1"/>
          <w:bCs w:val="1"/>
          <w:color w:val="000000"/>
          <w:rtl w:val="0"/>
        </w:rPr>
        <w:t xml:space="preserve">ПАНЕЛ 2 — Ролята на читалищата в Европейската столица на културата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13:00 – 15:30</w:t>
      </w:r>
    </w:p>
    <w:tbl>
      <w:tblPr>
        <w:tblStyle w:val="Table2"/>
        <w:tblW w:w="9025.0" w:type="dxa"/>
        <w:jc w:val="left"/>
        <w:tblLayout w:type="fixed"/>
        <w:tblLook w:val="0600"/>
      </w:tblPr>
      <w:tblGrid>
        <w:gridCol w:w="1700"/>
        <w:gridCol w:w="7325"/>
        <w:tblGridChange w:id="0">
          <w:tblGrid>
            <w:gridCol w:w="1700"/>
            <w:gridCol w:w="7325"/>
          </w:tblGrid>
        </w:tblGridChange>
      </w:tblGrid>
      <w:tr>
        <w:trPr>
          <w:cantSplit w:val="1"/>
          <w:trHeight w:val="500" w:hRule="atLeast"/>
          <w:tblHeader w:val="1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Час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Съдържание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92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4">
            <w:pPr>
              <w:jc w:val="both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13:00 – 13:15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5">
            <w:pPr>
              <w:jc w:val="both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„Сърцето на читалището“ - документалното видео за Народно читалище „Николай Хайтов - 1936“, София</w:t>
            </w: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1"/>
          <w:trHeight w:val="161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6">
            <w:pPr>
              <w:jc w:val="both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13:15 – 13:45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7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Основен доклад „</w:t>
            </w: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ЕСК като предизвикателство и възможност</w:t>
            </w:r>
            <w:r w:rsidDel="00000000" w:rsidR="00000000" w:rsidRPr="00000000">
              <w:rPr>
                <w:rFonts w:ascii="Cambria" w:cs="Cambria" w:eastAsia="Cambria" w:hAnsi="Cambria"/>
                <w:i w:val="1"/>
                <w:iCs w:val="1"/>
                <w:sz w:val="24"/>
                <w:szCs w:val="24"/>
                <w:rtl w:val="0"/>
              </w:rPr>
              <w:t xml:space="preserve">!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“—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Елзе Кристенсен-Реджепович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, бивш член на Панела за подбор и мониторинг на Европейска столица на културата, номинирана от Европейския парламент.</w:t>
            </w:r>
          </w:p>
        </w:tc>
      </w:tr>
      <w:tr>
        <w:trPr>
          <w:cantSplit w:val="1"/>
          <w:trHeight w:val="10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8">
            <w:pPr>
              <w:jc w:val="both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13:45 – 14:15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9">
            <w:pPr>
              <w:jc w:val="both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По пътя към титлата Европейска столица на културата – представяния от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Руска Бояджиева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, изпълнителен директор на Фондация „Бургас 2032“ и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Представител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на община Габрово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43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A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14:15 – 15:15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B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Диалог —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Пит Форгер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, консултант към борда на ENCC и директор „Култура“ на град Льовен, понастоящем ръководещ кандидатурата на Льовен за Европейска столица на културата 2030;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Цвета Ненова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, експерт, Русе;</w:t>
            </w: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Орлин Денков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, председател на Народно читалище „Иван Вазов – 2014“, София; и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Член на Европейския парламент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(предстои</w:t>
            </w:r>
            <w:r w:rsidDel="00000000" w:rsidR="00000000" w:rsidRPr="00000000">
              <w:rPr>
                <w:rFonts w:ascii="Cambria" w:cs="Cambria" w:eastAsia="Cambria" w:hAnsi="Cambria"/>
                <w:i w:val="1"/>
                <w:iCs w:val="1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 потвърждение)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— размисли по чутите представяния и очакванията към бъдещата българска Европейска столица на културата</w:t>
            </w:r>
          </w:p>
        </w:tc>
      </w:tr>
      <w:tr>
        <w:trPr>
          <w:cantSplit w:val="1"/>
          <w:trHeight w:val="10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C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15:15 – 15:30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D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Диалог с публиката</w:t>
            </w:r>
          </w:p>
        </w:tc>
      </w:tr>
    </w:tbl>
    <w:p w:rsidR="00000000" w:rsidDel="00000000" w:rsidP="00000000" w:rsidRDefault="00000000" w:rsidRPr="00000000" w14:paraId="0000002E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15:30 – 15:45</w:t>
      </w:r>
      <w:r w:rsidDel="00000000" w:rsidR="00000000" w:rsidRPr="00000000">
        <w:rPr>
          <w:sz w:val="24"/>
          <w:szCs w:val="24"/>
          <w:rtl w:val="0"/>
        </w:rPr>
        <w:t xml:space="preserve"> Кафе-пауза</w:t>
      </w:r>
    </w:p>
    <w:p w:rsidR="00000000" w:rsidDel="00000000" w:rsidP="00000000" w:rsidRDefault="00000000" w:rsidRPr="00000000" w14:paraId="0000002F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4"/>
        <w:keepNext w:val="0"/>
        <w:keepLines w:val="0"/>
        <w:pageBreakBefore w:val="1"/>
        <w:spacing w:after="40" w:before="240" w:lineRule="auto"/>
        <w:rPr>
          <w:b w:val="1"/>
          <w:bCs w:val="1"/>
          <w:color w:val="000000"/>
        </w:rPr>
      </w:pPr>
      <w:bookmarkStart w:colFirst="0" w:colLast="0" w:name="_heading=h.ih6nwmlnlohn" w:id="7"/>
      <w:bookmarkEnd w:id="7"/>
      <w:r w:rsidDel="00000000" w:rsidR="00000000" w:rsidRPr="00000000">
        <w:rPr>
          <w:b w:val="1"/>
          <w:bCs w:val="1"/>
          <w:color w:val="000000"/>
          <w:rtl w:val="0"/>
        </w:rPr>
        <w:t xml:space="preserve">ПАНЕЛ 3 — Културата като фактор за местно и регионално развитие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15:45 – 17:45</w:t>
      </w:r>
    </w:p>
    <w:tbl>
      <w:tblPr>
        <w:tblStyle w:val="Table3"/>
        <w:tblW w:w="9025.0" w:type="dxa"/>
        <w:jc w:val="left"/>
        <w:tblLayout w:type="fixed"/>
        <w:tblLook w:val="0600"/>
      </w:tblPr>
      <w:tblGrid>
        <w:gridCol w:w="1700"/>
        <w:gridCol w:w="7325"/>
        <w:tblGridChange w:id="0">
          <w:tblGrid>
            <w:gridCol w:w="1700"/>
            <w:gridCol w:w="7325"/>
          </w:tblGrid>
        </w:tblGridChange>
      </w:tblGrid>
      <w:tr>
        <w:trPr>
          <w:cantSplit w:val="1"/>
          <w:trHeight w:val="500" w:hRule="atLeast"/>
          <w:tblHeader w:val="1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Час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Съдържание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32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4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15:45 – 16:00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5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Встъпителни думи —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Пьотр Михаловски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, член на борда на Европейската мрежа на културните центрове (ENCC), координатор на Общностната група на ENCC за култура и творчество в селските райони, експерт по териториално развитие и сътрудничество град–село</w:t>
            </w:r>
          </w:p>
        </w:tc>
      </w:tr>
      <w:tr>
        <w:trPr>
          <w:cantSplit w:val="1"/>
          <w:trHeight w:val="10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6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16:00 – 17:00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7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Панелна дискусия със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заместник-министър Русев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(Министерство на труда и социалната политика),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заместник-министър Чакъров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(Министерство на земеделието и храните);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Елена Иванова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, директор, Дирекция „Развитие на селските райони“, Министерство на земеделието и храните;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Цветелина Пенкова,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член на Европейския парламент, Заместник-председател, Комисия по промишленост, изследвания и енергетика; и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Илия Годев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, секретар на Народно читалище „Проф. д-р Асен Златаров – 1927“, с. Смилян, област Смолян</w:t>
            </w:r>
          </w:p>
        </w:tc>
      </w:tr>
      <w:tr>
        <w:trPr>
          <w:cantSplit w:val="1"/>
          <w:trHeight w:val="7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8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17:00 – 17:15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9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Коментар</w:t>
            </w: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върху дискусията и изказване по темата —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Антон Кутев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, председател на Комисията по културата и медиите, Народно събрание на Република България</w:t>
            </w:r>
          </w:p>
        </w:tc>
      </w:tr>
      <w:tr>
        <w:trPr>
          <w:cantSplit w:val="1"/>
          <w:trHeight w:val="7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A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17:15 – 17:45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B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Дискусия с публиката</w:t>
            </w:r>
          </w:p>
        </w:tc>
      </w:tr>
    </w:tbl>
    <w:p w:rsidR="00000000" w:rsidDel="00000000" w:rsidP="00000000" w:rsidRDefault="00000000" w:rsidRPr="00000000" w14:paraId="0000003C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17:45 – 18:00</w:t>
      </w:r>
      <w:r w:rsidDel="00000000" w:rsidR="00000000" w:rsidRPr="00000000">
        <w:rPr>
          <w:sz w:val="24"/>
          <w:szCs w:val="24"/>
          <w:rtl w:val="0"/>
        </w:rPr>
        <w:t xml:space="preserve"> Заключение и препоръки</w:t>
      </w:r>
    </w:p>
    <w:p w:rsidR="00000000" w:rsidDel="00000000" w:rsidP="00000000" w:rsidRDefault="00000000" w:rsidRPr="00000000" w14:paraId="0000003D">
      <w:pPr>
        <w:jc w:val="both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after="80" w:before="280" w:lineRule="auto"/>
        <w:jc w:val="both"/>
        <w:rPr>
          <w:b w:val="1"/>
          <w:bCs w:val="1"/>
          <w:sz w:val="26"/>
          <w:szCs w:val="26"/>
        </w:rPr>
      </w:pPr>
      <w:bookmarkStart w:colFirst="0" w:colLast="0" w:name="_heading=h.48gr4i361ilg" w:id="8"/>
      <w:bookmarkEnd w:id="8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ДЕН 2 — Събота, 19 септември (само за международните гости)</w:t>
      </w:r>
    </w:p>
    <w:p w:rsidR="00000000" w:rsidDel="00000000" w:rsidP="00000000" w:rsidRDefault="00000000" w:rsidRPr="00000000" w14:paraId="0000003F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Сутрин: посещения на две читалища в София и околността.</w:t>
        <w:br w:type="textWrapping"/>
      </w:r>
    </w:p>
    <w:p w:rsidR="00000000" w:rsidDel="00000000" w:rsidP="00000000" w:rsidRDefault="00000000" w:rsidRPr="00000000" w14:paraId="00000040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810000"/>
            <wp:effectExtent b="0" l="0" r="0" t="0"/>
            <wp:docPr id="4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1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Subtitle"/>
        <w:spacing w:after="120" w:before="240" w:lineRule="auto"/>
        <w:jc w:val="both"/>
        <w:rPr/>
      </w:pPr>
      <w:r w:rsidDel="00000000" w:rsidR="00000000" w:rsidRPr="00000000">
        <w:rPr>
          <w:color w:val="eb7033"/>
          <w:rtl w:val="0"/>
        </w:rPr>
        <w:t xml:space="preserve">За организаторите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20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Европейската мрежа на културните центрове (ENCC) обединява над 200 социокултурни центъра и мрежи от 39 държави в Европа и извън нея, свързвайки над 5000 културни организации с разнообразни структури, практики и публики. Мрежата насърчава диалога, обучението, сътрудничеството и застъпничеството между културни оператори, чиято дейност е насочена към социално въздействие и развитие на общностите. Мрежата е съфинансирана от програма „Творческа Европа“ на Европейския съюз.</w:t>
      </w:r>
    </w:p>
    <w:p w:rsidR="00000000" w:rsidDel="00000000" w:rsidP="00000000" w:rsidRDefault="00000000" w:rsidRPr="00000000" w14:paraId="00000044">
      <w:pPr>
        <w:spacing w:after="20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Фондация „Народни читалища“ (ФНЧ) е създадена през октомври 2023 г. с мисията да подкрепя потенциала на читалищата в България, така че всеки — независимо от възраст, пол, образование или имуществено състояние — да има място, където да твори, да се информира и да учи, а всяка селска и квартална общност да има свой дом.</w:t>
      </w:r>
    </w:p>
    <w:p w:rsidR="00000000" w:rsidDel="00000000" w:rsidP="00000000" w:rsidRDefault="00000000" w:rsidRPr="00000000" w14:paraId="00000045">
      <w:pPr>
        <w:pStyle w:val="Subtitle"/>
        <w:spacing w:after="120" w:before="240" w:lineRule="auto"/>
        <w:jc w:val="both"/>
        <w:rPr/>
      </w:pPr>
      <w:r w:rsidDel="00000000" w:rsidR="00000000" w:rsidRPr="00000000">
        <w:rPr>
          <w:color w:val="eb7033"/>
          <w:rtl w:val="0"/>
        </w:rPr>
        <w:t xml:space="preserve">Финансиране и подкрепа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20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Събитието се финансира от Столична община и се изпълнява по проект „Bridge Makers“ на ENCC, съфинансиран от Европейския съюз. То се реализира с домакинството и подкрепата на Бюрото за връзка на Европейския парламент в България.</w:t>
      </w:r>
    </w:p>
    <w:sectPr>
      <w:headerReference r:id="rId11" w:type="default"/>
      <w:footerReference r:id="rId12" w:type="default"/>
      <w:pgSz w:h="16838" w:w="11906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mbria"/>
  <w:font w:name="Wix Madefor Display SemiBold">
    <w:embedRegular w:fontKey="{00000000-0000-0000-0000-000000000000}" r:id="rId1" w:subsetted="0"/>
    <w:embedBold w:fontKey="{00000000-0000-0000-0000-000000000000}" r:id="rId2" w:subsetted="0"/>
  </w:font>
  <w:font w:name="Wix Madefor Display">
    <w:embedRegular w:fontKey="{00000000-0000-0000-0000-000000000000}" r:id="rId3" w:subsetted="0"/>
    <w:embedBold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right"/>
      <w:rPr>
        <w:rFonts w:ascii="Wix Madefor Display" w:cs="Wix Madefor Display" w:eastAsia="Wix Madefor Display" w:hAnsi="Wix Madefor Display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Wix Madefor Display" w:cs="Wix Madefor Display" w:eastAsia="Wix Madefor Display" w:hAnsi="Wix Madefor Display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9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7">
    <w:pPr>
      <w:rPr/>
    </w:pPr>
    <w:r w:rsidDel="00000000" w:rsidR="00000000" w:rsidRPr="00000000">
      <w:rPr/>
      <w:drawing>
        <wp:inline distB="114300" distT="114300" distL="114300" distR="114300">
          <wp:extent cx="5731200" cy="330200"/>
          <wp:effectExtent b="0" l="0" r="0" t="0"/>
          <wp:docPr id="5" name="image2.jpg"/>
          <a:graphic>
            <a:graphicData uri="http://schemas.openxmlformats.org/drawingml/2006/picture">
              <pic:pic>
                <pic:nvPicPr>
                  <pic:cNvPr id="0" name="image2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731200" cy="3302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Wix Madefor Display" w:cs="Wix Madefor Display" w:eastAsia="Wix Madefor Display" w:hAnsi="Wix Madefor Display"/>
        <w:sz w:val="22"/>
        <w:szCs w:val="22"/>
        <w:lang w:val="bg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</w:pPr>
    <w:rPr>
      <w:sz w:val="18"/>
      <w:szCs w:val="1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b w:val="1"/>
      <w:bCs w:val="1"/>
      <w:sz w:val="52"/>
      <w:szCs w:val="5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Normal0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" w:customStyle="1">
    <w:basedOn w:val="TableNormal0"/>
    <w:tblPr>
      <w:tblStyleRowBandSize w:val="1"/>
      <w:tblStyleColBandSize w:val="1"/>
    </w:tblPr>
  </w:style>
  <w:style w:type="table" w:styleId="a0" w:customStyle="1">
    <w:basedOn w:val="TableNormal0"/>
    <w:tblPr>
      <w:tblStyleRowBandSize w:val="1"/>
      <w:tblStyleColBandSize w:val="1"/>
    </w:tblPr>
  </w:style>
  <w:style w:type="table" w:styleId="a1" w:customStyle="1">
    <w:basedOn w:val="TableNormal0"/>
    <w:tblPr>
      <w:tblStyleRowBandSize w:val="1"/>
      <w:tblStyleColBandSize w:val="1"/>
    </w:tblPr>
  </w:style>
  <w:style w:type="character" w:styleId="Hyperlink">
    <w:name w:val="Hyperlink"/>
    <w:basedOn w:val="DefaultParagraphFont"/>
    <w:uiPriority w:val="99"/>
    <w:unhideWhenUsed w:val="1"/>
    <w:rsid w:val="007E2AE9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7E2AE9"/>
    <w:rPr>
      <w:color w:val="605e5c"/>
      <w:shd w:color="auto" w:fill="e1dfdd" w:val="clear"/>
    </w:rPr>
  </w:style>
  <w:style w:type="paragraph" w:styleId="Header">
    <w:name w:val="header"/>
    <w:basedOn w:val="Normal"/>
    <w:link w:val="HeaderChar"/>
    <w:uiPriority w:val="99"/>
    <w:unhideWhenUsed w:val="1"/>
    <w:rsid w:val="007E2AE9"/>
    <w:pPr>
      <w:tabs>
        <w:tab w:val="center" w:pos="4536"/>
        <w:tab w:val="right" w:pos="9072"/>
      </w:tabs>
      <w:spacing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7E2AE9"/>
  </w:style>
  <w:style w:type="paragraph" w:styleId="Footer">
    <w:name w:val="footer"/>
    <w:basedOn w:val="Normal"/>
    <w:link w:val="FooterChar"/>
    <w:uiPriority w:val="99"/>
    <w:unhideWhenUsed w:val="1"/>
    <w:rsid w:val="007E2AE9"/>
    <w:pPr>
      <w:tabs>
        <w:tab w:val="center" w:pos="4536"/>
        <w:tab w:val="right" w:pos="9072"/>
      </w:tabs>
      <w:spacing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7E2AE9"/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rFonts w:ascii="Wix Madefor Display SemiBold" w:cs="Wix Madefor Display SemiBold" w:eastAsia="Wix Madefor Display SemiBold" w:hAnsi="Wix Madefor Display SemiBold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eader" Target="header1.xml"/><Relationship Id="rId10" Type="http://schemas.openxmlformats.org/officeDocument/2006/relationships/image" Target="media/image1.jpg"/><Relationship Id="rId12" Type="http://schemas.openxmlformats.org/officeDocument/2006/relationships/footer" Target="footer1.xml"/><Relationship Id="rId9" Type="http://schemas.openxmlformats.org/officeDocument/2006/relationships/hyperlink" Target="https://ec.europa.eu/eusurvey/runner/Conference18092026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karta.narodnichitalishta.bg/" TargetMode="External"/><Relationship Id="rId8" Type="http://schemas.openxmlformats.org/officeDocument/2006/relationships/hyperlink" Target="https://bulgaria.representation.ec.europa.eu/za-nas/dom-na-evropa_bg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WixMadeforDisplaySemiBold-regular.ttf"/><Relationship Id="rId2" Type="http://schemas.openxmlformats.org/officeDocument/2006/relationships/font" Target="fonts/WixMadeforDisplaySemiBold-bold.ttf"/><Relationship Id="rId3" Type="http://schemas.openxmlformats.org/officeDocument/2006/relationships/font" Target="fonts/WixMadeforDisplay-regular.ttf"/><Relationship Id="rId4" Type="http://schemas.openxmlformats.org/officeDocument/2006/relationships/font" Target="fonts/WixMadeforDisplay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B6zqYBImYWOVK6tyB6CkkU6YHgQ==">CgMxLjAyDmguajJlcW56eG92aTY2Mg5oLmlxb2Z1NHdrMjg2NTIOaC4zN2ltbzJhbnp6eGgyDmguMWN1bDBlMjI1ejZhMg5oLnlmZGI4eDFnY283MzIOaC43MHNrMDVpNjI2ajEyDmguY3plaDd5NDA4eHE4Mg5oLmloNm53bWxubG9objIOaC40OGdyNGkzNjFpbGc4AHIhMXRVOV9relRxQ1RPV2N1UFlGLW5kMzhCMHVmWEVMWjNE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2026-09-03T13:56:00Z</dcterms:created>
  <dc:creator>Yuriy Vulkovsky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095e80bd-f0a2-455e-b22b-22b12bce1f7f</vt:lpwstr>
  </property>
</Properties>
</file>