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80"/>
        <w:shd w:val="clear" w:fill="0A4800"/>
        <w:pBdr>
          <w:left w:val="single" w:sz="24" w:space="4" w:color="33CC00"/>
        </w:pBdr>
        <w:ind w:left="227"/>
      </w:pPr>
      <w:r>
        <w:rPr>
          <w:rFonts w:ascii="Calibri" w:hAnsi="Calibri" w:cs="Calibri"/>
          <w:b/>
          <w:i w:val="0"/>
          <w:color w:val="FFFFFF"/>
          <w:sz w:val="36"/>
        </w:rPr>
        <w:t>ALIGNEMENT DU PROJET — RECOMMANDATIONS AVERE OUTRE-MER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EGREENCITY'S — 20 PDC Guyane française</w:t>
      </w: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Document complémentaire au dossier ADVENIR.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 w:val="0"/>
          <w:i/>
          <w:color w:val="2B4DB5"/>
          <w:sz w:val="22"/>
        </w:rPr>
        <w:t>Référence : « Accélérer l'électrification des mobilités dans les territoires ultramarins — Une transition à adapter aux réalités locales » — Avere-France, avril 2026.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1. Contexte — La Guyane, un territoire RUP/ZNI singulier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La Guyane française est, simultanément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</w:t>
      </w:r>
      <w:r>
        <w:rPr>
          <w:rFonts w:ascii="Calibri" w:hAnsi="Calibri" w:cs="Calibri"/>
          <w:b/>
          <w:i w:val="0"/>
          <w:color w:val="0A4800"/>
          <w:sz w:val="22"/>
        </w:rPr>
        <w:t>Région Ultrapériphérique (RUP)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l'Union européenne (article 349 TFUE) — éligibilité renforcée au programme ADVENIR et aux fonds FEDER (taux majoré jusqu'à 85 %)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</w:t>
      </w:r>
      <w:r>
        <w:rPr>
          <w:rFonts w:ascii="Calibri" w:hAnsi="Calibri" w:cs="Calibri"/>
          <w:b/>
          <w:i w:val="0"/>
          <w:color w:val="0A4800"/>
          <w:sz w:val="22"/>
        </w:rPr>
        <w:t>Zone Non Interconnectée (ZNI)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au réseau électrique continental européen — système électrique isolé, sensible aux variations de la demande, géré par EDF SEI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 </w:t>
      </w:r>
      <w:r>
        <w:rPr>
          <w:rFonts w:ascii="Calibri" w:hAnsi="Calibri" w:cs="Calibri"/>
          <w:b/>
          <w:i w:val="0"/>
          <w:color w:val="0A4800"/>
          <w:sz w:val="22"/>
        </w:rPr>
        <w:t>DROM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affichant des inégalités socio-économiques structurantes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taux de chômage </w:t>
      </w:r>
      <w:r>
        <w:rPr>
          <w:rFonts w:ascii="Calibri" w:hAnsi="Calibri" w:cs="Calibri"/>
          <w:b/>
          <w:i w:val="0"/>
          <w:color w:val="0A4800"/>
          <w:sz w:val="22"/>
        </w:rPr>
        <w:t>17,5 %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au 4e trimestre 2025 (vs 7,7 % en France hexagonale, source Insee)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grande pauvreté </w:t>
      </w:r>
      <w:r>
        <w:rPr>
          <w:rFonts w:ascii="Calibri" w:hAnsi="Calibri" w:cs="Calibri"/>
          <w:b/>
          <w:i w:val="0"/>
          <w:color w:val="0A4800"/>
          <w:sz w:val="22"/>
        </w:rPr>
        <w:t>5 à 15 fois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plus fréquente qu'en métropole ;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coût de la vie supérieur, octroi de mer, importation quasi intégrale des véhicules.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Dans ce contexte, l'Avere-France recommande, dans sa note du 4e trimestre 2025, </w:t>
      </w:r>
      <w:r>
        <w:rPr>
          <w:rFonts w:ascii="Calibri" w:hAnsi="Calibri" w:cs="Calibri"/>
          <w:b/>
          <w:i w:val="0"/>
          <w:color w:val="0A4800"/>
          <w:sz w:val="22"/>
        </w:rPr>
        <w:t>une approche adaptée, intégrée et territorialisée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pour réussir l'électrification des mobilités outre-mer.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2. Comment notre projet répond aux 7 axes Avere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2.1 Pilotage intelligent de la recharge -&gt; AXE 1 Avere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« Systématiser le pilotage intelligent de la recharge dans les zones non interconnectées, afin de limiter les appels de puissance en période de pointe.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Notre dispositif (déployé dans le LOT 2 du budget)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OCPP 1.6J natif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l'ensemble des 20 PDC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Délestage entre les 2 PDC d'une même borne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(technologie e-Premium AC native)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e-Powerbox + e-Master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capable de gérer jusqu'à 16 PDC en smart charging multi-stations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e-power FM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(consigne fixe multi-stations) — déployé dès la phase 1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e-Allow CP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(priorisation par PDC) — pour le relais Iracoubo (RN1)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E-meter 400 A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pour mesure dynamique et évolution future vers e-Power DYM (consigne dynamique)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Plateforme CSMS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multi-tenant + </w:t>
      </w:r>
      <w:r>
        <w:rPr>
          <w:rFonts w:ascii="Calibri" w:hAnsi="Calibri" w:cs="Calibri"/>
          <w:b/>
          <w:i w:val="0"/>
          <w:color w:val="0A4800"/>
          <w:sz w:val="22"/>
        </w:rPr>
        <w:t>connexion GIREVE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+ reporting AVERE-France ;</w:t>
        <w:br/>
        <w:t>- Évolution phase 2 : e-Power VS / DYM pour pilotage dynamique en lien avec la production solaire ;</w:t>
        <w:br/>
        <w:t xml:space="preserve">- Coordination avec </w:t>
      </w:r>
      <w:r>
        <w:rPr>
          <w:rFonts w:ascii="Calibri" w:hAnsi="Calibri" w:cs="Calibri"/>
          <w:b/>
          <w:i w:val="0"/>
          <w:color w:val="0A4800"/>
          <w:sz w:val="22"/>
        </w:rPr>
        <w:t>EDF SEI Guyane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pour modélisation des appels de puissance.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[OK] Pleinement conforme à la recommandation Avere n° 1 — </w:t>
      </w:r>
      <w:r>
        <w:rPr>
          <w:rFonts w:ascii="Calibri" w:hAnsi="Calibri" w:cs="Calibri"/>
          <w:b/>
          <w:i w:val="0"/>
          <w:color w:val="0A4800"/>
          <w:sz w:val="22"/>
        </w:rPr>
        <w:t>smart charging déployé dès la phase 1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(et pas seulement en option future).</w:t>
      </w:r>
    </w:p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2.2 Infrastructures dimensionnées au plus juste -&gt; AXE 2 Avere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« Privilégier des infrastructures dimensionnées au plus juste, en cohérence avec les usages observés (notamment recharge lente ou intermédiaire). Éviter le surdimensionnement.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Notre choix :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100 % AC 22 kW (e-Premium AC Pied 2×22 kW), </w:t>
      </w:r>
      <w:r>
        <w:rPr>
          <w:rFonts w:ascii="Calibri" w:hAnsi="Calibri" w:cs="Calibri"/>
          <w:b/>
          <w:i w:val="0"/>
          <w:color w:val="0A4800"/>
          <w:sz w:val="22"/>
        </w:rPr>
        <w:t>aucune borne DC rapide en phase 1</w:t>
      </w:r>
      <w:r>
        <w:rPr>
          <w:rFonts w:ascii="Calibri" w:hAnsi="Calibri" w:cs="Calibri"/>
          <w:b w:val="0"/>
          <w:i w:val="0"/>
          <w:color w:val="1A3A00"/>
          <w:sz w:val="22"/>
        </w:rPr>
        <w:t>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Justification alignée Avere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- L'Avere observe que les outre-mer ont des </w:t>
      </w:r>
      <w:r>
        <w:rPr>
          <w:rFonts w:ascii="Calibri" w:hAnsi="Calibri" w:cs="Calibri"/>
          <w:b/>
          <w:i w:val="0"/>
          <w:color w:val="0A4800"/>
          <w:sz w:val="22"/>
        </w:rPr>
        <w:t>distances quotidiennes modérées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(réf. Réunion : 40 km/jour). En Guyane, les déplacements quotidiens sont également courts (zone urbaine littorale).</w:t>
        <w:br/>
        <w:t xml:space="preserve">- L'Avere recommande explicitement de </w:t>
      </w:r>
      <w:r>
        <w:rPr>
          <w:rFonts w:ascii="Calibri" w:hAnsi="Calibri" w:cs="Calibri"/>
          <w:b/>
          <w:i w:val="0"/>
          <w:color w:val="0A4800"/>
          <w:sz w:val="22"/>
        </w:rPr>
        <w:t>garder la recharge rapide DC ciblée et limitée</w:t>
      </w:r>
      <w:r>
        <w:rPr>
          <w:rFonts w:ascii="Calibri" w:hAnsi="Calibri" w:cs="Calibri"/>
          <w:b w:val="0"/>
          <w:i w:val="0"/>
          <w:color w:val="1A3A00"/>
          <w:sz w:val="22"/>
        </w:rPr>
        <w:t>.</w:t>
        <w:br/>
        <w:t>- Notre maillage AC 22 kW couvre 8 communes avec des temps de pause naturels (45-60 min) qui permettent une recharge significative sans HTA.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Iracoubo (relais RN1) :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4 PDC AC 22 kW au lieu d'une station DC unique -&gt; 4× moins d'investissement, sans contrainte HTA.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Choix techniquement et économiquement optimal pour la Guyane.</w:t>
      </w:r>
    </w:p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2.3 Accès équitable à la mobilité électrique -&gt; AXE 3 Avere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« Adapter les dispositifs de soutien à l'acquisition aux réalités socio-économiques des territoires ultramarins.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Notre contribution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Pas d'abonnement obligatoire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(AC sans contact, RFID, app mobile gratuite) ;</w:t>
        <w:br/>
        <w:t>- Tarification AC plafonnée pour rester accessible (0,35 €/kWh + 0,02 €/min après 1 h, vs ~0,55 €/kWh en DC métropole)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Acceptation du badge 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(interopérabilité GIREVE) ;</w:t>
        <w:br/>
        <w:t xml:space="preserve">- Bornes municipales sur places publiques -&gt; </w:t>
      </w:r>
      <w:r>
        <w:rPr>
          <w:rFonts w:ascii="Calibri" w:hAnsi="Calibri" w:cs="Calibri"/>
          <w:b/>
          <w:i w:val="0"/>
          <w:color w:val="0A4800"/>
          <w:sz w:val="22"/>
        </w:rPr>
        <w:t>accessibilité gratuite au stationnement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négociée avec les mairies.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Modèle inclusif compatible avec un pouvoir d'achat contraint.</w:t>
      </w:r>
    </w:p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2.4 Électrification des flottes professionnelles -&gt; AXE 4 Avere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« Prioriser le déploiement de la recharge en dépôt et sur les lieux d'activité (zones d'emploi, ports, aéroports) avant l'extension de la recharge rapide ouverte au public.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Notre apport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- 1 station prévue en zone commerciale (S02-CAY-EST — Califourchon) -&gt; pré-positionnement flotte commerce ;</w:t>
        <w:br/>
        <w:t xml:space="preserve">- Notre offre EGREENCITY'S inclut une gamme </w:t>
      </w:r>
      <w:r>
        <w:rPr>
          <w:rFonts w:ascii="Calibri" w:hAnsi="Calibri" w:cs="Calibri"/>
          <w:b/>
          <w:i w:val="0"/>
          <w:color w:val="0A4800"/>
          <w:sz w:val="22"/>
        </w:rPr>
        <w:t>e-Smart 22 kW pied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(catalogue 2026) destinée à l'électrification des flottes d'entreprise — financement complémentaire ADVENIR « salariés / flotte » disponible en phase 2.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Le réseau public 20 PDC créera l'écosystème permettant ensuite l'électrification des flottes locales (routes routières, taxis, livreurs).</w:t>
      </w:r>
    </w:p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2.5 Filière locale de compétences -&gt; AXE 5 Avere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« Soutenir le développement de formations initiales dédiées aux métiers de la mobilité électrique. Accompagner la montée en compétence des acteurs locaux (installateurs, mainteneurs, distributeurs).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Notre engagement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Création de la filiale EGREENCITY'S Elec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(déjà prévue) -&gt; emplois de techniciens IRVE en Guyane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Qualification IRVE Qualifelec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+ mention AFNOR pour le dirigeant et les techniciens (formation OPCO Commerce)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Partenariat formation avec E-TOTEM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maintenance préventive et curative sur site Guyane, déplacement technicien expert e-Totem inclus dans le LOT 2 ;</w:t>
        <w:br/>
        <w:t xml:space="preserve">- Dans un territoire à 17,5 % de chômage, </w:t>
      </w:r>
      <w:r>
        <w:rPr>
          <w:rFonts w:ascii="Calibri" w:hAnsi="Calibri" w:cs="Calibri"/>
          <w:b/>
          <w:i w:val="0"/>
          <w:color w:val="0A4800"/>
          <w:sz w:val="22"/>
        </w:rPr>
        <w:t>chaque emploi IRVE créé localement bénéficie en priorité aux résidents guyanais</w:t>
      </w:r>
      <w:r>
        <w:rPr>
          <w:rFonts w:ascii="Calibri" w:hAnsi="Calibri" w:cs="Calibri"/>
          <w:b w:val="0"/>
          <w:i w:val="0"/>
          <w:color w:val="1A3A00"/>
          <w:sz w:val="22"/>
        </w:rPr>
        <w:t>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Le projet ne se limite pas à de l'investissement matériel : il structure une filière locale d'emplois durables.</w:t>
      </w:r>
    </w:p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2.6 Gestion des batteries -&gt; AXE 6 Avere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« Définir un cadre opérationnel sécurisé pour le transport des batteries usagées. Soutenir le développement de solutions locales de réparation et de reconditionnement.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Périmètre du projet :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les bornes e-Premium AC ne contiennent </w:t>
      </w:r>
      <w:r>
        <w:rPr>
          <w:rFonts w:ascii="Calibri" w:hAnsi="Calibri" w:cs="Calibri"/>
          <w:b/>
          <w:i w:val="0"/>
          <w:color w:val="0A4800"/>
          <w:sz w:val="22"/>
        </w:rPr>
        <w:t>pas de batterie de stockage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(recharge directe sur le réseau). Cet axe ne s'applique donc pas directement à l'infrastructure objet de la subvention.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Toutefois, en tant qu'opérateur de mobilité électrique en Guyane, nous nous engageons à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Sensibiliser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nos clients (collectivités, entreprises) sur la fin de vie des batteries de leurs véhicules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Participer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aux concertations locales sur la structuration d'une filière BRC (Battery Repair Center) en Guyane, à l'image de ce qui a été mis en place en Martinique et Guadeloupe ;</w:t>
        <w:br/>
        <w:t xml:space="preserve">- </w:t>
      </w:r>
      <w:r>
        <w:rPr>
          <w:rFonts w:ascii="Calibri" w:hAnsi="Calibri" w:cs="Calibri"/>
          <w:b/>
          <w:i w:val="0"/>
          <w:color w:val="0A4800"/>
          <w:sz w:val="22"/>
        </w:rPr>
        <w:t>Étudier en phase 2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des solutions clés en main combinant bornes + stockage par batterie + photovoltaïque (recommandation Avere axe 1).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Vision stratégique en cohérence avec les axes Avere.</w:t>
      </w:r>
    </w:p>
    <w:p>
      <w:pPr>
        <w:pBdr>
          <w:bottom w:val="single" w:sz="8" w:space="1" w:color="33CC00"/>
        </w:pBdr>
      </w:pP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2.7 Cohérence des outils de planification -&gt; AXE 7 Avere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« Améliorer l'articulation entre les différents outils de planification (PPE, S3REnR, SDIRVE) en tendant vers un cadre programmatique unifié intégrant production et consommation. »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Notre projet s'inscrit dans :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 xml:space="preserve">- Le </w:t>
      </w:r>
      <w:r>
        <w:rPr>
          <w:rFonts w:ascii="Calibri" w:hAnsi="Calibri" w:cs="Calibri"/>
          <w:b/>
          <w:i w:val="0"/>
          <w:color w:val="0A4800"/>
          <w:sz w:val="22"/>
        </w:rPr>
        <w:t>Plan Climat-Air-Énergie Territorial (PCAET)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la Guyane ;</w:t>
        <w:br/>
        <w:t xml:space="preserve">- Le </w:t>
      </w:r>
      <w:r>
        <w:rPr>
          <w:rFonts w:ascii="Calibri" w:hAnsi="Calibri" w:cs="Calibri"/>
          <w:b/>
          <w:i w:val="0"/>
          <w:color w:val="0A4800"/>
          <w:sz w:val="22"/>
        </w:rPr>
        <w:t>Schéma Régional Climat Air Énergie (SRCAE)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Guyane ;</w:t>
        <w:br/>
        <w:t xml:space="preserve">- La </w:t>
      </w:r>
      <w:r>
        <w:rPr>
          <w:rFonts w:ascii="Calibri" w:hAnsi="Calibri" w:cs="Calibri"/>
          <w:b/>
          <w:i w:val="0"/>
          <w:color w:val="0A4800"/>
          <w:sz w:val="22"/>
        </w:rPr>
        <w:t>stratégie de mobilité décarbonée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la Collectivité Territoriale de Guyane (CTG) ;</w:t>
        <w:br/>
        <w:t xml:space="preserve">- Le </w:t>
      </w:r>
      <w:r>
        <w:rPr>
          <w:rFonts w:ascii="Calibri" w:hAnsi="Calibri" w:cs="Calibri"/>
          <w:b/>
          <w:i w:val="0"/>
          <w:color w:val="0A4800"/>
          <w:sz w:val="22"/>
        </w:rPr>
        <w:t>Programme Opérationnel FEDER Guyane 2021-2027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OS2 Mobilité faible émission ;</w:t>
        <w:br/>
        <w:t xml:space="preserve">- Le </w:t>
      </w:r>
      <w:r>
        <w:rPr>
          <w:rFonts w:ascii="Calibri" w:hAnsi="Calibri" w:cs="Calibri"/>
          <w:b/>
          <w:i w:val="0"/>
          <w:color w:val="0A4800"/>
          <w:sz w:val="22"/>
        </w:rPr>
        <w:t>Programme ADVENIR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dispositif national porté par AVERE-France.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Engagement :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participer activement aux travaux de la CTG si elle décide de </w:t>
      </w:r>
      <w:r>
        <w:rPr>
          <w:rFonts w:ascii="Calibri" w:hAnsi="Calibri" w:cs="Calibri"/>
          <w:b/>
          <w:i w:val="0"/>
          <w:color w:val="0A4800"/>
          <w:sz w:val="22"/>
        </w:rPr>
        <w:t>se doter d'un SDIRVE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(Schéma Directeur des Infrastructures de Recharge), à l'image de ce qui existe à La Réunion via le SIDELEC.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[OK] Cohérence pleine avec les outils de planification existants et émergents.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3. Tableau de synthèse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Axe Avere Outre-mer (avril 2026)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Réponse projet EGREENCITY'S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1. Pilotage intelligent de la recharge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OCPP 1.6J natif + délestage + borne maître + roadmap e-Power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2. Infrastructures dimensionnées au juste besoin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100 % AC 22 kW, pas de DC en phase 1, 4 PDC à Iracoubo (relais)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3. Accès équitable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Sans abonnement, multi-paiement, tarif plafonné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4. Flottes professionnelles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site en ZC + gamme e-Smart pour flottes en phase 2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[~] (initié)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5. Filière locale de compétences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Création EGREENCITY'S Elec + Qualifelec + emplois locaux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6. Gestion batteries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Sans objet (bornes nues) — engagement de sensibilisation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 ] (S/O)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7. Cohérence planification (PPE, S3REnR, SDIRVE)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Inscription PCAET, SRCAE, stratégie CTG, FEDER, ADVENIR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[OK]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4. Synthèse — pourquoi notre projet mérite le soutien d'ADVENIR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Le projet EGREENCITY'S est, à notre connaissance, le premier dossier ADVENIR voirie publique en Guyane qui s'aligne explicitement sur les sept axes des recommandations Avere-France pour les territoires ultramarins (note avril 2026).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Il combine :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Un choix technique optimal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(100 % AC 22 kW) — exactement le profil recommandé par Avere pour les ZNI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Un taux de couverture ADVENIR exceptionnel de 75,2 %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sur le matériel des bornes nues, rendu possible par la baisse des prix fournisseur 2026 (devis E-TOTEM DEV26000037 — 4 948 € HT/borne)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Un maillage représentatif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de 8 communes guyanaises couvrant les 3 pôles urbains principaux + le relais stratégique d'Iracoubo (RN1 km 95)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Une contribution directe à l'emploi local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dans un territoire à 17,5 % de chômage ;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Un alignement total avec les recommandations Avere d'avril 2026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gage de pertinence du dossier au regard des axes prioritaires définis par votre association.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Document à joindre au dossier ADVENIR — Pièce C9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 w:val="0"/>
          <w:i/>
          <w:color w:val="2B4DB5"/>
          <w:sz w:val="22"/>
        </w:rPr>
        <w:t>Version 1.0 — Mai 2026 — Loïc LUDOSKY, Président EGREENCITY'S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825508" cy="503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5508" cy="503999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rFonts w:ascii="Calibri" w:hAnsi="Calibri" w:cs="Calibri"/>
        <w:b w:val="0"/>
        <w:i/>
        <w:color w:val="2B4DB5"/>
        <w:sz w:val="16"/>
      </w:rPr>
      <w:t>Bornes de recharge electrique - Guyane francaise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