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80"/>
        <w:shd w:val="clear" w:fill="0A4800"/>
        <w:pBdr>
          <w:left w:val="single" w:sz="24" w:space="4" w:color="33CC00"/>
        </w:pBdr>
        <w:ind w:left="227"/>
      </w:pPr>
      <w:r>
        <w:rPr>
          <w:rFonts w:ascii="Calibri" w:hAnsi="Calibri" w:cs="Calibri"/>
          <w:b/>
          <w:i w:val="0"/>
          <w:color w:val="FFFFFF"/>
          <w:sz w:val="36"/>
        </w:rPr>
        <w:t>Suivi des envois — Courriers mairies (proposition co-investissement)</w:t>
      </w:r>
    </w:p>
    <w:p>
      <w:pPr>
        <w:spacing w:before="280" w:after="120"/>
        <w:pBdr>
          <w:bottom w:val="single" w:sz="12" w:space="1" w:color="33CC00"/>
        </w:pBdr>
      </w:pPr>
      <w:r>
        <w:rPr>
          <w:rFonts w:ascii="Calibri" w:hAnsi="Calibri" w:cs="Calibri"/>
          <w:b/>
          <w:i w:val="0"/>
          <w:color w:val="0A4800"/>
          <w:sz w:val="28"/>
        </w:rPr>
        <w:t>Programme ADVENIR EGREENCITY'S — 8 mairies cibles</w:t>
      </w:r>
    </w:p>
    <w:p>
      <w:pPr>
        <w:spacing w:before="120" w:after="120" w:line="312" w:lineRule="auto"/>
        <w:ind w:left="283"/>
        <w:pBdr>
          <w:left w:val="single" w:sz="24" w:space="8" w:color="2B4DB5"/>
        </w:pBdr>
        <w:shd w:val="clear" w:fill="F0F3FB"/>
      </w:pPr>
      <w:r>
        <w:rPr>
          <w:rFonts w:ascii="Calibri" w:hAnsi="Calibri" w:cs="Calibri"/>
          <w:b w:val="0"/>
          <w:i/>
          <w:color w:val="1A3A00"/>
          <w:sz w:val="20"/>
        </w:rPr>
        <w:t>Mode opératoire : impression sur papier en-tête, signature manuscrite + cachet, envoi en LRAR, conservation des avis de réception (pièces D1 du dossier ADVENIR).</w:t>
      </w:r>
    </w:p>
    <w:p>
      <w:pPr>
        <w:pBdr>
          <w:bottom w:val="single" w:sz="8" w:space="1" w:color="33CC00"/>
        </w:pBdr>
      </w:pPr>
    </w:p>
    <w:p>
      <w:pPr>
        <w:spacing w:before="280" w:after="120"/>
        <w:pBdr>
          <w:bottom w:val="single" w:sz="12" w:space="1" w:color="33CC00"/>
        </w:pBdr>
      </w:pPr>
      <w:r>
        <w:rPr>
          <w:rFonts w:ascii="Calibri" w:hAnsi="Calibri" w:cs="Calibri"/>
          <w:b/>
          <w:i w:val="0"/>
          <w:color w:val="0A4800"/>
          <w:sz w:val="28"/>
        </w:rPr>
        <w:t>Tableau de suivi des courriers</w:t>
      </w:r>
    </w:p>
    <w:tbl>
      <w:tblPr>
        <w:tblW w:type="auto" w:w="0"/>
        <w:jc w:val="center"/>
        <w:tblLayout w:type="autofit"/>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997"/>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ID</w:t>
            </w:r>
          </w:p>
        </w:tc>
        <w:tc>
          <w:tcPr>
            <w:tcW w:type="dxa" w:w="997"/>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Commune</w:t>
            </w:r>
          </w:p>
        </w:tc>
        <w:tc>
          <w:tcPr>
            <w:tcW w:type="dxa" w:w="997"/>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PDC</w:t>
            </w:r>
          </w:p>
        </w:tc>
        <w:tc>
          <w:tcPr>
            <w:tcW w:type="dxa" w:w="997"/>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Apport demandé</w:t>
            </w:r>
          </w:p>
        </w:tc>
        <w:tc>
          <w:tcPr>
            <w:tcW w:type="dxa" w:w="997"/>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Date impression</w:t>
            </w:r>
          </w:p>
        </w:tc>
        <w:tc>
          <w:tcPr>
            <w:tcW w:type="dxa" w:w="997"/>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LRAR n°</w:t>
            </w:r>
          </w:p>
        </w:tc>
        <w:tc>
          <w:tcPr>
            <w:tcW w:type="dxa" w:w="997"/>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Date envoi</w:t>
            </w:r>
          </w:p>
        </w:tc>
        <w:tc>
          <w:tcPr>
            <w:tcW w:type="dxa" w:w="997"/>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Date AR</w:t>
            </w:r>
          </w:p>
        </w:tc>
        <w:tc>
          <w:tcPr>
            <w:tcW w:type="dxa" w:w="997"/>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Date réponse</w:t>
            </w:r>
          </w:p>
        </w:tc>
        <w:tc>
          <w:tcPr>
            <w:tcW w:type="dxa" w:w="997"/>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Statut</w:t>
            </w:r>
          </w:p>
        </w:tc>
      </w:tr>
      <w:tr>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S01-S02</w:t>
            </w:r>
          </w:p>
        </w:tc>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Cayenne</w:t>
            </w:r>
          </w:p>
        </w:tc>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4</w:t>
            </w:r>
          </w:p>
        </w:tc>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10 000 €</w:t>
            </w:r>
          </w:p>
        </w:tc>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__ / __ / 2026</w:t>
            </w:r>
          </w:p>
        </w:tc>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color w:val="2B4DB5"/>
                <w:sz w:val="19"/>
              </w:rPr>
              <w:t>_</w:t>
            </w:r>
            <w:r>
              <w:rPr>
                <w:rFonts w:ascii="Calibri" w:hAnsi="Calibri" w:cs="Calibri"/>
                <w:b w:val="0"/>
                <w:i w:val="0"/>
                <w:color w:val="1A3A00"/>
                <w:sz w:val="19"/>
              </w:rPr>
              <w:t>___</w:t>
            </w:r>
          </w:p>
        </w:tc>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__ / __</w:t>
            </w:r>
          </w:p>
        </w:tc>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__ / __</w:t>
            </w:r>
          </w:p>
        </w:tc>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__ / __</w:t>
            </w:r>
          </w:p>
        </w:tc>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 ] Envoyé [ ] AR reçu [ ] Réponse</w:t>
            </w:r>
          </w:p>
        </w:tc>
      </w:tr>
      <w:tr>
        <w:tc>
          <w:tcPr>
            <w:tcW w:type="dxa" w:w="997"/>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S03</w:t>
            </w:r>
          </w:p>
        </w:tc>
        <w:tc>
          <w:tcPr>
            <w:tcW w:type="dxa" w:w="997"/>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Matoury</w:t>
            </w:r>
          </w:p>
        </w:tc>
        <w:tc>
          <w:tcPr>
            <w:tcW w:type="dxa" w:w="997"/>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2</w:t>
            </w:r>
          </w:p>
        </w:tc>
        <w:tc>
          <w:tcPr>
            <w:tcW w:type="dxa" w:w="997"/>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5 000 €</w:t>
            </w:r>
          </w:p>
        </w:tc>
        <w:tc>
          <w:tcPr>
            <w:tcW w:type="dxa" w:w="997"/>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__ / __ / 2026</w:t>
            </w:r>
          </w:p>
        </w:tc>
        <w:tc>
          <w:tcPr>
            <w:tcW w:type="dxa" w:w="997"/>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color w:val="2B4DB5"/>
                <w:sz w:val="19"/>
              </w:rPr>
              <w:t>_</w:t>
            </w:r>
            <w:r>
              <w:rPr>
                <w:rFonts w:ascii="Calibri" w:hAnsi="Calibri" w:cs="Calibri"/>
                <w:b w:val="0"/>
                <w:i w:val="0"/>
                <w:color w:val="1A3A00"/>
                <w:sz w:val="19"/>
              </w:rPr>
              <w:t>___</w:t>
            </w:r>
          </w:p>
        </w:tc>
        <w:tc>
          <w:tcPr>
            <w:tcW w:type="dxa" w:w="997"/>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__ / __</w:t>
            </w:r>
          </w:p>
        </w:tc>
        <w:tc>
          <w:tcPr>
            <w:tcW w:type="dxa" w:w="997"/>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__ / __</w:t>
            </w:r>
          </w:p>
        </w:tc>
        <w:tc>
          <w:tcPr>
            <w:tcW w:type="dxa" w:w="997"/>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__ / __</w:t>
            </w:r>
          </w:p>
        </w:tc>
        <w:tc>
          <w:tcPr>
            <w:tcW w:type="dxa" w:w="997"/>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 ] Envoyé [ ] AR reçu [ ] Réponse</w:t>
            </w:r>
          </w:p>
        </w:tc>
      </w:tr>
      <w:tr>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S04</w:t>
            </w:r>
          </w:p>
        </w:tc>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Rémire-Montjoly</w:t>
            </w:r>
          </w:p>
        </w:tc>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w:t>
            </w:r>
          </w:p>
        </w:tc>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5 000 €</w:t>
            </w:r>
          </w:p>
        </w:tc>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__ / __ / 2026</w:t>
            </w:r>
          </w:p>
        </w:tc>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color w:val="2B4DB5"/>
                <w:sz w:val="19"/>
              </w:rPr>
              <w:t>_</w:t>
            </w:r>
            <w:r>
              <w:rPr>
                <w:rFonts w:ascii="Calibri" w:hAnsi="Calibri" w:cs="Calibri"/>
                <w:b w:val="0"/>
                <w:i w:val="0"/>
                <w:color w:val="1A3A00"/>
                <w:sz w:val="19"/>
              </w:rPr>
              <w:t>___</w:t>
            </w:r>
          </w:p>
        </w:tc>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__ / __</w:t>
            </w:r>
          </w:p>
        </w:tc>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__ / __</w:t>
            </w:r>
          </w:p>
        </w:tc>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__ / __</w:t>
            </w:r>
          </w:p>
        </w:tc>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 ] Envoyé [ ] AR reçu [ ] Réponse</w:t>
            </w:r>
          </w:p>
        </w:tc>
      </w:tr>
      <w:tr>
        <w:tc>
          <w:tcPr>
            <w:tcW w:type="dxa" w:w="997"/>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S05</w:t>
            </w:r>
          </w:p>
        </w:tc>
        <w:tc>
          <w:tcPr>
            <w:tcW w:type="dxa" w:w="997"/>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Macouria-Tonate</w:t>
            </w:r>
          </w:p>
        </w:tc>
        <w:tc>
          <w:tcPr>
            <w:tcW w:type="dxa" w:w="997"/>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2</w:t>
            </w:r>
          </w:p>
        </w:tc>
        <w:tc>
          <w:tcPr>
            <w:tcW w:type="dxa" w:w="997"/>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5 000 €</w:t>
            </w:r>
          </w:p>
        </w:tc>
        <w:tc>
          <w:tcPr>
            <w:tcW w:type="dxa" w:w="997"/>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__ / __ / 2026</w:t>
            </w:r>
          </w:p>
        </w:tc>
        <w:tc>
          <w:tcPr>
            <w:tcW w:type="dxa" w:w="997"/>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color w:val="2B4DB5"/>
                <w:sz w:val="19"/>
              </w:rPr>
              <w:t>_</w:t>
            </w:r>
            <w:r>
              <w:rPr>
                <w:rFonts w:ascii="Calibri" w:hAnsi="Calibri" w:cs="Calibri"/>
                <w:b w:val="0"/>
                <w:i w:val="0"/>
                <w:color w:val="1A3A00"/>
                <w:sz w:val="19"/>
              </w:rPr>
              <w:t>___</w:t>
            </w:r>
          </w:p>
        </w:tc>
        <w:tc>
          <w:tcPr>
            <w:tcW w:type="dxa" w:w="997"/>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__ / __</w:t>
            </w:r>
          </w:p>
        </w:tc>
        <w:tc>
          <w:tcPr>
            <w:tcW w:type="dxa" w:w="997"/>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__ / __</w:t>
            </w:r>
          </w:p>
        </w:tc>
        <w:tc>
          <w:tcPr>
            <w:tcW w:type="dxa" w:w="997"/>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__ / __</w:t>
            </w:r>
          </w:p>
        </w:tc>
        <w:tc>
          <w:tcPr>
            <w:tcW w:type="dxa" w:w="997"/>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 ] Envoyé [ ] AR reçu [ ] Réponse</w:t>
            </w:r>
          </w:p>
        </w:tc>
      </w:tr>
      <w:tr>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S06</w:t>
            </w:r>
          </w:p>
        </w:tc>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Kourou</w:t>
            </w:r>
          </w:p>
        </w:tc>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w:t>
            </w:r>
          </w:p>
        </w:tc>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5 000 €</w:t>
            </w:r>
          </w:p>
        </w:tc>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__ / __ / 2026</w:t>
            </w:r>
          </w:p>
        </w:tc>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color w:val="2B4DB5"/>
                <w:sz w:val="19"/>
              </w:rPr>
              <w:t>_</w:t>
            </w:r>
            <w:r>
              <w:rPr>
                <w:rFonts w:ascii="Calibri" w:hAnsi="Calibri" w:cs="Calibri"/>
                <w:b w:val="0"/>
                <w:i w:val="0"/>
                <w:color w:val="1A3A00"/>
                <w:sz w:val="19"/>
              </w:rPr>
              <w:t>___</w:t>
            </w:r>
          </w:p>
        </w:tc>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__ / __</w:t>
            </w:r>
          </w:p>
        </w:tc>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__ / __</w:t>
            </w:r>
          </w:p>
        </w:tc>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__ / __</w:t>
            </w:r>
          </w:p>
        </w:tc>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 ] Envoyé [ ] AR reçu [ ] Réponse</w:t>
            </w:r>
          </w:p>
        </w:tc>
      </w:tr>
      <w:tr>
        <w:tc>
          <w:tcPr>
            <w:tcW w:type="dxa" w:w="997"/>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S07-S08</w:t>
            </w:r>
          </w:p>
        </w:tc>
        <w:tc>
          <w:tcPr>
            <w:tcW w:type="dxa" w:w="997"/>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Iracoubo</w:t>
            </w:r>
          </w:p>
        </w:tc>
        <w:tc>
          <w:tcPr>
            <w:tcW w:type="dxa" w:w="997"/>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4</w:t>
            </w:r>
          </w:p>
        </w:tc>
        <w:tc>
          <w:tcPr>
            <w:tcW w:type="dxa" w:w="997"/>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10 000 €</w:t>
            </w:r>
          </w:p>
        </w:tc>
        <w:tc>
          <w:tcPr>
            <w:tcW w:type="dxa" w:w="997"/>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__ / __ / 2026</w:t>
            </w:r>
          </w:p>
        </w:tc>
        <w:tc>
          <w:tcPr>
            <w:tcW w:type="dxa" w:w="997"/>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color w:val="2B4DB5"/>
                <w:sz w:val="19"/>
              </w:rPr>
              <w:t>_</w:t>
            </w:r>
            <w:r>
              <w:rPr>
                <w:rFonts w:ascii="Calibri" w:hAnsi="Calibri" w:cs="Calibri"/>
                <w:b w:val="0"/>
                <w:i w:val="0"/>
                <w:color w:val="1A3A00"/>
                <w:sz w:val="19"/>
              </w:rPr>
              <w:t>___</w:t>
            </w:r>
          </w:p>
        </w:tc>
        <w:tc>
          <w:tcPr>
            <w:tcW w:type="dxa" w:w="997"/>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__ / __</w:t>
            </w:r>
          </w:p>
        </w:tc>
        <w:tc>
          <w:tcPr>
            <w:tcW w:type="dxa" w:w="997"/>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__ / __</w:t>
            </w:r>
          </w:p>
        </w:tc>
        <w:tc>
          <w:tcPr>
            <w:tcW w:type="dxa" w:w="997"/>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__ / __</w:t>
            </w:r>
          </w:p>
        </w:tc>
        <w:tc>
          <w:tcPr>
            <w:tcW w:type="dxa" w:w="997"/>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 ] Envoyé [ ] AR reçu [ ] Réponse</w:t>
            </w:r>
          </w:p>
        </w:tc>
      </w:tr>
      <w:tr>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S09</w:t>
            </w:r>
          </w:p>
        </w:tc>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Saint-Laurent-du-Maroni</w:t>
            </w:r>
          </w:p>
        </w:tc>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w:t>
            </w:r>
          </w:p>
        </w:tc>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5 000 €</w:t>
            </w:r>
          </w:p>
        </w:tc>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__ / __ / 2026</w:t>
            </w:r>
          </w:p>
        </w:tc>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color w:val="2B4DB5"/>
                <w:sz w:val="19"/>
              </w:rPr>
              <w:t>_</w:t>
            </w:r>
            <w:r>
              <w:rPr>
                <w:rFonts w:ascii="Calibri" w:hAnsi="Calibri" w:cs="Calibri"/>
                <w:b w:val="0"/>
                <w:i w:val="0"/>
                <w:color w:val="1A3A00"/>
                <w:sz w:val="19"/>
              </w:rPr>
              <w:t>___</w:t>
            </w:r>
          </w:p>
        </w:tc>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__ / __</w:t>
            </w:r>
          </w:p>
        </w:tc>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__ / __</w:t>
            </w:r>
          </w:p>
        </w:tc>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__ / __</w:t>
            </w:r>
          </w:p>
        </w:tc>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 ] Envoyé [ ] AR reçu [ ] Réponse</w:t>
            </w:r>
          </w:p>
        </w:tc>
      </w:tr>
      <w:tr>
        <w:tc>
          <w:tcPr>
            <w:tcW w:type="dxa" w:w="997"/>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S10</w:t>
            </w:r>
          </w:p>
        </w:tc>
        <w:tc>
          <w:tcPr>
            <w:tcW w:type="dxa" w:w="997"/>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Mana</w:t>
            </w:r>
          </w:p>
        </w:tc>
        <w:tc>
          <w:tcPr>
            <w:tcW w:type="dxa" w:w="997"/>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2</w:t>
            </w:r>
          </w:p>
        </w:tc>
        <w:tc>
          <w:tcPr>
            <w:tcW w:type="dxa" w:w="997"/>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5 000 €</w:t>
            </w:r>
          </w:p>
        </w:tc>
        <w:tc>
          <w:tcPr>
            <w:tcW w:type="dxa" w:w="997"/>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__ / __ / 2026</w:t>
            </w:r>
          </w:p>
        </w:tc>
        <w:tc>
          <w:tcPr>
            <w:tcW w:type="dxa" w:w="997"/>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color w:val="2B4DB5"/>
                <w:sz w:val="19"/>
              </w:rPr>
              <w:t>_</w:t>
            </w:r>
            <w:r>
              <w:rPr>
                <w:rFonts w:ascii="Calibri" w:hAnsi="Calibri" w:cs="Calibri"/>
                <w:b w:val="0"/>
                <w:i w:val="0"/>
                <w:color w:val="1A3A00"/>
                <w:sz w:val="19"/>
              </w:rPr>
              <w:t>___</w:t>
            </w:r>
          </w:p>
        </w:tc>
        <w:tc>
          <w:tcPr>
            <w:tcW w:type="dxa" w:w="997"/>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__ / __</w:t>
            </w:r>
          </w:p>
        </w:tc>
        <w:tc>
          <w:tcPr>
            <w:tcW w:type="dxa" w:w="997"/>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__ / __</w:t>
            </w:r>
          </w:p>
        </w:tc>
        <w:tc>
          <w:tcPr>
            <w:tcW w:type="dxa" w:w="997"/>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__ / __</w:t>
            </w:r>
          </w:p>
        </w:tc>
        <w:tc>
          <w:tcPr>
            <w:tcW w:type="dxa" w:w="997"/>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 ] Envoyé [ ] AR reçu [ ] Réponse</w:t>
            </w:r>
          </w:p>
        </w:tc>
      </w:tr>
      <w:tr>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TOTAL</w:t>
            </w:r>
          </w:p>
        </w:tc>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8 communes</w:t>
            </w:r>
          </w:p>
        </w:tc>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20 PDC</w:t>
            </w:r>
          </w:p>
        </w:tc>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50 000 €</w:t>
            </w:r>
          </w:p>
        </w:tc>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p>
        </w:tc>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p>
        </w:tc>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p>
        </w:tc>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p>
        </w:tc>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p>
        </w:tc>
        <w:tc>
          <w:tcPr>
            <w:tcW w:type="dxa" w:w="997"/>
            <w:vAlign w:val="top"/>
            <w:tcBorders>
              <w:top w:val="single" w:sz="4" w:color="BFBFBF"/>
              <w:left w:val="single" w:sz="4" w:color="BFBFBF"/>
              <w:bottom w:val="single" w:sz="4" w:color="BFBFBF"/>
              <w:right w:val="single" w:sz="4" w:color="BFBFBF"/>
            </w:tcBorders>
            <w:shd w:val="clear" w:color="auto" w:fill="F4FFF0"/>
          </w:tcPr>
          <w:p>
            <w:pPr>
              <w:spacing w:before="40" w:after="40"/>
            </w:pPr>
            <w:r/>
          </w:p>
        </w:tc>
      </w:tr>
    </w:tbl>
    <w:p>
      <w:pPr>
        <w:pBdr>
          <w:bottom w:val="single" w:sz="8" w:space="1" w:color="33CC00"/>
        </w:pBdr>
      </w:pPr>
    </w:p>
    <w:p>
      <w:pPr>
        <w:spacing w:before="280" w:after="120"/>
        <w:pBdr>
          <w:bottom w:val="single" w:sz="12" w:space="1" w:color="33CC00"/>
        </w:pBdr>
      </w:pPr>
      <w:r>
        <w:rPr>
          <w:rFonts w:ascii="Calibri" w:hAnsi="Calibri" w:cs="Calibri"/>
          <w:b/>
          <w:i w:val="0"/>
          <w:color w:val="0A4800"/>
          <w:sz w:val="28"/>
        </w:rPr>
        <w:t>Stratégie d'envoi recommandée</w:t>
      </w:r>
    </w:p>
    <w:p>
      <w:pPr>
        <w:spacing w:before="200" w:after="80"/>
      </w:pPr>
      <w:r>
        <w:rPr>
          <w:rFonts w:ascii="Calibri" w:hAnsi="Calibri" w:cs="Calibri"/>
          <w:b/>
          <w:i w:val="0"/>
          <w:color w:val="0A4800"/>
          <w:sz w:val="24"/>
        </w:rPr>
        <w:t>Vague 1 — Communes prioritaires (à envoyer en premier)</w:t>
      </w:r>
    </w:p>
    <w:p>
      <w:pPr>
        <w:pStyle w:val="ListNumber"/>
        <w:spacing w:after="40" w:line="288" w:lineRule="auto"/>
      </w:pPr>
      <w:r>
        <w:rPr>
          <w:rFonts w:ascii="Calibri" w:hAnsi="Calibri" w:cs="Calibri"/>
          <w:b/>
          <w:i w:val="0"/>
          <w:color w:val="0A4800"/>
          <w:sz w:val="22"/>
        </w:rPr>
        <w:t>Macouria-Tonate</w:t>
      </w:r>
      <w:r>
        <w:rPr>
          <w:rFonts w:ascii="Calibri" w:hAnsi="Calibri" w:cs="Calibri"/>
          <w:b w:val="0"/>
          <w:i w:val="0"/>
          <w:color w:val="1A3A00"/>
          <w:sz w:val="22"/>
        </w:rPr>
        <w:t xml:space="preserve"> (S05) — Siège opérateur, site pilote -&gt; courrier de référence</w:t>
      </w:r>
    </w:p>
    <w:p>
      <w:pPr>
        <w:pStyle w:val="ListNumber"/>
        <w:spacing w:after="40" w:line="288" w:lineRule="auto"/>
      </w:pPr>
      <w:r>
        <w:rPr>
          <w:rFonts w:ascii="Calibri" w:hAnsi="Calibri" w:cs="Calibri"/>
          <w:b/>
          <w:i w:val="0"/>
          <w:color w:val="0A4800"/>
          <w:sz w:val="22"/>
        </w:rPr>
        <w:t>Cayenne</w:t>
      </w:r>
      <w:r>
        <w:rPr>
          <w:rFonts w:ascii="Calibri" w:hAnsi="Calibri" w:cs="Calibri"/>
          <w:b w:val="0"/>
          <w:i w:val="0"/>
          <w:color w:val="1A3A00"/>
          <w:sz w:val="22"/>
        </w:rPr>
        <w:t xml:space="preserve"> (S01-S02) — Capitale, effet d'entraînement</w:t>
      </w:r>
    </w:p>
    <w:p>
      <w:pPr>
        <w:pStyle w:val="ListNumber"/>
        <w:spacing w:after="40" w:line="288" w:lineRule="auto"/>
      </w:pPr>
      <w:r>
        <w:rPr>
          <w:rFonts w:ascii="Calibri" w:hAnsi="Calibri" w:cs="Calibri"/>
          <w:b/>
          <w:i w:val="0"/>
          <w:color w:val="0A4800"/>
          <w:sz w:val="22"/>
        </w:rPr>
        <w:t>Iracoubo</w:t>
      </w:r>
      <w:r>
        <w:rPr>
          <w:rFonts w:ascii="Calibri" w:hAnsi="Calibri" w:cs="Calibri"/>
          <w:b w:val="0"/>
          <w:i w:val="0"/>
          <w:color w:val="1A3A00"/>
          <w:sz w:val="22"/>
        </w:rPr>
        <w:t xml:space="preserve"> (S07-S08) — Position stratégique unique RN1, 4 PDC, retombées économiques fortes</w:t>
      </w:r>
    </w:p>
    <w:p>
      <w:pPr>
        <w:spacing w:before="200" w:after="80"/>
      </w:pPr>
      <w:r>
        <w:rPr>
          <w:rFonts w:ascii="Calibri" w:hAnsi="Calibri" w:cs="Calibri"/>
          <w:b/>
          <w:i w:val="0"/>
          <w:color w:val="0A4800"/>
          <w:sz w:val="24"/>
        </w:rPr>
        <w:t>Vague 2 — Communes alignées (1 semaine après vague 1)</w:t>
      </w:r>
    </w:p>
    <w:p>
      <w:pPr>
        <w:pStyle w:val="ListNumber"/>
        <w:spacing w:after="40" w:line="288" w:lineRule="auto"/>
      </w:pPr>
      <w:r>
        <w:rPr>
          <w:rFonts w:ascii="Calibri" w:hAnsi="Calibri" w:cs="Calibri"/>
          <w:b/>
          <w:i w:val="0"/>
          <w:color w:val="0A4800"/>
          <w:sz w:val="22"/>
        </w:rPr>
        <w:t>Kourou</w:t>
      </w:r>
      <w:r>
        <w:rPr>
          <w:rFonts w:ascii="Calibri" w:hAnsi="Calibri" w:cs="Calibri"/>
          <w:b w:val="0"/>
          <w:i w:val="0"/>
          <w:color w:val="1A3A00"/>
          <w:sz w:val="22"/>
        </w:rPr>
        <w:t xml:space="preserve"> (S06) — 2e pôle, image techno-innovation</w:t>
      </w:r>
    </w:p>
    <w:p>
      <w:pPr>
        <w:pStyle w:val="ListNumber"/>
        <w:spacing w:after="40" w:line="288" w:lineRule="auto"/>
      </w:pPr>
      <w:r>
        <w:rPr>
          <w:rFonts w:ascii="Calibri" w:hAnsi="Calibri" w:cs="Calibri"/>
          <w:b/>
          <w:i w:val="0"/>
          <w:color w:val="0A4800"/>
          <w:sz w:val="22"/>
        </w:rPr>
        <w:t>Saint-Laurent-du-Maroni</w:t>
      </w:r>
      <w:r>
        <w:rPr>
          <w:rFonts w:ascii="Calibri" w:hAnsi="Calibri" w:cs="Calibri"/>
          <w:b w:val="0"/>
          <w:i w:val="0"/>
          <w:color w:val="1A3A00"/>
          <w:sz w:val="22"/>
        </w:rPr>
        <w:t xml:space="preserve"> (S09) — 3e pôle, désenclavement Maroni</w:t>
      </w:r>
    </w:p>
    <w:p>
      <w:pPr>
        <w:pStyle w:val="ListNumber"/>
        <w:spacing w:after="40" w:line="288" w:lineRule="auto"/>
      </w:pPr>
      <w:r>
        <w:rPr>
          <w:rFonts w:ascii="Calibri" w:hAnsi="Calibri" w:cs="Calibri"/>
          <w:b/>
          <w:i w:val="0"/>
          <w:color w:val="0A4800"/>
          <w:sz w:val="22"/>
        </w:rPr>
        <w:t>Rémire-Montjoly</w:t>
      </w:r>
      <w:r>
        <w:rPr>
          <w:rFonts w:ascii="Calibri" w:hAnsi="Calibri" w:cs="Calibri"/>
          <w:b w:val="0"/>
          <w:i w:val="0"/>
          <w:color w:val="1A3A00"/>
          <w:sz w:val="22"/>
        </w:rPr>
        <w:t xml:space="preserve"> (S04) — Fort potentiel VE</w:t>
      </w:r>
    </w:p>
    <w:p>
      <w:pPr>
        <w:pStyle w:val="ListNumber"/>
        <w:spacing w:after="40" w:line="288" w:lineRule="auto"/>
      </w:pPr>
      <w:r>
        <w:rPr>
          <w:rFonts w:ascii="Calibri" w:hAnsi="Calibri" w:cs="Calibri"/>
          <w:b/>
          <w:i w:val="0"/>
          <w:color w:val="0A4800"/>
          <w:sz w:val="22"/>
        </w:rPr>
        <w:t>Matoury</w:t>
      </w:r>
      <w:r>
        <w:rPr>
          <w:rFonts w:ascii="Calibri" w:hAnsi="Calibri" w:cs="Calibri"/>
          <w:b w:val="0"/>
          <w:i w:val="0"/>
          <w:color w:val="1A3A00"/>
          <w:sz w:val="22"/>
        </w:rPr>
        <w:t xml:space="preserve"> (S03) — Banlieue Cayenne, parc commercial</w:t>
      </w:r>
    </w:p>
    <w:p>
      <w:pPr>
        <w:spacing w:before="200" w:after="80"/>
      </w:pPr>
      <w:r>
        <w:rPr>
          <w:rFonts w:ascii="Calibri" w:hAnsi="Calibri" w:cs="Calibri"/>
          <w:b/>
          <w:i w:val="0"/>
          <w:color w:val="0A4800"/>
          <w:sz w:val="24"/>
        </w:rPr>
        <w:t>Vague 3 — Communes à convaincre (1 à 2 semaines après vague 2)</w:t>
      </w:r>
    </w:p>
    <w:p>
      <w:pPr>
        <w:pStyle w:val="ListNumber"/>
        <w:spacing w:after="40" w:line="288" w:lineRule="auto"/>
      </w:pPr>
      <w:r>
        <w:rPr>
          <w:rFonts w:ascii="Calibri" w:hAnsi="Calibri" w:cs="Calibri"/>
          <w:b/>
          <w:i w:val="0"/>
          <w:color w:val="0A4800"/>
          <w:sz w:val="22"/>
        </w:rPr>
        <w:t>Mana</w:t>
      </w:r>
      <w:r>
        <w:rPr>
          <w:rFonts w:ascii="Calibri" w:hAnsi="Calibri" w:cs="Calibri"/>
          <w:b w:val="0"/>
          <w:i w:val="0"/>
          <w:color w:val="1A3A00"/>
          <w:sz w:val="22"/>
        </w:rPr>
        <w:t xml:space="preserve"> (S10) — Si réponses positives des autres communes, argument "rejoindre les 7 communes déjà engagées"</w:t>
      </w:r>
    </w:p>
    <w:p>
      <w:pPr>
        <w:spacing w:before="120" w:after="120" w:line="312" w:lineRule="auto"/>
        <w:ind w:left="283"/>
        <w:pBdr>
          <w:left w:val="single" w:sz="24" w:space="8" w:color="2B4DB5"/>
        </w:pBdr>
        <w:shd w:val="clear" w:fill="F0F3FB"/>
      </w:pPr>
      <w:r>
        <w:rPr>
          <w:rFonts w:ascii="Calibri" w:hAnsi="Calibri" w:cs="Calibri"/>
          <w:b w:val="0"/>
          <w:i/>
          <w:color w:val="1A3A00"/>
          <w:sz w:val="20"/>
        </w:rPr>
        <w:t>Effet réseau : adresser d'abord les communes les plus susceptibles d'accepter pour pouvoir mentionner dans la 3e vague « 5 communes ont déjà signé une lettre d'intention » .</w:t>
      </w:r>
    </w:p>
    <w:p>
      <w:pPr>
        <w:pBdr>
          <w:bottom w:val="single" w:sz="8" w:space="1" w:color="33CC00"/>
        </w:pBdr>
      </w:pPr>
    </w:p>
    <w:p>
      <w:pPr>
        <w:spacing w:before="280" w:after="120"/>
        <w:pBdr>
          <w:bottom w:val="single" w:sz="12" w:space="1" w:color="33CC00"/>
        </w:pBdr>
      </w:pPr>
      <w:r>
        <w:rPr>
          <w:rFonts w:ascii="Calibri" w:hAnsi="Calibri" w:cs="Calibri"/>
          <w:b/>
          <w:i w:val="0"/>
          <w:color w:val="0A4800"/>
          <w:sz w:val="28"/>
        </w:rPr>
        <w:t>Calendrier de relance</w:t>
      </w:r>
    </w:p>
    <w:tbl>
      <w:tblPr>
        <w:tblW w:type="auto" w:w="0"/>
        <w:jc w:val="center"/>
        <w:tblLayout w:type="autofit"/>
        <w:tblLook w:firstColumn="1" w:firstRow="1" w:lastColumn="0" w:lastRow="0" w:noHBand="0" w:noVBand="1" w:val="04A0"/>
      </w:tblPr>
      <w:tblGrid>
        <w:gridCol w:w="4986"/>
        <w:gridCol w:w="4986"/>
      </w:tblGrid>
      <w:tr>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Si pas de réponse à...</w:t>
            </w:r>
          </w:p>
        </w:tc>
        <w:tc>
          <w:tcPr>
            <w:tcW w:type="dxa" w:w="4986"/>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Action</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J+15</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Email de relance courtoise au secrétariat général</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J+30</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Appel téléphonique au standard de la mairie pour demande RDV</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J+45</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Visite physique en mairie (présentation du dossier en main)</w:t>
            </w:r>
          </w:p>
        </w:tc>
      </w:tr>
      <w:tr>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i w:val="0"/>
                <w:color w:val="0A4800"/>
                <w:sz w:val="19"/>
              </w:rPr>
              <w:t>J+60</w:t>
            </w:r>
          </w:p>
        </w:tc>
        <w:tc>
          <w:tcPr>
            <w:tcW w:type="dxa" w:w="4986"/>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Email à l'adjoint au maire en charge de l'urbanisme / mobilité</w:t>
            </w:r>
          </w:p>
        </w:tc>
      </w:tr>
      <w:tr>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J+90</w:t>
            </w:r>
          </w:p>
        </w:tc>
        <w:tc>
          <w:tcPr>
            <w:tcW w:type="dxa" w:w="4986"/>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Lettre de relance LRAR + copie des autres lettres d'intention déjà signées</w:t>
            </w:r>
          </w:p>
        </w:tc>
      </w:tr>
    </w:tbl>
    <w:p>
      <w:pPr>
        <w:pBdr>
          <w:bottom w:val="single" w:sz="8" w:space="1" w:color="33CC00"/>
        </w:pBdr>
      </w:pPr>
    </w:p>
    <w:p>
      <w:pPr>
        <w:spacing w:before="280" w:after="120"/>
        <w:pBdr>
          <w:bottom w:val="single" w:sz="12" w:space="1" w:color="33CC00"/>
        </w:pBdr>
      </w:pPr>
      <w:r>
        <w:rPr>
          <w:rFonts w:ascii="Calibri" w:hAnsi="Calibri" w:cs="Calibri"/>
          <w:b/>
          <w:i w:val="0"/>
          <w:color w:val="0A4800"/>
          <w:sz w:val="28"/>
        </w:rPr>
        <w:t>Argumentaire en cas de réticence sur le co-investissement</w:t>
      </w:r>
    </w:p>
    <w:p>
      <w:pPr>
        <w:spacing w:before="200" w:after="80"/>
      </w:pPr>
      <w:r>
        <w:rPr>
          <w:rFonts w:ascii="Calibri" w:hAnsi="Calibri" w:cs="Calibri"/>
          <w:b/>
          <w:i w:val="0"/>
          <w:color w:val="0A4800"/>
          <w:sz w:val="24"/>
        </w:rPr>
        <w:t>Si la mairie dit« Nous n'avons pas de budget pour cela »</w:t>
      </w:r>
    </w:p>
    <w:p>
      <w:pPr>
        <w:spacing w:before="120" w:after="120" w:line="312" w:lineRule="auto"/>
        <w:ind w:left="283"/>
        <w:pBdr>
          <w:left w:val="single" w:sz="24" w:space="8" w:color="2B4DB5"/>
        </w:pBdr>
        <w:shd w:val="clear" w:fill="F0F3FB"/>
      </w:pPr>
      <w:r>
        <w:rPr>
          <w:rFonts w:ascii="Calibri" w:hAnsi="Calibri" w:cs="Calibri"/>
          <w:b w:val="0"/>
          <w:i/>
          <w:color w:val="1A3A00"/>
          <w:sz w:val="20"/>
        </w:rPr>
        <w:t>« Compréhensible. Le co-investissement est une option, pas une exigence. Vous pouvez signer la convention d'occupation gratuite et bénéficier de toutes les retombées. La proposition d'apport était une opportunité de gouvernance et de retour financier à terme — nous restons à votre disposition pour la phase 2 si vous changez d'avis. »</w:t>
      </w:r>
    </w:p>
    <w:p>
      <w:pPr>
        <w:spacing w:before="200" w:after="80"/>
      </w:pPr>
      <w:r>
        <w:rPr>
          <w:rFonts w:ascii="Calibri" w:hAnsi="Calibri" w:cs="Calibri"/>
          <w:b/>
          <w:i w:val="0"/>
          <w:color w:val="0A4800"/>
          <w:sz w:val="24"/>
        </w:rPr>
        <w:t>Si la mairie demande« Que se passe-t-il si on n'investit pas ? »</w:t>
      </w:r>
    </w:p>
    <w:p>
      <w:pPr>
        <w:spacing w:before="120" w:after="120" w:line="312" w:lineRule="auto"/>
        <w:ind w:left="283"/>
        <w:pBdr>
          <w:left w:val="single" w:sz="24" w:space="8" w:color="2B4DB5"/>
        </w:pBdr>
        <w:shd w:val="clear" w:fill="F0F3FB"/>
      </w:pPr>
      <w:r>
        <w:rPr>
          <w:rFonts w:ascii="Calibri" w:hAnsi="Calibri" w:cs="Calibri"/>
          <w:b w:val="0"/>
          <w:i/>
          <w:color w:val="1A3A00"/>
          <w:sz w:val="20"/>
        </w:rPr>
        <w:t>« Vous bénéficiez quand même de l'installation gratuite, de la mise en service, de la maintenance 5 ans, de la signalétique, du tarif préférentiel agents municipaux et du reporting trimestriel. Le co-investissement vous donne en plus 1 siège au comité de pilotage et une quote-part sur les recettes au-delà de la rentabilité seuil (an 4). »</w:t>
      </w:r>
    </w:p>
    <w:p>
      <w:pPr>
        <w:spacing w:before="200" w:after="80"/>
      </w:pPr>
      <w:r>
        <w:rPr>
          <w:rFonts w:ascii="Calibri" w:hAnsi="Calibri" w:cs="Calibri"/>
          <w:b/>
          <w:i w:val="0"/>
          <w:color w:val="0A4800"/>
          <w:sz w:val="24"/>
        </w:rPr>
        <w:t>Si la mairie hésite sur le partenariat lui-même</w:t>
      </w:r>
    </w:p>
    <w:p>
      <w:pPr>
        <w:spacing w:before="120" w:after="120" w:line="312" w:lineRule="auto"/>
        <w:ind w:left="283"/>
        <w:pBdr>
          <w:left w:val="single" w:sz="24" w:space="8" w:color="2B4DB5"/>
        </w:pBdr>
        <w:shd w:val="clear" w:fill="F0F3FB"/>
      </w:pPr>
      <w:r>
        <w:rPr>
          <w:rFonts w:ascii="Calibri" w:hAnsi="Calibri" w:cs="Calibri"/>
          <w:b w:val="0"/>
          <w:i/>
          <w:color w:val="1A3A00"/>
          <w:sz w:val="20"/>
        </w:rPr>
        <w:t>« Toutes les communes signataires bénéficient de la conformité AFIR 2024 sans coût. C'est une obligation européenne. Refuser, c'est s'exposer à devoir financer plus tard, seul, des bornes IRVE. Notre projet vous offre la conformité clé en main. »</w:t>
      </w:r>
    </w:p>
    <w:p>
      <w:pPr>
        <w:spacing w:before="200" w:after="80"/>
      </w:pPr>
      <w:r>
        <w:rPr>
          <w:rFonts w:ascii="Calibri" w:hAnsi="Calibri" w:cs="Calibri"/>
          <w:b/>
          <w:i w:val="0"/>
          <w:color w:val="0A4800"/>
          <w:sz w:val="24"/>
        </w:rPr>
        <w:t>Si demande de garanties sur la pérennité</w:t>
      </w:r>
    </w:p>
    <w:p>
      <w:pPr>
        <w:spacing w:before="120" w:after="120" w:line="312" w:lineRule="auto"/>
        <w:ind w:left="283"/>
        <w:pBdr>
          <w:left w:val="single" w:sz="24" w:space="8" w:color="2B4DB5"/>
        </w:pBdr>
        <w:shd w:val="clear" w:fill="F0F3FB"/>
      </w:pPr>
      <w:r>
        <w:rPr>
          <w:rFonts w:ascii="Calibri" w:hAnsi="Calibri" w:cs="Calibri"/>
          <w:b w:val="0"/>
          <w:i/>
          <w:color w:val="1A3A00"/>
          <w:sz w:val="20"/>
        </w:rPr>
        <w:t>« EGREENCITY'S est engagée par convention ADVENIR sur 5 ans minimum. Maintenance assurée par notre partenaire E-TOTEM (fabricant français basé à Saint-Étienne, opérateur agréé ADVENIR). En cas de défaillance, ADVENIR exige le remboursement proratisé de la subvention — c'est une garantie pour les communes. »</w:t>
      </w:r>
    </w:p>
    <w:p>
      <w:pPr>
        <w:pBdr>
          <w:bottom w:val="single" w:sz="8" w:space="1" w:color="33CC00"/>
        </w:pBdr>
      </w:pPr>
    </w:p>
    <w:p>
      <w:pPr>
        <w:spacing w:before="280" w:after="120"/>
        <w:pBdr>
          <w:bottom w:val="single" w:sz="12" w:space="1" w:color="33CC00"/>
        </w:pBdr>
      </w:pPr>
      <w:r>
        <w:rPr>
          <w:rFonts w:ascii="Calibri" w:hAnsi="Calibri" w:cs="Calibri"/>
          <w:b/>
          <w:i w:val="0"/>
          <w:color w:val="0A4800"/>
          <w:sz w:val="28"/>
        </w:rPr>
        <w:t>Documents à joindre à chaque courrier</w:t>
      </w:r>
    </w:p>
    <w:p>
      <w:pPr>
        <w:spacing w:before="120" w:after="120" w:line="312" w:lineRule="auto"/>
        <w:ind w:left="283"/>
        <w:pBdr>
          <w:left w:val="single" w:sz="24" w:space="8" w:color="2B4DB5"/>
        </w:pBdr>
        <w:shd w:val="clear" w:fill="F0F3FB"/>
      </w:pPr>
      <w:r>
        <w:rPr>
          <w:rFonts w:ascii="Calibri" w:hAnsi="Calibri" w:cs="Calibri"/>
          <w:b w:val="0"/>
          <w:i/>
          <w:color w:val="1A3A00"/>
          <w:sz w:val="20"/>
        </w:rPr>
        <w:t>Imprimer dans cet ordre, agrafer en haut à gauche :</w:t>
      </w:r>
    </w:p>
    <w:p>
      <w:pPr>
        <w:pStyle w:val="ListNumber"/>
        <w:spacing w:after="40" w:line="288" w:lineRule="auto"/>
      </w:pPr>
      <w:r>
        <w:rPr>
          <w:rFonts w:ascii="Calibri" w:hAnsi="Calibri" w:cs="Calibri"/>
          <w:b/>
          <w:i w:val="0"/>
          <w:color w:val="0A4800"/>
          <w:sz w:val="22"/>
        </w:rPr>
        <w:t>Courrier personnalisé</w:t>
      </w:r>
      <w:r>
        <w:rPr>
          <w:rFonts w:ascii="Calibri" w:hAnsi="Calibri" w:cs="Calibri"/>
          <w:b w:val="0"/>
          <w:i w:val="0"/>
          <w:color w:val="1A3A00"/>
          <w:sz w:val="22"/>
        </w:rPr>
        <w:t xml:space="preserve"> </w:t>
      </w:r>
      <w:r>
        <w:rPr>
          <w:rFonts w:ascii="Calibri" w:hAnsi="Calibri" w:cs="Calibri"/>
          <w:b w:val="0"/>
          <w:i/>
          <w:color w:val="2B4DB5"/>
          <w:sz w:val="22"/>
        </w:rPr>
        <w:t xml:space="preserve">(à imprimer depuis </w:t>
      </w:r>
      <w:r>
        <w:rPr>
          <w:rFonts w:ascii="Consolas" w:hAnsi="Consolas" w:cs="Consolas"/>
          <w:b w:val="0"/>
          <w:i/>
          <w:color w:val="0A4800"/>
          <w:sz w:val="22"/>
          <w:shd w:val="clear" w:fill="F0F4EC"/>
        </w:rPr>
        <w:t>Courrier_Mairie_*.pdf</w:t>
      </w:r>
      <w:r>
        <w:rPr>
          <w:rFonts w:ascii="Calibri" w:hAnsi="Calibri" w:cs="Calibri"/>
          <w:b w:val="0"/>
          <w:i/>
          <w:color w:val="2B4DB5"/>
          <w:sz w:val="22"/>
        </w:rPr>
        <w:t>)</w:t>
      </w:r>
    </w:p>
    <w:p>
      <w:pPr>
        <w:pStyle w:val="ListNumber"/>
        <w:spacing w:after="40" w:line="288" w:lineRule="auto"/>
      </w:pPr>
      <w:r>
        <w:rPr>
          <w:rFonts w:ascii="Calibri" w:hAnsi="Calibri" w:cs="Calibri"/>
          <w:b/>
          <w:i w:val="0"/>
          <w:color w:val="0A4800"/>
          <w:sz w:val="22"/>
        </w:rPr>
        <w:t>Plaquette commerciale EGREENCITY'S 2026</w:t>
      </w:r>
      <w:r>
        <w:rPr>
          <w:rFonts w:ascii="Calibri" w:hAnsi="Calibri" w:cs="Calibri"/>
          <w:b w:val="0"/>
          <w:i w:val="0"/>
          <w:color w:val="1A3A00"/>
          <w:sz w:val="22"/>
        </w:rPr>
        <w:t xml:space="preserve"> </w:t>
      </w:r>
      <w:r>
        <w:rPr>
          <w:rFonts w:ascii="Calibri" w:hAnsi="Calibri" w:cs="Calibri"/>
          <w:b w:val="0"/>
          <w:i/>
          <w:color w:val="2B4DB5"/>
          <w:sz w:val="22"/>
        </w:rPr>
        <w:t xml:space="preserve">(13 pages — </w:t>
      </w:r>
      <w:r>
        <w:rPr>
          <w:rFonts w:ascii="Consolas" w:hAnsi="Consolas" w:cs="Consolas"/>
          <w:b w:val="0"/>
          <w:i/>
          <w:color w:val="0A4800"/>
          <w:sz w:val="22"/>
          <w:shd w:val="clear" w:fill="F0F4EC"/>
        </w:rPr>
        <w:t>plaquette-egreencitys-2026.pdf</w:t>
      </w:r>
      <w:r>
        <w:rPr>
          <w:rFonts w:ascii="Calibri" w:hAnsi="Calibri" w:cs="Calibri"/>
          <w:b w:val="0"/>
          <w:i/>
          <w:color w:val="2B4DB5"/>
          <w:sz w:val="22"/>
        </w:rPr>
        <w:t xml:space="preserve"> à la racine)</w:t>
      </w:r>
    </w:p>
    <w:p>
      <w:pPr>
        <w:pStyle w:val="ListNumber"/>
        <w:spacing w:after="40" w:line="288" w:lineRule="auto"/>
      </w:pPr>
      <w:r>
        <w:rPr>
          <w:rFonts w:ascii="Calibri" w:hAnsi="Calibri" w:cs="Calibri"/>
          <w:b/>
          <w:i w:val="0"/>
          <w:color w:val="0A4800"/>
          <w:sz w:val="22"/>
        </w:rPr>
        <w:t>Note de cadrage du projet</w:t>
      </w:r>
      <w:r>
        <w:rPr>
          <w:rFonts w:ascii="Calibri" w:hAnsi="Calibri" w:cs="Calibri"/>
          <w:b w:val="0"/>
          <w:i w:val="0"/>
          <w:color w:val="1A3A00"/>
          <w:sz w:val="22"/>
        </w:rPr>
        <w:t xml:space="preserve"> </w:t>
      </w:r>
      <w:r>
        <w:rPr>
          <w:rFonts w:ascii="Calibri" w:hAnsi="Calibri" w:cs="Calibri"/>
          <w:b w:val="0"/>
          <w:i/>
          <w:color w:val="2B4DB5"/>
          <w:sz w:val="22"/>
        </w:rPr>
        <w:t>(</w:t>
      </w:r>
      <w:r>
        <w:rPr>
          <w:rFonts w:ascii="Consolas" w:hAnsi="Consolas" w:cs="Consolas"/>
          <w:b w:val="0"/>
          <w:i/>
          <w:color w:val="0A4800"/>
          <w:sz w:val="22"/>
          <w:shd w:val="clear" w:fill="F0F4EC"/>
        </w:rPr>
        <w:t>01_Fiche_Projet_EGREENCITYS.pdf</w:t>
      </w:r>
      <w:r>
        <w:rPr>
          <w:rFonts w:ascii="Calibri" w:hAnsi="Calibri" w:cs="Calibri"/>
          <w:b w:val="0"/>
          <w:i/>
          <w:color w:val="2B4DB5"/>
          <w:sz w:val="22"/>
        </w:rPr>
        <w:t>)</w:t>
      </w:r>
    </w:p>
    <w:p>
      <w:pPr>
        <w:pStyle w:val="ListNumber"/>
        <w:spacing w:after="40" w:line="288" w:lineRule="auto"/>
      </w:pPr>
      <w:r>
        <w:rPr>
          <w:rFonts w:ascii="Calibri" w:hAnsi="Calibri" w:cs="Calibri"/>
          <w:b/>
          <w:i w:val="0"/>
          <w:color w:val="0A4800"/>
          <w:sz w:val="22"/>
        </w:rPr>
        <w:t>Tableau des 20 PDC</w:t>
      </w:r>
      <w:r>
        <w:rPr>
          <w:rFonts w:ascii="Calibri" w:hAnsi="Calibri" w:cs="Calibri"/>
          <w:b w:val="0"/>
          <w:i w:val="0"/>
          <w:color w:val="1A3A00"/>
          <w:sz w:val="22"/>
        </w:rPr>
        <w:t xml:space="preserve"> </w:t>
      </w:r>
      <w:r>
        <w:rPr>
          <w:rFonts w:ascii="Calibri" w:hAnsi="Calibri" w:cs="Calibri"/>
          <w:b w:val="0"/>
          <w:i/>
          <w:color w:val="2B4DB5"/>
          <w:sz w:val="22"/>
        </w:rPr>
        <w:t xml:space="preserve">(impression du </w:t>
      </w:r>
      <w:r>
        <w:rPr>
          <w:rFonts w:ascii="Consolas" w:hAnsi="Consolas" w:cs="Consolas"/>
          <w:b w:val="0"/>
          <w:i/>
          <w:color w:val="0A4800"/>
          <w:sz w:val="22"/>
          <w:shd w:val="clear" w:fill="F0F4EC"/>
        </w:rPr>
        <w:t>02_Tableau_20_PDC.xlsx</w:t>
      </w:r>
      <w:r>
        <w:rPr>
          <w:rFonts w:ascii="Calibri" w:hAnsi="Calibri" w:cs="Calibri"/>
          <w:b w:val="0"/>
          <w:i/>
          <w:color w:val="2B4DB5"/>
          <w:sz w:val="22"/>
        </w:rPr>
        <w:t xml:space="preserve"> — onglet 1 uniquement)</w:t>
      </w:r>
    </w:p>
    <w:p>
      <w:pPr>
        <w:pStyle w:val="ListNumber"/>
        <w:spacing w:after="40" w:line="288" w:lineRule="auto"/>
      </w:pPr>
      <w:r>
        <w:rPr>
          <w:rFonts w:ascii="Calibri" w:hAnsi="Calibri" w:cs="Calibri"/>
          <w:b/>
          <w:i w:val="0"/>
          <w:color w:val="0A4800"/>
          <w:sz w:val="22"/>
        </w:rPr>
        <w:t>Modèle de convention d'occupation domaine public</w:t>
      </w:r>
      <w:r>
        <w:rPr>
          <w:rFonts w:ascii="Calibri" w:hAnsi="Calibri" w:cs="Calibri"/>
          <w:b w:val="0"/>
          <w:i w:val="0"/>
          <w:color w:val="1A3A00"/>
          <w:sz w:val="22"/>
        </w:rPr>
        <w:t xml:space="preserve"> </w:t>
      </w:r>
      <w:r>
        <w:rPr>
          <w:rFonts w:ascii="Calibri" w:hAnsi="Calibri" w:cs="Calibri"/>
          <w:b w:val="0"/>
          <w:i/>
          <w:color w:val="2B4DB5"/>
          <w:sz w:val="22"/>
        </w:rPr>
        <w:t>(à rédiger ultérieurement)</w:t>
      </w:r>
    </w:p>
    <w:p>
      <w:pPr>
        <w:pStyle w:val="ListNumber"/>
        <w:spacing w:after="40" w:line="288" w:lineRule="auto"/>
      </w:pPr>
      <w:r>
        <w:rPr>
          <w:rFonts w:ascii="Calibri" w:hAnsi="Calibri" w:cs="Calibri"/>
          <w:b/>
          <w:i w:val="0"/>
          <w:color w:val="0A4800"/>
          <w:sz w:val="22"/>
        </w:rPr>
        <w:t>Modèle de convention de co-investissement</w:t>
      </w:r>
      <w:r>
        <w:rPr>
          <w:rFonts w:ascii="Calibri" w:hAnsi="Calibri" w:cs="Calibri"/>
          <w:b w:val="0"/>
          <w:i w:val="0"/>
          <w:color w:val="1A3A00"/>
          <w:sz w:val="22"/>
        </w:rPr>
        <w:t xml:space="preserve"> </w:t>
      </w:r>
      <w:r>
        <w:rPr>
          <w:rFonts w:ascii="Calibri" w:hAnsi="Calibri" w:cs="Calibri"/>
          <w:b w:val="0"/>
          <w:i/>
          <w:color w:val="2B4DB5"/>
          <w:sz w:val="22"/>
        </w:rPr>
        <w:t>(à rédiger ultérieurement)</w:t>
      </w:r>
    </w:p>
    <w:p>
      <w:pPr>
        <w:pBdr>
          <w:bottom w:val="single" w:sz="8" w:space="1" w:color="33CC00"/>
        </w:pBdr>
      </w:pPr>
    </w:p>
    <w:p>
      <w:pPr>
        <w:spacing w:before="280" w:after="120"/>
        <w:pBdr>
          <w:bottom w:val="single" w:sz="12" w:space="1" w:color="33CC00"/>
        </w:pBdr>
      </w:pPr>
      <w:r>
        <w:rPr>
          <w:rFonts w:ascii="Calibri" w:hAnsi="Calibri" w:cs="Calibri"/>
          <w:b/>
          <w:i w:val="0"/>
          <w:color w:val="0A4800"/>
          <w:sz w:val="28"/>
        </w:rPr>
        <w:t>Coût total des envois (estimation)</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493"/>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Poste</w:t>
            </w:r>
          </w:p>
        </w:tc>
        <w:tc>
          <w:tcPr>
            <w:tcW w:type="dxa" w:w="2493"/>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Coût unitaire</w:t>
            </w:r>
          </w:p>
        </w:tc>
        <w:tc>
          <w:tcPr>
            <w:tcW w:type="dxa" w:w="2493"/>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 8 mairies</w:t>
            </w:r>
          </w:p>
        </w:tc>
        <w:tc>
          <w:tcPr>
            <w:tcW w:type="dxa" w:w="2493"/>
            <w:vAlign w:val="top"/>
            <w:tcBorders>
              <w:top w:val="single" w:sz="4" w:color="BFBFBF"/>
              <w:left w:val="single" w:sz="4" w:color="BFBFBF"/>
              <w:bottom w:val="single" w:sz="4" w:color="BFBFBF"/>
              <w:right w:val="single" w:sz="4" w:color="BFBFBF"/>
            </w:tcBorders>
            <w:shd w:val="clear" w:color="auto" w:fill="0A4800"/>
          </w:tcPr>
          <w:p>
            <w:pPr>
              <w:spacing w:before="40" w:after="40"/>
            </w:pPr>
            <w:r/>
            <w:r>
              <w:rPr>
                <w:rFonts w:ascii="Calibri" w:hAnsi="Calibri" w:cs="Calibri"/>
                <w:b/>
                <w:i w:val="0"/>
                <w:color w:val="FFFFFF"/>
                <w:sz w:val="20"/>
              </w:rPr>
              <w:t>Total</w:t>
            </w:r>
          </w:p>
        </w:tc>
      </w:tr>
      <w:tr>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Impression couleur courrier (~6 pages)</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1,50 €</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8</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12 €</w:t>
            </w:r>
          </w:p>
        </w:tc>
      </w:tr>
      <w:tr>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Impression plaquette commerciale (13 pages)</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3,00 €</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8</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24 €</w:t>
            </w:r>
          </w:p>
        </w:tc>
      </w:tr>
      <w:tr>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Impression note de cadrage (12 pages)</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2,50 €</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8</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20 €</w:t>
            </w:r>
          </w:p>
        </w:tc>
      </w:tr>
      <w:tr>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Impression tableau 20 PDC (1 page A3)</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0,50 €</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8</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4 €</w:t>
            </w:r>
          </w:p>
        </w:tc>
      </w:tr>
      <w:tr>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Pochette plastique transparente</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0,50 €</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8</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val="0"/>
                <w:i w:val="0"/>
                <w:color w:val="1A3A00"/>
                <w:sz w:val="19"/>
              </w:rPr>
              <w:t>4 €</w:t>
            </w:r>
          </w:p>
        </w:tc>
      </w:tr>
      <w:tr>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Enveloppe LRAR + affranchissement</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~7 €</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8</w:t>
            </w:r>
          </w:p>
        </w:tc>
        <w:tc>
          <w:tcPr>
            <w:tcW w:type="dxa" w:w="2493"/>
            <w:vAlign w:val="top"/>
            <w:tcBorders>
              <w:top w:val="single" w:sz="4" w:color="BFBFBF"/>
              <w:left w:val="single" w:sz="4" w:color="BFBFBF"/>
              <w:bottom w:val="single" w:sz="4" w:color="BFBFBF"/>
              <w:right w:val="single" w:sz="4" w:color="BFBFBF"/>
            </w:tcBorders>
          </w:tcPr>
          <w:p>
            <w:pPr>
              <w:spacing w:before="40" w:after="40"/>
            </w:pPr>
            <w:r/>
            <w:r>
              <w:rPr>
                <w:rFonts w:ascii="Calibri" w:hAnsi="Calibri" w:cs="Calibri"/>
                <w:b w:val="0"/>
                <w:i w:val="0"/>
                <w:color w:val="1A3A00"/>
                <w:sz w:val="19"/>
              </w:rPr>
              <w:t>56 €</w:t>
            </w:r>
          </w:p>
        </w:tc>
      </w:tr>
      <w:tr>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TOTAL impression + envoi</w:t>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p>
        </w:tc>
        <w:tc>
          <w:tcPr>
            <w:tcW w:type="dxa" w:w="2493"/>
            <w:vAlign w:val="top"/>
            <w:tcBorders>
              <w:top w:val="single" w:sz="4" w:color="BFBFBF"/>
              <w:left w:val="single" w:sz="4" w:color="BFBFBF"/>
              <w:bottom w:val="single" w:sz="4" w:color="BFBFBF"/>
              <w:right w:val="single" w:sz="4" w:color="BFBFBF"/>
            </w:tcBorders>
            <w:shd w:val="clear" w:color="auto" w:fill="F4FFF0"/>
          </w:tcPr>
          <w:p>
            <w:pPr>
              <w:spacing w:before="40" w:after="40"/>
            </w:pPr>
            <w:r/>
            <w:r>
              <w:rPr>
                <w:rFonts w:ascii="Calibri" w:hAnsi="Calibri" w:cs="Calibri"/>
                <w:b/>
                <w:i w:val="0"/>
                <w:color w:val="0A4800"/>
                <w:sz w:val="19"/>
              </w:rPr>
              <w:t>~120 €</w:t>
            </w:r>
          </w:p>
        </w:tc>
      </w:tr>
    </w:tbl>
    <w:p>
      <w:pPr>
        <w:spacing w:before="120" w:after="120" w:line="312" w:lineRule="auto"/>
        <w:ind w:left="283"/>
        <w:pBdr>
          <w:left w:val="single" w:sz="24" w:space="8" w:color="2B4DB5"/>
        </w:pBdr>
        <w:shd w:val="clear" w:fill="F0F3FB"/>
      </w:pPr>
      <w:r>
        <w:rPr>
          <w:rFonts w:ascii="Calibri" w:hAnsi="Calibri" w:cs="Calibri"/>
          <w:b w:val="0"/>
          <w:i/>
          <w:color w:val="1A3A00"/>
          <w:sz w:val="20"/>
        </w:rPr>
        <w:t>Coût marginal très faible au regard de l'enjeu (50 000 € de co-investissement potentiel + signature de 8 lettres d'intention = pièce critique du dossier ADVENIR).</w:t>
      </w:r>
    </w:p>
    <w:p>
      <w:pPr>
        <w:pBdr>
          <w:bottom w:val="single" w:sz="8" w:space="1" w:color="33CC00"/>
        </w:pBdr>
      </w:pPr>
    </w:p>
    <w:p>
      <w:pPr>
        <w:spacing w:after="120" w:line="312" w:lineRule="auto"/>
      </w:pPr>
      <w:r>
        <w:rPr>
          <w:rFonts w:ascii="Calibri" w:hAnsi="Calibri" w:cs="Calibri"/>
          <w:b w:val="0"/>
          <w:i/>
          <w:color w:val="2B4DB5"/>
          <w:sz w:val="22"/>
        </w:rPr>
        <w:t>Document préparé le 2026-05-02 — EGREENCITY'S, Loïc LUDOSKY, Président</w:t>
      </w:r>
    </w:p>
    <w:sectPr w:rsidR="00FC693F" w:rsidRPr="0006063C" w:rsidSect="00034616">
      <w:headerReference w:type="default" r:id="rId9"/>
      <w:footerReference w:type="default" r:id="rId10"/>
      <w:pgSz w:w="12240" w:h="15840"/>
      <w:pgMar w:top="1247" w:right="1134" w:bottom="136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888888"/>
        <w:sz w:val="16"/>
      </w:rPr>
      <w:t>EGREENCITY'S SAS · RCS Cayenne 878 682 854 · egreencitys@gmail.com · +33 6 51 14 11 18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825508" cy="5039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825508" cy="503999"/>
                  </a:xfrm>
                  <a:prstGeom prst="rect"/>
                </pic:spPr>
              </pic:pic>
            </a:graphicData>
          </a:graphic>
        </wp:inline>
      </w:drawing>
    </w:r>
  </w:p>
  <w:p>
    <w:r>
      <w:rPr>
        <w:rFonts w:ascii="Calibri" w:hAnsi="Calibri" w:cs="Calibri"/>
        <w:b w:val="0"/>
        <w:i/>
        <w:color w:val="2B4DB5"/>
        <w:sz w:val="16"/>
      </w:rPr>
      <w:t>Bornes de recharge electrique - Guyane francaise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3A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